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CD" w:rsidRDefault="002A71CD" w:rsidP="002A71CD">
      <w:pPr>
        <w:widowControl w:val="0"/>
        <w:autoSpaceDE w:val="0"/>
        <w:autoSpaceDN w:val="0"/>
        <w:adjustRightInd w:val="0"/>
        <w:spacing w:line="480" w:lineRule="auto"/>
        <w:rPr>
          <w:rFonts w:ascii="Bookman Old Style" w:hAnsi="Bookman Old Style"/>
        </w:rPr>
      </w:pPr>
      <w:proofErr w:type="gramStart"/>
      <w:r w:rsidRPr="00C528B7">
        <w:rPr>
          <w:rFonts w:ascii="Bookman Old Style" w:hAnsi="Bookman Old Style"/>
        </w:rPr>
        <w:t>SUBCHAPTER 1.</w:t>
      </w:r>
      <w:proofErr w:type="gramEnd"/>
      <w:r w:rsidRPr="00C528B7">
        <w:rPr>
          <w:rFonts w:ascii="Bookman Old Style" w:hAnsi="Bookman Old Style"/>
        </w:rPr>
        <w:t xml:space="preserve">   CONSTRUCTION </w:t>
      </w:r>
      <w:smartTag w:uri="urn:schemas-microsoft-com:office:smarttags" w:element="stockticker">
        <w:r w:rsidRPr="00C528B7">
          <w:rPr>
            <w:rFonts w:ascii="Bookman Old Style" w:hAnsi="Bookman Old Style"/>
          </w:rPr>
          <w:t>AND</w:t>
        </w:r>
      </w:smartTag>
      <w:r w:rsidRPr="00C528B7">
        <w:rPr>
          <w:rFonts w:ascii="Bookman Old Style" w:hAnsi="Bookman Old Style"/>
        </w:rPr>
        <w:t xml:space="preserve"> A</w:t>
      </w:r>
      <w:r>
        <w:rPr>
          <w:rFonts w:ascii="Bookman Old Style" w:hAnsi="Bookman Old Style"/>
        </w:rPr>
        <w:t>PPLICATION OF RULES</w:t>
      </w:r>
    </w:p>
    <w:p w:rsidR="00A7743B" w:rsidRDefault="00A7743B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19:40A-1.1   Authority</w:t>
      </w: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This chapter is</w:t>
      </w:r>
      <w:r w:rsidRPr="00C528B7">
        <w:rPr>
          <w:rFonts w:ascii="Bookman Old Style" w:hAnsi="Bookman Old Style"/>
        </w:rPr>
        <w:t xml:space="preserve"> issued under and pursuant to the authority of the Casino Control Act, constituting </w:t>
      </w:r>
      <w:r>
        <w:rPr>
          <w:rFonts w:ascii="Bookman Old Style" w:hAnsi="Bookman Old Style"/>
        </w:rPr>
        <w:t>P.L.</w:t>
      </w:r>
      <w:r w:rsidRPr="00C528B7">
        <w:rPr>
          <w:rFonts w:ascii="Bookman Old Style" w:hAnsi="Bookman Old Style"/>
        </w:rPr>
        <w:t xml:space="preserve"> 1977,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c</w:t>
      </w:r>
      <w:proofErr w:type="gramEnd"/>
      <w:r>
        <w:rPr>
          <w:rFonts w:ascii="Bookman Old Style" w:hAnsi="Bookman Old Style"/>
        </w:rPr>
        <w:t>. 110,</w:t>
      </w:r>
      <w:r w:rsidRPr="00C528B7">
        <w:rPr>
          <w:rFonts w:ascii="Bookman Old Style" w:hAnsi="Bookman Old Style"/>
        </w:rPr>
        <w:t xml:space="preserve"> as amended.</w:t>
      </w: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rPr>
          <w:rFonts w:ascii="Bookman Old Style" w:hAnsi="Bookman Old Style"/>
        </w:rPr>
      </w:pP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19:40A-1.2   Definitions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(a)  The following words and terms are defined in the New Jersey Casino Control Act (P.L. 1977, c.</w:t>
      </w:r>
      <w:r>
        <w:rPr>
          <w:rFonts w:ascii="Bookman Old Style" w:hAnsi="Bookman Old Style"/>
        </w:rPr>
        <w:t xml:space="preserve"> </w:t>
      </w:r>
      <w:r w:rsidRPr="00C528B7">
        <w:rPr>
          <w:rFonts w:ascii="Bookman Old Style" w:hAnsi="Bookman Old Style"/>
        </w:rPr>
        <w:t>110, as amended) and are used in the rules of the Commission as defined in that Act: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"Applicant"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"Application"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“Attorney”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"Casino" or “licensed casino”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"Casino key employee"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"Casino license"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“Chairman” and “</w:t>
      </w:r>
      <w:r>
        <w:rPr>
          <w:rFonts w:ascii="Bookman Old Style" w:hAnsi="Bookman Old Style"/>
        </w:rPr>
        <w:t>C</w:t>
      </w:r>
      <w:r w:rsidRPr="00C528B7">
        <w:rPr>
          <w:rFonts w:ascii="Bookman Old Style" w:hAnsi="Bookman Old Style"/>
        </w:rPr>
        <w:t>ommissioner” or “member”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"Commission"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"Director"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"Division"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"Family"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 xml:space="preserve">“Gaming" or "gambling" 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"License"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lastRenderedPageBreak/>
        <w:tab/>
        <w:t>"Licensee"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"Operation"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"Party"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"Person"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"Property"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"Registrant"</w:t>
      </w:r>
      <w:r w:rsidRPr="00C528B7">
        <w:rPr>
          <w:rFonts w:ascii="Bookman Old Style" w:hAnsi="Bookman Old Style"/>
        </w:rPr>
        <w:tab/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 xml:space="preserve">(b)  The following words and terms, when used in </w:t>
      </w:r>
      <w:r>
        <w:rPr>
          <w:rFonts w:ascii="Bookman Old Style" w:hAnsi="Bookman Old Style"/>
        </w:rPr>
        <w:t>this chapter</w:t>
      </w:r>
      <w:r w:rsidRPr="00C528B7">
        <w:rPr>
          <w:rFonts w:ascii="Bookman Old Style" w:hAnsi="Bookman Old Style"/>
        </w:rPr>
        <w:t>, shall have the following meanings, unless the context clearly indicates otherwise: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"Act" or "Casino Control Act" means the New Jersey Casino Control Act (P.L. 1977, c.</w:t>
      </w:r>
      <w:r>
        <w:rPr>
          <w:rFonts w:ascii="Bookman Old Style" w:hAnsi="Bookman Old Style"/>
        </w:rPr>
        <w:t xml:space="preserve"> </w:t>
      </w:r>
      <w:r w:rsidRPr="00C528B7">
        <w:rPr>
          <w:rFonts w:ascii="Bookman Old Style" w:hAnsi="Bookman Old Style"/>
        </w:rPr>
        <w:t>110, as amended).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C528B7">
        <w:rPr>
          <w:rFonts w:ascii="Bookman Old Style" w:hAnsi="Bookman Old Style"/>
        </w:rPr>
        <w:tab/>
        <w:t>"Casino licensee" or "licensed casino" means the holder of any license, issued pursuant to the Casino Control Act, that authorizes the ownership or operation of a casino and, if applicable, of a casino simulcasting facility.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"Casino simulcasting" is defined by the Division</w:t>
      </w:r>
      <w:r>
        <w:rPr>
          <w:rFonts w:ascii="Bookman Old Style" w:hAnsi="Bookman Old Style"/>
        </w:rPr>
        <w:t xml:space="preserve"> at N.J.A.C. 13:69M-1.2</w:t>
      </w:r>
      <w:r w:rsidRPr="00C528B7">
        <w:rPr>
          <w:rFonts w:ascii="Bookman Old Style" w:hAnsi="Bookman Old Style"/>
        </w:rPr>
        <w:t>.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"Casino simulcasting facility" is defined by the Division</w:t>
      </w:r>
      <w:r>
        <w:rPr>
          <w:rFonts w:ascii="Bookman Old Style" w:hAnsi="Bookman Old Style"/>
        </w:rPr>
        <w:t xml:space="preserve"> at N.J.A.C. 13:69M-3.1 through 3.4</w:t>
      </w:r>
      <w:r w:rsidRPr="00C528B7">
        <w:rPr>
          <w:rFonts w:ascii="Bookman Old Style" w:hAnsi="Bookman Old Style"/>
        </w:rPr>
        <w:t>.</w:t>
      </w:r>
    </w:p>
    <w:p w:rsidR="002A71CD" w:rsidRPr="00C528B7" w:rsidRDefault="002A71CD" w:rsidP="002A71CD">
      <w:pPr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"Interested person" means any person whose specific legal rights, duties,  obligations, privileges, benefits</w:t>
      </w:r>
      <w:r>
        <w:rPr>
          <w:rFonts w:ascii="Bookman Old Style" w:hAnsi="Bookman Old Style"/>
        </w:rPr>
        <w:t>,</w:t>
      </w:r>
      <w:r w:rsidRPr="00C528B7">
        <w:rPr>
          <w:rFonts w:ascii="Bookman Old Style" w:hAnsi="Bookman Old Style"/>
        </w:rPr>
        <w:t xml:space="preserve"> or other specific legal relations are affected by the adoption, amendment</w:t>
      </w:r>
      <w:r>
        <w:rPr>
          <w:rFonts w:ascii="Bookman Old Style" w:hAnsi="Bookman Old Style"/>
        </w:rPr>
        <w:t>,</w:t>
      </w:r>
      <w:r w:rsidRPr="00C528B7">
        <w:rPr>
          <w:rFonts w:ascii="Bookman Old Style" w:hAnsi="Bookman Old Style"/>
        </w:rPr>
        <w:t xml:space="preserve"> or repeal of a specific </w:t>
      </w:r>
      <w:r>
        <w:rPr>
          <w:rFonts w:ascii="Bookman Old Style" w:hAnsi="Bookman Old Style"/>
        </w:rPr>
        <w:t>rule</w:t>
      </w:r>
      <w:r w:rsidRPr="00C528B7">
        <w:rPr>
          <w:rFonts w:ascii="Bookman Old Style" w:hAnsi="Bookman Old Style"/>
        </w:rPr>
        <w:t xml:space="preserve"> or by any decision, order</w:t>
      </w:r>
      <w:r>
        <w:rPr>
          <w:rFonts w:ascii="Bookman Old Style" w:hAnsi="Bookman Old Style"/>
        </w:rPr>
        <w:t>,</w:t>
      </w:r>
      <w:r w:rsidRPr="00C528B7">
        <w:rPr>
          <w:rFonts w:ascii="Bookman Old Style" w:hAnsi="Bookman Old Style"/>
        </w:rPr>
        <w:t xml:space="preserve"> or ruling of the Commission.</w:t>
      </w:r>
    </w:p>
    <w:p w:rsidR="002A71CD" w:rsidRPr="00C528B7" w:rsidRDefault="002A71CD" w:rsidP="002A71CD">
      <w:pPr>
        <w:pStyle w:val="Header"/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</w:r>
    </w:p>
    <w:p w:rsidR="00A7743B" w:rsidRDefault="00A7743B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</w:p>
    <w:p w:rsidR="00A7743B" w:rsidRDefault="00A7743B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lastRenderedPageBreak/>
        <w:t>19:40A-1.3   Construction and amendments</w:t>
      </w: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 xml:space="preserve">(a)  </w:t>
      </w:r>
      <w:r>
        <w:rPr>
          <w:rFonts w:ascii="Bookman Old Style" w:hAnsi="Bookman Old Style"/>
        </w:rPr>
        <w:t xml:space="preserve">This chapter </w:t>
      </w:r>
      <w:r w:rsidRPr="00C528B7">
        <w:rPr>
          <w:rFonts w:ascii="Bookman Old Style" w:hAnsi="Bookman Old Style"/>
        </w:rPr>
        <w:t>shall be construed in accordance with generally accepted principles of statutory construction, including those set forth in N.J.S.A. 1:1</w:t>
      </w:r>
      <w:r>
        <w:rPr>
          <w:rFonts w:ascii="Bookman Old Style" w:hAnsi="Bookman Old Style"/>
        </w:rPr>
        <w:t>-</w:t>
      </w:r>
      <w:r w:rsidRPr="00C528B7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.1 </w:t>
      </w:r>
      <w:r w:rsidRPr="00C528B7">
        <w:rPr>
          <w:rFonts w:ascii="Bookman Old Style" w:hAnsi="Bookman Old Style"/>
        </w:rPr>
        <w:t>et seq.</w:t>
      </w: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 xml:space="preserve">(b) </w:t>
      </w:r>
      <w:r>
        <w:rPr>
          <w:rFonts w:ascii="Bookman Old Style" w:hAnsi="Bookman Old Style"/>
        </w:rPr>
        <w:t xml:space="preserve">This chapter </w:t>
      </w:r>
      <w:r w:rsidRPr="00C528B7">
        <w:rPr>
          <w:rFonts w:ascii="Bookman Old Style" w:hAnsi="Bookman Old Style"/>
        </w:rPr>
        <w:t>shall be liberally construed to permit the Commission to effectively carry out its statutory functions and to secure a just and expeditious determination of issues properly presented to the Commission.</w:t>
      </w: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 xml:space="preserve">(c)  Nothing contained in </w:t>
      </w:r>
      <w:r>
        <w:rPr>
          <w:rFonts w:ascii="Bookman Old Style" w:hAnsi="Bookman Old Style"/>
        </w:rPr>
        <w:t xml:space="preserve">this chapter </w:t>
      </w:r>
      <w:r w:rsidRPr="00C528B7">
        <w:rPr>
          <w:rFonts w:ascii="Bookman Old Style" w:hAnsi="Bookman Old Style"/>
        </w:rPr>
        <w:t>shall be construed as to conflict with any provision of the New Jersey Casino Control Act or any other applicable statute.</w:t>
      </w: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 xml:space="preserve">(d)  In special cases and for good cause shown, the Commission may relax or permit deviations from </w:t>
      </w:r>
      <w:r>
        <w:rPr>
          <w:rFonts w:ascii="Bookman Old Style" w:hAnsi="Bookman Old Style"/>
        </w:rPr>
        <w:t>any rule in this chapter</w:t>
      </w:r>
      <w:r w:rsidRPr="00C528B7">
        <w:rPr>
          <w:rFonts w:ascii="Bookman Old Style" w:hAnsi="Bookman Old Style"/>
        </w:rPr>
        <w:t>.</w:t>
      </w: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e</w:t>
      </w:r>
      <w:r w:rsidRPr="00C528B7">
        <w:rPr>
          <w:rFonts w:ascii="Bookman Old Style" w:hAnsi="Bookman Old Style"/>
        </w:rPr>
        <w:t xml:space="preserve">)  Whenever any provision of </w:t>
      </w:r>
      <w:r>
        <w:rPr>
          <w:rFonts w:ascii="Bookman Old Style" w:hAnsi="Bookman Old Style"/>
        </w:rPr>
        <w:t>this chapter</w:t>
      </w:r>
      <w:r w:rsidRPr="00C528B7">
        <w:rPr>
          <w:rFonts w:ascii="Bookman Old Style" w:hAnsi="Bookman Old Style"/>
        </w:rPr>
        <w:t xml:space="preserve"> requires that an act or event occur on a specified day or date, and such day or date falls upon a Saturday, Sunday</w:t>
      </w:r>
      <w:r>
        <w:rPr>
          <w:rFonts w:ascii="Bookman Old Style" w:hAnsi="Bookman Old Style"/>
        </w:rPr>
        <w:t>,</w:t>
      </w:r>
      <w:r w:rsidRPr="00C528B7">
        <w:rPr>
          <w:rFonts w:ascii="Bookman Old Style" w:hAnsi="Bookman Old Style"/>
        </w:rPr>
        <w:t xml:space="preserve"> or legal holiday,</w:t>
      </w:r>
      <w:r>
        <w:rPr>
          <w:rFonts w:ascii="Bookman Old Style" w:hAnsi="Bookman Old Style"/>
        </w:rPr>
        <w:t xml:space="preserve"> or upon a day in which the State is closed as the result of a declared state of emergency,</w:t>
      </w:r>
      <w:r w:rsidRPr="00C528B7">
        <w:rPr>
          <w:rFonts w:ascii="Bookman Old Style" w:hAnsi="Bookman Old Style"/>
        </w:rPr>
        <w:t xml:space="preserve"> such provision shall be construed to refer to the next business day immediately following such day or date.</w:t>
      </w:r>
    </w:p>
    <w:p w:rsidR="002A71CD" w:rsidRPr="00C528B7" w:rsidRDefault="002A71CD" w:rsidP="002A71CD">
      <w:pPr>
        <w:widowControl w:val="0"/>
        <w:tabs>
          <w:tab w:val="left" w:pos="720"/>
          <w:tab w:val="righ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19:40A-1.</w:t>
      </w:r>
      <w:r>
        <w:rPr>
          <w:rFonts w:ascii="Bookman Old Style" w:hAnsi="Bookman Old Style"/>
        </w:rPr>
        <w:t>4</w:t>
      </w:r>
      <w:r w:rsidRPr="00C528B7">
        <w:rPr>
          <w:rFonts w:ascii="Bookman Old Style" w:hAnsi="Bookman Old Style"/>
        </w:rPr>
        <w:t xml:space="preserve">   Severability and preemption</w:t>
      </w: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C528B7">
        <w:rPr>
          <w:rFonts w:ascii="Bookman Old Style" w:hAnsi="Bookman Old Style"/>
        </w:rPr>
        <w:t xml:space="preserve">If any clause, sentence, subparagraph, paragraph, subsection, section, </w:t>
      </w:r>
      <w:r>
        <w:rPr>
          <w:rFonts w:ascii="Bookman Old Style" w:hAnsi="Bookman Old Style"/>
        </w:rPr>
        <w:t>sub</w:t>
      </w:r>
      <w:r w:rsidRPr="00C528B7">
        <w:rPr>
          <w:rFonts w:ascii="Bookman Old Style" w:hAnsi="Bookman Old Style"/>
        </w:rPr>
        <w:t>chapter</w:t>
      </w:r>
      <w:r>
        <w:rPr>
          <w:rFonts w:ascii="Bookman Old Style" w:hAnsi="Bookman Old Style"/>
        </w:rPr>
        <w:t>,</w:t>
      </w:r>
      <w:r w:rsidRPr="00C528B7">
        <w:rPr>
          <w:rFonts w:ascii="Bookman Old Style" w:hAnsi="Bookman Old Style"/>
        </w:rPr>
        <w:t xml:space="preserve"> or other portion of </w:t>
      </w:r>
      <w:r>
        <w:rPr>
          <w:rFonts w:ascii="Bookman Old Style" w:hAnsi="Bookman Old Style"/>
        </w:rPr>
        <w:t xml:space="preserve">this chapter </w:t>
      </w:r>
      <w:r w:rsidRPr="00C528B7">
        <w:rPr>
          <w:rFonts w:ascii="Bookman Old Style" w:hAnsi="Bookman Old Style"/>
        </w:rPr>
        <w:t>or the application thereof to any person or circumstance shall be held to be invalid, such holding shall not affect, impair</w:t>
      </w:r>
      <w:r>
        <w:rPr>
          <w:rFonts w:ascii="Bookman Old Style" w:hAnsi="Bookman Old Style"/>
        </w:rPr>
        <w:t>,</w:t>
      </w:r>
      <w:r w:rsidRPr="00C528B7">
        <w:rPr>
          <w:rFonts w:ascii="Bookman Old Style" w:hAnsi="Bookman Old Style"/>
        </w:rPr>
        <w:t xml:space="preserve"> or invalidate the remainder of </w:t>
      </w:r>
      <w:r>
        <w:rPr>
          <w:rFonts w:ascii="Bookman Old Style" w:hAnsi="Bookman Old Style"/>
        </w:rPr>
        <w:t>this chapter</w:t>
      </w:r>
      <w:r w:rsidRPr="00C528B7">
        <w:rPr>
          <w:rFonts w:ascii="Bookman Old Style" w:hAnsi="Bookman Old Style"/>
        </w:rPr>
        <w:t xml:space="preserve"> or the application of such portion held invalid to any other person or circumstances, but shall be </w:t>
      </w:r>
      <w:r w:rsidRPr="00C528B7">
        <w:rPr>
          <w:rFonts w:ascii="Bookman Old Style" w:hAnsi="Bookman Old Style"/>
        </w:rPr>
        <w:lastRenderedPageBreak/>
        <w:t xml:space="preserve">confined in its operation to the clause, sentence, subparagraph, paragraph, subsection, section, </w:t>
      </w:r>
      <w:r>
        <w:rPr>
          <w:rFonts w:ascii="Bookman Old Style" w:hAnsi="Bookman Old Style"/>
        </w:rPr>
        <w:t>sub</w:t>
      </w:r>
      <w:r w:rsidRPr="00C528B7">
        <w:rPr>
          <w:rFonts w:ascii="Bookman Old Style" w:hAnsi="Bookman Old Style"/>
        </w:rPr>
        <w:t>chapter</w:t>
      </w:r>
      <w:r>
        <w:rPr>
          <w:rFonts w:ascii="Bookman Old Style" w:hAnsi="Bookman Old Style"/>
        </w:rPr>
        <w:t>,</w:t>
      </w:r>
      <w:r w:rsidRPr="00C528B7">
        <w:rPr>
          <w:rFonts w:ascii="Bookman Old Style" w:hAnsi="Bookman Old Style"/>
        </w:rPr>
        <w:t xml:space="preserve"> or other portion thereof directly involved in such holding or to the person or circumstance involved</w:t>
      </w:r>
      <w:r w:rsidRPr="003C0EBD">
        <w:rPr>
          <w:rFonts w:ascii="Bookman Old Style" w:hAnsi="Bookman Old Style"/>
        </w:rPr>
        <w:t xml:space="preserve"> </w:t>
      </w:r>
      <w:r w:rsidRPr="00C528B7">
        <w:rPr>
          <w:rFonts w:ascii="Bookman Old Style" w:hAnsi="Bookman Old Style"/>
        </w:rPr>
        <w:t>therein.</w:t>
      </w: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19:40A-1.</w:t>
      </w:r>
      <w:r>
        <w:rPr>
          <w:rFonts w:ascii="Bookman Old Style" w:hAnsi="Bookman Old Style"/>
        </w:rPr>
        <w:t>5</w:t>
      </w:r>
      <w:r w:rsidRPr="00C528B7">
        <w:rPr>
          <w:rFonts w:ascii="Bookman Old Style" w:hAnsi="Bookman Old Style"/>
        </w:rPr>
        <w:t xml:space="preserve">   Practice where regulations do not govern</w:t>
      </w:r>
    </w:p>
    <w:p w:rsidR="002A71CD" w:rsidRPr="00C528B7" w:rsidRDefault="002A71CD" w:rsidP="002A71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 xml:space="preserve">In any matter not governed by </w:t>
      </w:r>
      <w:r>
        <w:rPr>
          <w:rFonts w:ascii="Bookman Old Style" w:hAnsi="Bookman Old Style"/>
        </w:rPr>
        <w:t>this chapter</w:t>
      </w:r>
      <w:r w:rsidRPr="00C528B7">
        <w:rPr>
          <w:rFonts w:ascii="Bookman Old Style" w:hAnsi="Bookman Old Style"/>
        </w:rPr>
        <w:t>, the Commission shall exercise its discretion</w:t>
      </w:r>
      <w:r>
        <w:rPr>
          <w:rFonts w:ascii="Bookman Old Style" w:hAnsi="Bookman Old Style"/>
        </w:rPr>
        <w:t>,</w:t>
      </w:r>
      <w:r w:rsidRPr="00C528B7">
        <w:rPr>
          <w:rFonts w:ascii="Bookman Old Style" w:hAnsi="Bookman Old Style"/>
        </w:rPr>
        <w:t xml:space="preserve"> so as to carry out the purposes of the Act.</w:t>
      </w:r>
    </w:p>
    <w:p w:rsidR="00F07FA7" w:rsidRDefault="00F07FA7">
      <w:bookmarkStart w:id="0" w:name="_GoBack"/>
      <w:bookmarkEnd w:id="0"/>
    </w:p>
    <w:sectPr w:rsidR="00F07FA7" w:rsidSect="00A56563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CD"/>
    <w:rsid w:val="002A71CD"/>
    <w:rsid w:val="00A0782E"/>
    <w:rsid w:val="00A56563"/>
    <w:rsid w:val="00A7743B"/>
    <w:rsid w:val="00BF381B"/>
    <w:rsid w:val="00D9295C"/>
    <w:rsid w:val="00EB5F68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CD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1CD"/>
    <w:pPr>
      <w:tabs>
        <w:tab w:val="center" w:pos="4680"/>
        <w:tab w:val="right" w:pos="9360"/>
      </w:tabs>
    </w:pPr>
    <w:rPr>
      <w:rFonts w:cs="Times New Roman"/>
      <w:bCs w:val="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A71C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CD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1CD"/>
    <w:pPr>
      <w:tabs>
        <w:tab w:val="center" w:pos="4680"/>
        <w:tab w:val="right" w:pos="9360"/>
      </w:tabs>
    </w:pPr>
    <w:rPr>
      <w:rFonts w:cs="Times New Roman"/>
      <w:bCs w:val="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A71C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NJCCC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tpimpinelli</dc:creator>
  <cp:lastModifiedBy>tpimpinelli</cp:lastModifiedBy>
  <cp:revision>3</cp:revision>
  <dcterms:created xsi:type="dcterms:W3CDTF">2015-06-30T15:42:00Z</dcterms:created>
  <dcterms:modified xsi:type="dcterms:W3CDTF">2015-06-30T16:04:00Z</dcterms:modified>
</cp:coreProperties>
</file>