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23A" w:rsidRDefault="00C7523A" w:rsidP="00C7523A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  <w:bCs w:val="0"/>
        </w:rPr>
      </w:pPr>
      <w:bookmarkStart w:id="0" w:name="_GoBack"/>
      <w:bookmarkEnd w:id="0"/>
      <w:proofErr w:type="gramStart"/>
      <w:r w:rsidRPr="00C528B7">
        <w:rPr>
          <w:rFonts w:ascii="Bookman Old Style" w:hAnsi="Bookman Old Style"/>
          <w:bCs w:val="0"/>
        </w:rPr>
        <w:t>SUBCHAPTER 7.</w:t>
      </w:r>
      <w:proofErr w:type="gramEnd"/>
      <w:r w:rsidRPr="00C528B7">
        <w:rPr>
          <w:rFonts w:ascii="Bookman Old Style" w:hAnsi="Bookman Old Style"/>
          <w:bCs w:val="0"/>
        </w:rPr>
        <w:t xml:space="preserve">    FORMS</w:t>
      </w:r>
    </w:p>
    <w:p w:rsidR="00C7523A" w:rsidRPr="00C528B7" w:rsidRDefault="00C7523A" w:rsidP="00C7523A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  <w:bCs w:val="0"/>
        </w:rPr>
      </w:pPr>
    </w:p>
    <w:p w:rsidR="00C7523A" w:rsidRPr="00C528B7" w:rsidRDefault="00C7523A" w:rsidP="00C7523A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  <w:bCs w:val="0"/>
        </w:rPr>
      </w:pPr>
      <w:r w:rsidRPr="00C528B7">
        <w:rPr>
          <w:rFonts w:ascii="Bookman Old Style" w:hAnsi="Bookman Old Style"/>
          <w:bCs w:val="0"/>
        </w:rPr>
        <w:t>19:41A-</w:t>
      </w:r>
      <w:proofErr w:type="gramStart"/>
      <w:r w:rsidRPr="00C528B7">
        <w:rPr>
          <w:rFonts w:ascii="Bookman Old Style" w:hAnsi="Bookman Old Style"/>
          <w:bCs w:val="0"/>
        </w:rPr>
        <w:t>7.1  Definitions</w:t>
      </w:r>
      <w:proofErr w:type="gramEnd"/>
    </w:p>
    <w:p w:rsidR="00C7523A" w:rsidRPr="00C528B7" w:rsidRDefault="00C7523A" w:rsidP="00C7523A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>The following words and terms shall have the following meanings when used in this subchapter, unless the context clearly indicates otherwise.</w:t>
      </w:r>
    </w:p>
    <w:p w:rsidR="00C7523A" w:rsidRPr="00C528B7" w:rsidRDefault="00C7523A" w:rsidP="00C7523A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ab/>
        <w:t>"Immediate family" means a person's spouse or civil union partner and any children, whether by marriage, adoption</w:t>
      </w:r>
      <w:r>
        <w:rPr>
          <w:rFonts w:ascii="Bookman Old Style" w:hAnsi="Bookman Old Style"/>
        </w:rPr>
        <w:t>,</w:t>
      </w:r>
      <w:r w:rsidRPr="00C528B7">
        <w:rPr>
          <w:rFonts w:ascii="Bookman Old Style" w:hAnsi="Bookman Old Style"/>
        </w:rPr>
        <w:t xml:space="preserve"> or natural relationship.</w:t>
      </w:r>
    </w:p>
    <w:p w:rsidR="00C7523A" w:rsidRPr="00C528B7" w:rsidRDefault="00C7523A" w:rsidP="00C7523A">
      <w:pPr>
        <w:tabs>
          <w:tab w:val="left" w:pos="0"/>
        </w:tabs>
        <w:suppressAutoHyphens/>
        <w:spacing w:line="480" w:lineRule="auto"/>
        <w:jc w:val="both"/>
        <w:rPr>
          <w:rFonts w:ascii="Bookman Old Style" w:hAnsi="Bookman Old Style"/>
          <w:bCs w:val="0"/>
        </w:rPr>
      </w:pPr>
    </w:p>
    <w:p w:rsidR="00C7523A" w:rsidRPr="00C528B7" w:rsidRDefault="00C7523A" w:rsidP="00C7523A">
      <w:pPr>
        <w:tabs>
          <w:tab w:val="left" w:pos="0"/>
        </w:tabs>
        <w:suppressAutoHyphens/>
        <w:spacing w:line="480" w:lineRule="auto"/>
        <w:jc w:val="both"/>
        <w:rPr>
          <w:rFonts w:ascii="Bookman Old Style" w:hAnsi="Bookman Old Style"/>
          <w:bCs w:val="0"/>
        </w:rPr>
      </w:pPr>
      <w:r w:rsidRPr="00C528B7">
        <w:rPr>
          <w:rFonts w:ascii="Bookman Old Style" w:hAnsi="Bookman Old Style"/>
          <w:bCs w:val="0"/>
        </w:rPr>
        <w:t>19:41A-</w:t>
      </w:r>
      <w:proofErr w:type="gramStart"/>
      <w:r w:rsidRPr="00C528B7">
        <w:rPr>
          <w:rFonts w:ascii="Bookman Old Style" w:hAnsi="Bookman Old Style"/>
          <w:bCs w:val="0"/>
        </w:rPr>
        <w:t>7.2  Casino</w:t>
      </w:r>
      <w:proofErr w:type="gramEnd"/>
      <w:r w:rsidRPr="00C528B7">
        <w:rPr>
          <w:rFonts w:ascii="Bookman Old Style" w:hAnsi="Bookman Old Style"/>
          <w:bCs w:val="0"/>
        </w:rPr>
        <w:t xml:space="preserve"> key employee qualifiers: Multi-Jurisdictional Personal</w:t>
      </w:r>
      <w:r>
        <w:rPr>
          <w:rFonts w:ascii="Bookman Old Style" w:hAnsi="Bookman Old Style"/>
          <w:bCs w:val="0"/>
        </w:rPr>
        <w:t xml:space="preserve"> </w:t>
      </w:r>
      <w:r w:rsidRPr="00C528B7">
        <w:rPr>
          <w:rFonts w:ascii="Bookman Old Style" w:hAnsi="Bookman Old Style"/>
          <w:bCs w:val="0"/>
        </w:rPr>
        <w:t>History Disclosure Form and New Jersey Supplement</w:t>
      </w:r>
    </w:p>
    <w:p w:rsidR="00C7523A" w:rsidRPr="00C528B7" w:rsidRDefault="00C7523A" w:rsidP="00C7523A">
      <w:pPr>
        <w:tabs>
          <w:tab w:val="left" w:pos="0"/>
        </w:tabs>
        <w:suppressAutoHyphens/>
        <w:spacing w:line="480" w:lineRule="auto"/>
        <w:jc w:val="both"/>
        <w:rPr>
          <w:rFonts w:ascii="Bookman Old Style" w:hAnsi="Bookman Old Style"/>
        </w:rPr>
      </w:pPr>
      <w:r w:rsidRPr="00C528B7">
        <w:rPr>
          <w:rFonts w:ascii="Bookman Old Style" w:hAnsi="Bookman Old Style"/>
        </w:rPr>
        <w:t>(a)  An applicant for a casino key employee license who is also required to establish his or her qualification pursuant to N.J.S.A. 5:12-85.1 and N.J.A.C. 13:69C-2.2 shall file a Multi-Jurisdictional Personal History Disclosure Form as set forth at N.J.A.C. 13:69A-5.2 and a New Jersey Supplemental Form as set forth at N.J.A.C. 13:69A-5.2A.</w:t>
      </w:r>
    </w:p>
    <w:p w:rsidR="00C7523A" w:rsidRDefault="00C7523A" w:rsidP="00C7523A">
      <w:pPr>
        <w:tabs>
          <w:tab w:val="left" w:pos="0"/>
        </w:tabs>
        <w:suppressAutoHyphens/>
        <w:spacing w:line="480" w:lineRule="auto"/>
        <w:jc w:val="both"/>
        <w:rPr>
          <w:rFonts w:ascii="Bookman Old Style" w:hAnsi="Bookman Old Style"/>
        </w:rPr>
      </w:pPr>
      <w:r w:rsidRPr="00BB7F25">
        <w:rPr>
          <w:rFonts w:ascii="Bookman Old Style" w:hAnsi="Bookman Old Style"/>
        </w:rPr>
        <w:t xml:space="preserve">(b) The forms set forth in (a) above shall be filed </w:t>
      </w:r>
      <w:r w:rsidR="00D6460E">
        <w:rPr>
          <w:rFonts w:ascii="Bookman Old Style" w:hAnsi="Bookman Old Style"/>
        </w:rPr>
        <w:t>with the Division’s Intake Unit.</w:t>
      </w:r>
    </w:p>
    <w:p w:rsidR="00E84388" w:rsidRPr="00BB7F25" w:rsidRDefault="00E84388" w:rsidP="00C7523A">
      <w:pPr>
        <w:tabs>
          <w:tab w:val="left" w:pos="0"/>
        </w:tabs>
        <w:suppressAutoHyphens/>
        <w:spacing w:line="480" w:lineRule="auto"/>
        <w:jc w:val="both"/>
        <w:rPr>
          <w:rFonts w:ascii="Bookman Old Style" w:hAnsi="Bookman Old Style"/>
        </w:rPr>
      </w:pPr>
    </w:p>
    <w:p w:rsidR="00C7523A" w:rsidRPr="00BB7F25" w:rsidRDefault="00C7523A" w:rsidP="00C7523A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  <w:bCs w:val="0"/>
        </w:rPr>
      </w:pPr>
      <w:r w:rsidRPr="00BB7F25">
        <w:rPr>
          <w:rFonts w:ascii="Bookman Old Style" w:hAnsi="Bookman Old Style"/>
          <w:bCs w:val="0"/>
        </w:rPr>
        <w:t>19:41A-7.3 Personal History Disclosure Form 1B (Basic Key Form)</w:t>
      </w:r>
    </w:p>
    <w:p w:rsidR="00C7523A" w:rsidRPr="00BB7F25" w:rsidRDefault="00C7523A" w:rsidP="00C7523A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</w:rPr>
        <w:t>(a) A Personal History Disclosure Form (PHD-1B) shall be in a format prescribed by the Commission and may require the applicant to provide the following information: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1. Name, including any aliases or nicknames;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2. Date of birth;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lastRenderedPageBreak/>
        <w:tab/>
      </w:r>
      <w:r w:rsidRPr="00BB7F25">
        <w:rPr>
          <w:rFonts w:ascii="Bookman Old Style" w:hAnsi="Bookman Old Style" w:cs="Arial"/>
        </w:rPr>
        <w:t>3. Physical description;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4. Current address and residence history;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 xml:space="preserve">5. Social </w:t>
      </w:r>
      <w:r>
        <w:rPr>
          <w:rFonts w:ascii="Bookman Old Style" w:hAnsi="Bookman Old Style" w:cs="Arial"/>
        </w:rPr>
        <w:t>S</w:t>
      </w:r>
      <w:r w:rsidRPr="00BB7F25">
        <w:rPr>
          <w:rFonts w:ascii="Bookman Old Style" w:hAnsi="Bookman Old Style" w:cs="Arial"/>
        </w:rPr>
        <w:t xml:space="preserve">ecurity number, which information is voluntarily provided in accordance with section 7 of the Privacy Act, </w:t>
      </w:r>
      <w:r w:rsidRPr="00BB7F25">
        <w:rPr>
          <w:rFonts w:ascii="Bookman Old Style" w:hAnsi="Bookman Old Style" w:cs="Arial"/>
          <w:iCs/>
        </w:rPr>
        <w:t xml:space="preserve">5 U.S.C. </w:t>
      </w:r>
      <w:r>
        <w:rPr>
          <w:rFonts w:ascii="Bookman Old Style" w:hAnsi="Bookman Old Style" w:cs="Arial"/>
          <w:iCs/>
        </w:rPr>
        <w:t xml:space="preserve">§ </w:t>
      </w:r>
      <w:r w:rsidRPr="00BB7F25">
        <w:rPr>
          <w:rFonts w:ascii="Bookman Old Style" w:hAnsi="Bookman Old Style" w:cs="Arial"/>
          <w:iCs/>
        </w:rPr>
        <w:t>552a;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6. Citizenship and, if applicable, resident alien status, including any employment authorization;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7. Marital history and other family data;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8. Telephone number at current place of employment;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9. Employment history, including any gaming-related employment;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10. Education and training;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11. Record of military service;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12. Licenses and other approvals held by or applied for by the applicant or, where specified, the applicant's spouse, in this State or any other jurisdiction, including: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  <w:b/>
        </w:rPr>
        <w:tab/>
      </w:r>
      <w:proofErr w:type="spellStart"/>
      <w:r w:rsidRPr="00BB7F25">
        <w:rPr>
          <w:rFonts w:ascii="Bookman Old Style" w:hAnsi="Bookman Old Style" w:cs="Arial"/>
        </w:rPr>
        <w:t>i</w:t>
      </w:r>
      <w:proofErr w:type="spellEnd"/>
      <w:r w:rsidRPr="00BB7F25">
        <w:rPr>
          <w:rFonts w:ascii="Bookman Old Style" w:hAnsi="Bookman Old Style" w:cs="Arial"/>
        </w:rPr>
        <w:t>. Any license, permit, approval</w:t>
      </w:r>
      <w:r>
        <w:rPr>
          <w:rFonts w:ascii="Bookman Old Style" w:hAnsi="Bookman Old Style" w:cs="Arial"/>
        </w:rPr>
        <w:t>,</w:t>
      </w:r>
      <w:r w:rsidRPr="00BB7F25">
        <w:rPr>
          <w:rFonts w:ascii="Bookman Old Style" w:hAnsi="Bookman Old Style" w:cs="Arial"/>
        </w:rPr>
        <w:t xml:space="preserve"> or registration required to participate in any lawful gambling operation in this State or any jurisdiction;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ii. Any denial, suspension</w:t>
      </w:r>
      <w:r>
        <w:rPr>
          <w:rFonts w:ascii="Bookman Old Style" w:hAnsi="Bookman Old Style" w:cs="Arial"/>
        </w:rPr>
        <w:t>,</w:t>
      </w:r>
      <w:r w:rsidRPr="00BB7F25">
        <w:rPr>
          <w:rFonts w:ascii="Bookman Old Style" w:hAnsi="Bookman Old Style" w:cs="Arial"/>
        </w:rPr>
        <w:t xml:space="preserve"> or revocation by a government agency in this State or any other jurisdiction of a license, permit</w:t>
      </w:r>
      <w:r>
        <w:rPr>
          <w:rFonts w:ascii="Bookman Old Style" w:hAnsi="Bookman Old Style" w:cs="Arial"/>
        </w:rPr>
        <w:t>,</w:t>
      </w:r>
      <w:r w:rsidRPr="00BB7F25">
        <w:rPr>
          <w:rFonts w:ascii="Bookman Old Style" w:hAnsi="Bookman Old Style" w:cs="Arial"/>
        </w:rPr>
        <w:t xml:space="preserve"> or certification held by or applied for by the applicant or the applicant's spouse;</w:t>
      </w:r>
      <w:r>
        <w:rPr>
          <w:rFonts w:ascii="Bookman Old Style" w:hAnsi="Bookman Old Style" w:cs="Arial"/>
        </w:rPr>
        <w:t xml:space="preserve"> and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iii. Motor vehicle registrations and operator licenses held by or applied for by the applicant or the applicant's spouse, and any revocation or suspension thereof;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lastRenderedPageBreak/>
        <w:tab/>
      </w:r>
      <w:r w:rsidRPr="00BB7F25">
        <w:rPr>
          <w:rFonts w:ascii="Bookman Old Style" w:hAnsi="Bookman Old Style" w:cs="Arial"/>
        </w:rPr>
        <w:t>13. Civil, criminal</w:t>
      </w:r>
      <w:r>
        <w:rPr>
          <w:rFonts w:ascii="Bookman Old Style" w:hAnsi="Bookman Old Style" w:cs="Arial"/>
        </w:rPr>
        <w:t>,</w:t>
      </w:r>
      <w:r w:rsidRPr="00BB7F25">
        <w:rPr>
          <w:rFonts w:ascii="Bookman Old Style" w:hAnsi="Bookman Old Style" w:cs="Arial"/>
        </w:rPr>
        <w:t xml:space="preserve"> and investigatory proceedings in any jurisdiction, as follows: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  <w:b/>
        </w:rPr>
        <w:tab/>
      </w:r>
      <w:proofErr w:type="spellStart"/>
      <w:r w:rsidRPr="00BB7F25">
        <w:rPr>
          <w:rFonts w:ascii="Bookman Old Style" w:hAnsi="Bookman Old Style" w:cs="Arial"/>
        </w:rPr>
        <w:t>i</w:t>
      </w:r>
      <w:proofErr w:type="spellEnd"/>
      <w:r w:rsidRPr="00BB7F25">
        <w:rPr>
          <w:rFonts w:ascii="Bookman Old Style" w:hAnsi="Bookman Old Style" w:cs="Arial"/>
        </w:rPr>
        <w:t>. Arrests, charges</w:t>
      </w:r>
      <w:r>
        <w:rPr>
          <w:rFonts w:ascii="Bookman Old Style" w:hAnsi="Bookman Old Style" w:cs="Arial"/>
        </w:rPr>
        <w:t>,</w:t>
      </w:r>
      <w:r w:rsidRPr="00BB7F25">
        <w:rPr>
          <w:rFonts w:ascii="Bookman Old Style" w:hAnsi="Bookman Old Style" w:cs="Arial"/>
        </w:rPr>
        <w:t xml:space="preserve"> or offenses committed by the applicant or any member of the applicant's immediate family;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ii. Any appearance before, investigation by</w:t>
      </w:r>
      <w:r>
        <w:rPr>
          <w:rFonts w:ascii="Bookman Old Style" w:hAnsi="Bookman Old Style" w:cs="Arial"/>
        </w:rPr>
        <w:t>,</w:t>
      </w:r>
      <w:r w:rsidRPr="00BB7F25">
        <w:rPr>
          <w:rFonts w:ascii="Bookman Old Style" w:hAnsi="Bookman Old Style" w:cs="Arial"/>
        </w:rPr>
        <w:t xml:space="preserve"> or request to take a polygraph examination by any governmental agency, court, committee, grand jury</w:t>
      </w:r>
      <w:r>
        <w:rPr>
          <w:rFonts w:ascii="Bookman Old Style" w:hAnsi="Bookman Old Style" w:cs="Arial"/>
        </w:rPr>
        <w:t>,</w:t>
      </w:r>
      <w:r w:rsidRPr="00BB7F25">
        <w:rPr>
          <w:rFonts w:ascii="Bookman Old Style" w:hAnsi="Bookman Old Style" w:cs="Arial"/>
        </w:rPr>
        <w:t xml:space="preserve"> or investigatory body; and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iii. Lawsuits to which the applicant was or is a party; and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</w:rPr>
        <w:tab/>
        <w:t>14. Financial data, as follows: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  <w:b/>
        </w:rPr>
        <w:tab/>
      </w:r>
      <w:proofErr w:type="spellStart"/>
      <w:r w:rsidRPr="00BB7F25">
        <w:rPr>
          <w:rFonts w:ascii="Bookman Old Style" w:hAnsi="Bookman Old Style" w:cs="Arial"/>
        </w:rPr>
        <w:t>i</w:t>
      </w:r>
      <w:proofErr w:type="spellEnd"/>
      <w:r w:rsidRPr="00BB7F25">
        <w:rPr>
          <w:rFonts w:ascii="Bookman Old Style" w:hAnsi="Bookman Old Style" w:cs="Arial"/>
        </w:rPr>
        <w:t>. All assets and liabilities of the applicant, and the applicant's spouse and dependent children as indicated on the net worth statement and supporting schedules in a format prescribed by the Commission, including cash, bank accounts, notes payable and receivable, real estate and income taxes payable, loans, accounts payable, credit card debt</w:t>
      </w:r>
      <w:r>
        <w:rPr>
          <w:rFonts w:ascii="Bookman Old Style" w:hAnsi="Bookman Old Style" w:cs="Arial"/>
        </w:rPr>
        <w:t>,</w:t>
      </w:r>
      <w:r w:rsidRPr="00BB7F25">
        <w:rPr>
          <w:rFonts w:ascii="Bookman Old Style" w:hAnsi="Bookman Old Style" w:cs="Arial"/>
        </w:rPr>
        <w:t xml:space="preserve"> and any other indebtedness, contingent liabilities, securities, real estate interests, real estate mortgages and liens, life insurance, pension funds, vehicles</w:t>
      </w:r>
      <w:r>
        <w:rPr>
          <w:rFonts w:ascii="Bookman Old Style" w:hAnsi="Bookman Old Style" w:cs="Arial"/>
        </w:rPr>
        <w:t>,</w:t>
      </w:r>
      <w:r w:rsidRPr="00BB7F25">
        <w:rPr>
          <w:rFonts w:ascii="Bookman Old Style" w:hAnsi="Bookman Old Style" w:cs="Arial"/>
        </w:rPr>
        <w:t xml:space="preserve"> and other assets;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ii. Bank accounts, including any right of ownership in, control over or interest in any foreign bank account, and safe deposit boxes;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iii. Real estate interests held by the applicant or the applicant's spouse or dependent children;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iv. Businesses owned;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v. Copies of Federal and New Jersey tax returns and related information;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lastRenderedPageBreak/>
        <w:tab/>
      </w: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vi. Judgments or petitions for bankruptcy or insolvency concerning the applicant or any business entity in which the applicant held a five percent or greater interest, other than a publicly traded corporation, or in which the applicant served as an officer or director;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vii. Any garnishment or attachment of wages, charging order</w:t>
      </w:r>
      <w:r>
        <w:rPr>
          <w:rFonts w:ascii="Bookman Old Style" w:hAnsi="Bookman Old Style" w:cs="Arial"/>
        </w:rPr>
        <w:t>,</w:t>
      </w:r>
      <w:r w:rsidRPr="00BB7F25">
        <w:rPr>
          <w:rFonts w:ascii="Bookman Old Style" w:hAnsi="Bookman Old Style" w:cs="Arial"/>
        </w:rPr>
        <w:t xml:space="preserve"> or voluntary wage execution, including the amount, court, nature of the obligation</w:t>
      </w:r>
      <w:r>
        <w:rPr>
          <w:rFonts w:ascii="Bookman Old Style" w:hAnsi="Bookman Old Style" w:cs="Arial"/>
        </w:rPr>
        <w:t>,</w:t>
      </w:r>
      <w:r w:rsidRPr="00BB7F25">
        <w:rPr>
          <w:rFonts w:ascii="Bookman Old Style" w:hAnsi="Bookman Old Style" w:cs="Arial"/>
        </w:rPr>
        <w:t xml:space="preserve"> and the holder of the obligation;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viii. Positions held or interest received in any estate or trust;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ix. Insurance claims in excess of $100,000 by the applicant or the applicant's spouse or dependent children;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x. Loans in excess of $10,000 made or received by the applicant, the applicant's spouse</w:t>
      </w:r>
      <w:r>
        <w:rPr>
          <w:rFonts w:ascii="Bookman Old Style" w:hAnsi="Bookman Old Style" w:cs="Arial"/>
        </w:rPr>
        <w:t>,</w:t>
      </w:r>
      <w:r w:rsidRPr="00BB7F25">
        <w:rPr>
          <w:rFonts w:ascii="Bookman Old Style" w:hAnsi="Bookman Old Style" w:cs="Arial"/>
        </w:rPr>
        <w:t xml:space="preserve"> or dependent children;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xi. Gifts in excess of $10,000 given or received by the applicant or the applicant's immediate family; and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xii. Referral or finder's fees in excess of $10,000.</w:t>
      </w:r>
    </w:p>
    <w:p w:rsidR="00C7523A" w:rsidRPr="00BB7F25" w:rsidRDefault="00C7523A" w:rsidP="00C7523A">
      <w:pPr>
        <w:spacing w:line="480" w:lineRule="auto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</w:rPr>
        <w:t>(b) In addition to the information in (a) above, a completed PHD-1B shall include the following: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1. A signed, dated</w:t>
      </w:r>
      <w:r>
        <w:rPr>
          <w:rFonts w:ascii="Bookman Old Style" w:hAnsi="Bookman Old Style" w:cs="Arial"/>
        </w:rPr>
        <w:t>,</w:t>
      </w:r>
      <w:r w:rsidRPr="00BB7F25">
        <w:rPr>
          <w:rFonts w:ascii="Bookman Old Style" w:hAnsi="Bookman Old Style" w:cs="Arial"/>
        </w:rPr>
        <w:t xml:space="preserve"> and notarized certification of truth; </w:t>
      </w:r>
    </w:p>
    <w:p w:rsidR="00C7523A" w:rsidRPr="00BB7F25" w:rsidRDefault="00C7523A" w:rsidP="00C7523A">
      <w:pPr>
        <w:spacing w:line="480" w:lineRule="auto"/>
        <w:ind w:firstLine="36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  <w:b/>
        </w:rPr>
        <w:tab/>
      </w:r>
      <w:r w:rsidRPr="00BB7F25">
        <w:rPr>
          <w:rFonts w:ascii="Bookman Old Style" w:hAnsi="Bookman Old Style" w:cs="Arial"/>
        </w:rPr>
        <w:t>2. A signed, dated</w:t>
      </w:r>
      <w:r>
        <w:rPr>
          <w:rFonts w:ascii="Bookman Old Style" w:hAnsi="Bookman Old Style" w:cs="Arial"/>
        </w:rPr>
        <w:t>,</w:t>
      </w:r>
      <w:r w:rsidRPr="00BB7F25">
        <w:rPr>
          <w:rFonts w:ascii="Bookman Old Style" w:hAnsi="Bookman Old Style" w:cs="Arial"/>
        </w:rPr>
        <w:t xml:space="preserve"> and notarized Release Authorization which shall direct all courts, probation departments, selective service boards, employers, educational institutions, financial and other institutions</w:t>
      </w:r>
      <w:r>
        <w:rPr>
          <w:rFonts w:ascii="Bookman Old Style" w:hAnsi="Bookman Old Style" w:cs="Arial"/>
        </w:rPr>
        <w:t>,</w:t>
      </w:r>
      <w:r w:rsidRPr="00BB7F25">
        <w:rPr>
          <w:rFonts w:ascii="Bookman Old Style" w:hAnsi="Bookman Old Style" w:cs="Arial"/>
        </w:rPr>
        <w:t xml:space="preserve"> and all governmental agencies to release any and all information pertaining to the applicant as requested by the Commission or the Division; and</w:t>
      </w:r>
    </w:p>
    <w:p w:rsidR="00C7523A" w:rsidRPr="00BB7F25" w:rsidRDefault="00C7523A" w:rsidP="00C7523A">
      <w:pPr>
        <w:spacing w:line="480" w:lineRule="auto"/>
        <w:ind w:firstLine="720"/>
        <w:rPr>
          <w:rFonts w:ascii="Bookman Old Style" w:hAnsi="Bookman Old Style" w:cs="Arial"/>
        </w:rPr>
      </w:pPr>
      <w:r w:rsidRPr="00BB7F25">
        <w:rPr>
          <w:rFonts w:ascii="Bookman Old Style" w:hAnsi="Bookman Old Style" w:cs="Arial"/>
        </w:rPr>
        <w:lastRenderedPageBreak/>
        <w:t xml:space="preserve">3. The name, </w:t>
      </w:r>
      <w:proofErr w:type="gramStart"/>
      <w:r w:rsidRPr="00BB7F25">
        <w:rPr>
          <w:rFonts w:ascii="Bookman Old Style" w:hAnsi="Bookman Old Style" w:cs="Arial"/>
        </w:rPr>
        <w:t>address</w:t>
      </w:r>
      <w:proofErr w:type="gramEnd"/>
      <w:r w:rsidRPr="00BB7F25">
        <w:rPr>
          <w:rFonts w:ascii="Bookman Old Style" w:hAnsi="Bookman Old Style" w:cs="Arial"/>
        </w:rPr>
        <w:t>, occupation, and telephone number of persons who can attest to the applicant’s good character and reputation.</w:t>
      </w:r>
    </w:p>
    <w:p w:rsidR="00C7523A" w:rsidRPr="00BB7F25" w:rsidRDefault="00C7523A" w:rsidP="00C7523A">
      <w:pPr>
        <w:widowControl w:val="0"/>
        <w:tabs>
          <w:tab w:val="left" w:pos="720"/>
          <w:tab w:val="right" w:pos="1440"/>
          <w:tab w:val="left" w:pos="1800"/>
        </w:tabs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  <w:bCs w:val="0"/>
        </w:rPr>
      </w:pPr>
    </w:p>
    <w:p w:rsidR="00C7523A" w:rsidRPr="00BB7F25" w:rsidRDefault="00C7523A" w:rsidP="00C7523A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  <w:bCs w:val="0"/>
        </w:rPr>
      </w:pPr>
      <w:r w:rsidRPr="00BB7F25">
        <w:rPr>
          <w:rFonts w:ascii="Bookman Old Style" w:hAnsi="Bookman Old Style"/>
          <w:bCs w:val="0"/>
        </w:rPr>
        <w:t>19:41A-</w:t>
      </w:r>
      <w:proofErr w:type="gramStart"/>
      <w:r w:rsidRPr="00BB7F25">
        <w:rPr>
          <w:rFonts w:ascii="Bookman Old Style" w:hAnsi="Bookman Old Style"/>
          <w:bCs w:val="0"/>
        </w:rPr>
        <w:t>7.4  Request</w:t>
      </w:r>
      <w:proofErr w:type="gramEnd"/>
      <w:r w:rsidRPr="00BB7F25">
        <w:rPr>
          <w:rFonts w:ascii="Bookman Old Style" w:hAnsi="Bookman Old Style"/>
          <w:bCs w:val="0"/>
        </w:rPr>
        <w:t xml:space="preserve"> to Determine Employment or Reapplication</w:t>
      </w:r>
      <w:r>
        <w:rPr>
          <w:rFonts w:ascii="Bookman Old Style" w:hAnsi="Bookman Old Style"/>
          <w:bCs w:val="0"/>
        </w:rPr>
        <w:t xml:space="preserve"> </w:t>
      </w:r>
      <w:r w:rsidRPr="00BB7F25">
        <w:rPr>
          <w:rFonts w:ascii="Bookman Old Style" w:hAnsi="Bookman Old Style"/>
          <w:bCs w:val="0"/>
        </w:rPr>
        <w:t xml:space="preserve">Eligibility Form </w:t>
      </w:r>
    </w:p>
    <w:p w:rsidR="00C7523A" w:rsidRPr="00C528B7" w:rsidRDefault="00C7523A" w:rsidP="00AC5D10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Bookman Old Style" w:hAnsi="Bookman Old Style"/>
        </w:rPr>
      </w:pPr>
      <w:r w:rsidRPr="00BB7F25">
        <w:rPr>
          <w:rFonts w:ascii="Bookman Old Style" w:hAnsi="Bookman Old Style"/>
        </w:rPr>
        <w:t xml:space="preserve">A Request to Determine Employment or Reapplication Eligibility Form </w:t>
      </w:r>
      <w:r w:rsidR="00AC5D10">
        <w:rPr>
          <w:rFonts w:ascii="Bookman Old Style" w:hAnsi="Bookman Old Style"/>
        </w:rPr>
        <w:t xml:space="preserve">is set forth in the rules of the Division at N.J.A.C. 13:69A-5.5B.  </w:t>
      </w:r>
    </w:p>
    <w:p w:rsidR="00F07FA7" w:rsidRDefault="00F07FA7"/>
    <w:sectPr w:rsidR="00F07FA7" w:rsidSect="00A56563">
      <w:pgSz w:w="12240" w:h="15840"/>
      <w:pgMar w:top="1440" w:right="1440" w:bottom="1440" w:left="1440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23A"/>
    <w:rsid w:val="00381A1A"/>
    <w:rsid w:val="00A0782E"/>
    <w:rsid w:val="00A56563"/>
    <w:rsid w:val="00AC5D10"/>
    <w:rsid w:val="00C7523A"/>
    <w:rsid w:val="00D6460E"/>
    <w:rsid w:val="00E84388"/>
    <w:rsid w:val="00F0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3A"/>
    <w:pPr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23A"/>
    <w:pPr>
      <w:spacing w:after="0" w:line="240" w:lineRule="auto"/>
    </w:pPr>
    <w:rPr>
      <w:rFonts w:ascii="Times New Roman" w:eastAsia="Times New Roman" w:hAnsi="Times New Roman" w:cs="Bookman Old Style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821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NJCCC</Company>
  <LinksUpToDate>false</LinksUpToDate>
  <CharactersWithSpaces>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tpimpinelli</dc:creator>
  <cp:lastModifiedBy>tpimpinelli</cp:lastModifiedBy>
  <cp:revision>2</cp:revision>
  <dcterms:created xsi:type="dcterms:W3CDTF">2015-06-30T16:00:00Z</dcterms:created>
  <dcterms:modified xsi:type="dcterms:W3CDTF">2015-06-30T16:00:00Z</dcterms:modified>
</cp:coreProperties>
</file>