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proofErr w:type="gramStart"/>
      <w:r w:rsidRPr="00233E61">
        <w:rPr>
          <w:rFonts w:ascii="Times New Roman" w:hAnsi="Times New Roman"/>
          <w:szCs w:val="24"/>
        </w:rPr>
        <w:t>SUBCHAPTER 1.</w:t>
      </w:r>
      <w:proofErr w:type="gramEnd"/>
      <w:r w:rsidRPr="00233E61">
        <w:rPr>
          <w:rFonts w:ascii="Times New Roman" w:hAnsi="Times New Roman"/>
          <w:szCs w:val="24"/>
        </w:rPr>
        <w:t xml:space="preserve">  </w:t>
      </w:r>
      <w:r w:rsidRPr="00233E61">
        <w:rPr>
          <w:rFonts w:ascii="Times New Roman" w:hAnsi="Times New Roman"/>
          <w:szCs w:val="24"/>
        </w:rPr>
        <w:tab/>
        <w:t xml:space="preserve">GENERAL PROVISIONS 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>19:42A-1.1   Definitions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The following words and terms, when used in this chapter, shall have the following meanings, unless the context clearly indicates otherwise: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“Act” shall mean the Casino Control Act, N.J.S.A. 5:12-1 et seq.</w:t>
      </w:r>
    </w:p>
    <w:p w:rsidR="00B7293D" w:rsidRPr="00233E61" w:rsidRDefault="00B7293D" w:rsidP="00B7293D">
      <w:pPr>
        <w:spacing w:line="480" w:lineRule="auto"/>
        <w:ind w:firstLine="720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>“Appeal” means a review by the Commission of any final action of the Director, or his or her designee, as set forth in N.J.S.A. 5:12-63(1</w:t>
      </w:r>
      <w:proofErr w:type="gramStart"/>
      <w:r w:rsidRPr="00233E61">
        <w:rPr>
          <w:rFonts w:ascii="Times New Roman" w:hAnsi="Times New Roman"/>
          <w:szCs w:val="24"/>
        </w:rPr>
        <w:t>)(</w:t>
      </w:r>
      <w:proofErr w:type="gramEnd"/>
      <w:r w:rsidRPr="00233E61">
        <w:rPr>
          <w:rFonts w:ascii="Times New Roman" w:hAnsi="Times New Roman"/>
          <w:szCs w:val="24"/>
        </w:rPr>
        <w:t>b).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“Appeal hearing” means the formal proceeding during which the Commission receives written and/or oral arguments related to an appeal.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 xml:space="preserve">“Appellant” means the party who files with the Commission a written request to appeal from a final action. 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 xml:space="preserve">“Case Information Statement” means a form that provides the Commission with a brief summary of the underlying matter being appealed.  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“Commission” shall mean the Casino Control Commission.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“Director” means the Director of the Division of Gaming Enforcement.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“Division” shall mean the Division of Gaming Enforcement, within the Department of Law and Public Safety.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 xml:space="preserve">“Exclusion list” </w:t>
      </w:r>
      <w:r w:rsidRPr="00233E61">
        <w:rPr>
          <w:rFonts w:ascii="Times New Roman" w:hAnsi="Times New Roman"/>
          <w:color w:val="000000"/>
          <w:szCs w:val="24"/>
        </w:rPr>
        <w:t>means a list of persons who, pursuant to N.J.S.A. 5:12-71, and as defined at N.J.A.C. 13:69G-1.1, are required to be excluded or ejected from casino hotel facilities.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“Final action” means a decision or order issued by the Director, which may be appealed to the Commission pursuant to N.J.S.A. 5:12-63(1</w:t>
      </w:r>
      <w:proofErr w:type="gramStart"/>
      <w:r w:rsidRPr="00233E61">
        <w:rPr>
          <w:rFonts w:ascii="Times New Roman" w:hAnsi="Times New Roman"/>
          <w:szCs w:val="24"/>
        </w:rPr>
        <w:t>)(</w:t>
      </w:r>
      <w:proofErr w:type="gramEnd"/>
      <w:r w:rsidRPr="00233E61">
        <w:rPr>
          <w:rFonts w:ascii="Times New Roman" w:hAnsi="Times New Roman"/>
          <w:szCs w:val="24"/>
        </w:rPr>
        <w:t>b).</w:t>
      </w:r>
    </w:p>
    <w:p w:rsidR="00B7293D" w:rsidRPr="00233E61" w:rsidRDefault="00B7293D" w:rsidP="00B7293D">
      <w:pPr>
        <w:spacing w:line="480" w:lineRule="auto"/>
        <w:jc w:val="both"/>
        <w:rPr>
          <w:rFonts w:ascii="Times New Roman" w:hAnsi="Times New Roman"/>
          <w:color w:val="000000"/>
          <w:szCs w:val="24"/>
        </w:rPr>
      </w:pPr>
      <w:r w:rsidRPr="00233E61">
        <w:rPr>
          <w:rFonts w:ascii="Times New Roman" w:hAnsi="Times New Roman"/>
          <w:szCs w:val="24"/>
        </w:rPr>
        <w:tab/>
        <w:t xml:space="preserve">“Hearing examiner” is the “judge” as defined in the UAPR, and shall also include the Commission, the </w:t>
      </w:r>
      <w:r w:rsidRPr="00233E61">
        <w:rPr>
          <w:rFonts w:ascii="Times New Roman" w:hAnsi="Times New Roman"/>
          <w:color w:val="000000"/>
          <w:szCs w:val="24"/>
        </w:rPr>
        <w:t xml:space="preserve">Chair, a member of the Commission, or any other qualified person, other than </w:t>
      </w:r>
      <w:r w:rsidRPr="00233E61">
        <w:rPr>
          <w:rFonts w:ascii="Times New Roman" w:hAnsi="Times New Roman"/>
          <w:color w:val="000000"/>
          <w:szCs w:val="24"/>
        </w:rPr>
        <w:lastRenderedPageBreak/>
        <w:t xml:space="preserve">an employee of the Commission, designated to hear facts and issues pertaining to a particular matter.  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“OAL” means the Office of Administrative Law.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 xml:space="preserve">“Party” means any person or entity directly involved in a contested case, including petitioner, respondent, </w:t>
      </w:r>
      <w:proofErr w:type="spellStart"/>
      <w:r w:rsidRPr="00233E61">
        <w:rPr>
          <w:rFonts w:ascii="Times New Roman" w:hAnsi="Times New Roman"/>
          <w:szCs w:val="24"/>
        </w:rPr>
        <w:t>intervenor</w:t>
      </w:r>
      <w:proofErr w:type="spellEnd"/>
      <w:r w:rsidRPr="00233E61">
        <w:rPr>
          <w:rFonts w:ascii="Times New Roman" w:hAnsi="Times New Roman"/>
          <w:szCs w:val="24"/>
        </w:rPr>
        <w:t xml:space="preserve">, or State agency proceeding in any such capacity.  </w:t>
      </w:r>
    </w:p>
    <w:p w:rsidR="00B7293D" w:rsidRPr="00233E61" w:rsidRDefault="00B7293D" w:rsidP="00B7293D">
      <w:pPr>
        <w:suppressAutoHyphens/>
        <w:spacing w:line="480" w:lineRule="auto"/>
        <w:ind w:firstLine="720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>“Report” means a written report from the Division setting forth its position on an initial or resubmission casino key employee license application.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ab/>
        <w:t>“UAPR” means the Uniform Administrative Procedure Rules, as set forth at N.J.A.C. 1:1.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>19:42A-1.2   Applicability of rules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 xml:space="preserve">(a)  Any contested case or appeal hearing before the Commission initiated pursuant to the Casino Control Act shall be conducted pursuant to the UAPR, the special hearing rules, N.J.A.C. 1:19, the provisions of the Act, and this chapter.   </w:t>
      </w:r>
    </w:p>
    <w:p w:rsidR="00B7293D" w:rsidRPr="00233E61" w:rsidRDefault="00B7293D" w:rsidP="00B7293D">
      <w:pPr>
        <w:suppressAutoHyphens/>
        <w:spacing w:line="480" w:lineRule="auto"/>
        <w:jc w:val="both"/>
        <w:rPr>
          <w:rFonts w:ascii="Times New Roman" w:hAnsi="Times New Roman"/>
          <w:szCs w:val="24"/>
        </w:rPr>
      </w:pPr>
      <w:r w:rsidRPr="00233E61">
        <w:rPr>
          <w:rFonts w:ascii="Times New Roman" w:hAnsi="Times New Roman"/>
          <w:szCs w:val="24"/>
        </w:rPr>
        <w:t>(b)  To the extent that the Casino Control Act and the rules contained in this chapter, which implement the Casino Control Act, are inconsistent with the UAPR, this chapter shall apply.</w:t>
      </w:r>
    </w:p>
    <w:p w:rsidR="00B054FC" w:rsidRDefault="00B054FC"/>
    <w:sectPr w:rsidR="00B054FC" w:rsidSect="00B0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B7293D"/>
    <w:rsid w:val="006B025A"/>
    <w:rsid w:val="00937348"/>
    <w:rsid w:val="00B054FC"/>
    <w:rsid w:val="00B52A55"/>
    <w:rsid w:val="00B7293D"/>
    <w:rsid w:val="00CB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3D"/>
    <w:pPr>
      <w:spacing w:after="0" w:line="240" w:lineRule="auto"/>
    </w:pPr>
    <w:rPr>
      <w:rFonts w:ascii="Bookman Old Style" w:eastAsia="Calibri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>NJCCC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tpimpinelli</dc:creator>
  <cp:keywords/>
  <dc:description/>
  <cp:lastModifiedBy>tpimpinelli</cp:lastModifiedBy>
  <cp:revision>2</cp:revision>
  <dcterms:created xsi:type="dcterms:W3CDTF">2013-05-01T13:37:00Z</dcterms:created>
  <dcterms:modified xsi:type="dcterms:W3CDTF">2013-05-01T13:37:00Z</dcterms:modified>
</cp:coreProperties>
</file>