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3E" w:rsidRDefault="00B0333E" w:rsidP="00B0333E">
      <w:pPr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>SUBCHAPTER 7.  INTERIM CASINO AUTHORIZATION</w:t>
      </w:r>
    </w:p>
    <w:p w:rsidR="0023616E" w:rsidRDefault="0023616E" w:rsidP="00B0333E">
      <w:pPr>
        <w:spacing w:line="480" w:lineRule="auto"/>
        <w:jc w:val="both"/>
        <w:rPr>
          <w:rFonts w:ascii="Bookman Old Style" w:hAnsi="Bookman Old Style"/>
        </w:rPr>
      </w:pPr>
    </w:p>
    <w:p w:rsidR="00B0333E" w:rsidRPr="00C528B7" w:rsidRDefault="00B0333E" w:rsidP="00B0333E">
      <w:pPr>
        <w:spacing w:line="480" w:lineRule="auto"/>
        <w:jc w:val="both"/>
        <w:rPr>
          <w:rFonts w:ascii="Bookman Old Style" w:hAnsi="Bookman Old Style"/>
        </w:rPr>
      </w:pPr>
      <w:bookmarkStart w:id="0" w:name="_GoBack"/>
      <w:bookmarkEnd w:id="0"/>
      <w:r w:rsidRPr="00C528B7">
        <w:rPr>
          <w:rFonts w:ascii="Bookman Old Style" w:hAnsi="Bookman Old Style"/>
        </w:rPr>
        <w:t>19:43A-7.1  Applications for interim casino authorization</w:t>
      </w:r>
    </w:p>
    <w:p w:rsidR="00B0333E" w:rsidRPr="00C528B7" w:rsidRDefault="00B0333E" w:rsidP="00B0333E">
      <w:pPr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 xml:space="preserve">(a)  An application for interim casino authorization by the Commission pursuant to N.J.S.A. 5:12-95.12 et seq. shall be initiated by the filing of a petition with the </w:t>
      </w:r>
      <w:r>
        <w:rPr>
          <w:rFonts w:ascii="Bookman Old Style" w:hAnsi="Bookman Old Style"/>
        </w:rPr>
        <w:t>Division’s Intake Unit.</w:t>
      </w:r>
    </w:p>
    <w:p w:rsidR="00B0333E" w:rsidRPr="00C528B7" w:rsidRDefault="00B0333E" w:rsidP="00B0333E">
      <w:pPr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>(b)  An applicant for interim casino authorization shall submit to the Division such investigatory materials as may be required by the rules of the Division.</w:t>
      </w:r>
    </w:p>
    <w:p w:rsidR="00B0333E" w:rsidRPr="00C528B7" w:rsidRDefault="00B0333E" w:rsidP="00B0333E">
      <w:pPr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 xml:space="preserve">(c)  Contemporaneously with the filings in (a) and (b) above, the applicant shall provide the Commission with a copy </w:t>
      </w:r>
      <w:r w:rsidR="00687A47">
        <w:rPr>
          <w:rFonts w:ascii="Bookman Old Style" w:hAnsi="Bookman Old Style"/>
        </w:rPr>
        <w:t xml:space="preserve">a </w:t>
      </w:r>
      <w:r w:rsidRPr="00C528B7">
        <w:rPr>
          <w:rFonts w:ascii="Bookman Old Style" w:hAnsi="Bookman Old Style"/>
        </w:rPr>
        <w:t>fully executed trust agreement in accordance with N.J.S.A. 5:12-95.12 and 95.14.</w:t>
      </w:r>
    </w:p>
    <w:p w:rsidR="00F07FA7" w:rsidRDefault="00F07FA7"/>
    <w:sectPr w:rsidR="00F07FA7" w:rsidSect="00A56563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3E"/>
    <w:rsid w:val="001E7018"/>
    <w:rsid w:val="0023616E"/>
    <w:rsid w:val="00687A47"/>
    <w:rsid w:val="00A0782E"/>
    <w:rsid w:val="00A56563"/>
    <w:rsid w:val="00B0333E"/>
    <w:rsid w:val="00F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3E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3E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NJCCC</Company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tpimpinelli</dc:creator>
  <cp:lastModifiedBy>tpimpinelli</cp:lastModifiedBy>
  <cp:revision>3</cp:revision>
  <dcterms:created xsi:type="dcterms:W3CDTF">2015-06-30T16:03:00Z</dcterms:created>
  <dcterms:modified xsi:type="dcterms:W3CDTF">2015-06-30T16:14:00Z</dcterms:modified>
</cp:coreProperties>
</file>