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3757" w14:textId="31FCA419" w:rsidR="00C432BC" w:rsidRDefault="00C432BC" w:rsidP="00C432BC">
      <w:pPr>
        <w:jc w:val="center"/>
        <w:rPr>
          <w:rFonts w:cstheme="minorHAnsi"/>
          <w:b/>
        </w:rPr>
      </w:pPr>
      <w:r>
        <w:rPr>
          <w:rFonts w:cstheme="minorHAnsi"/>
          <w:b/>
        </w:rPr>
        <w:t>Eviction Diversion Initiative (EDI)</w:t>
      </w:r>
    </w:p>
    <w:p w14:paraId="5939DAD9" w14:textId="77777777" w:rsidR="00C432BC" w:rsidRDefault="00C432BC" w:rsidP="00C432BC">
      <w:pPr>
        <w:jc w:val="center"/>
        <w:rPr>
          <w:rFonts w:cstheme="minorHAnsi"/>
          <w:b/>
        </w:rPr>
      </w:pPr>
      <w:r>
        <w:rPr>
          <w:rFonts w:cstheme="minorHAnsi"/>
          <w:b/>
        </w:rPr>
        <w:t>NJ Department of Community Affairs</w:t>
      </w:r>
    </w:p>
    <w:p w14:paraId="1B8D934C" w14:textId="77777777" w:rsidR="00C432BC" w:rsidRDefault="00C432BC" w:rsidP="00C432BC">
      <w:pPr>
        <w:jc w:val="center"/>
        <w:rPr>
          <w:rFonts w:cstheme="minorHAnsi"/>
          <w:b/>
        </w:rPr>
      </w:pPr>
    </w:p>
    <w:p w14:paraId="215883A2" w14:textId="77777777" w:rsidR="00C432BC" w:rsidRDefault="00C432BC" w:rsidP="00C432BC">
      <w:pPr>
        <w:jc w:val="center"/>
        <w:rPr>
          <w:rFonts w:cstheme="minorHAnsi"/>
          <w:b/>
        </w:rPr>
      </w:pPr>
      <w:r>
        <w:rPr>
          <w:rFonts w:cstheme="minorHAnsi"/>
          <w:b/>
        </w:rPr>
        <w:t>REQUEST FOR PROPOSALS</w:t>
      </w:r>
    </w:p>
    <w:p w14:paraId="5BBE9A18" w14:textId="01494728" w:rsidR="00C432BC" w:rsidRDefault="00BC6172" w:rsidP="00C432BC">
      <w:pPr>
        <w:jc w:val="center"/>
        <w:rPr>
          <w:rFonts w:cstheme="minorHAnsi"/>
          <w:b/>
        </w:rPr>
      </w:pPr>
      <w:r>
        <w:rPr>
          <w:rFonts w:cstheme="minorHAnsi"/>
          <w:b/>
        </w:rPr>
        <w:t>November</w:t>
      </w:r>
      <w:r w:rsidR="00C432BC">
        <w:rPr>
          <w:rFonts w:cstheme="minorHAnsi"/>
          <w:b/>
        </w:rPr>
        <w:t xml:space="preserve"> 2021</w:t>
      </w:r>
    </w:p>
    <w:p w14:paraId="36FE723A" w14:textId="77777777" w:rsidR="00C432BC" w:rsidRDefault="00C432BC" w:rsidP="00C432BC">
      <w:pPr>
        <w:spacing w:after="131" w:line="250" w:lineRule="auto"/>
        <w:ind w:left="31" w:right="43" w:hanging="3"/>
        <w:jc w:val="both"/>
        <w:rPr>
          <w:b/>
          <w:bCs/>
          <w:highlight w:val="yellow"/>
        </w:rPr>
      </w:pPr>
    </w:p>
    <w:p w14:paraId="5A70EF10" w14:textId="2CF4D1C9" w:rsidR="00C432BC" w:rsidRPr="00195174" w:rsidRDefault="00C432BC" w:rsidP="00C432BC">
      <w:pPr>
        <w:pStyle w:val="ListParagraph"/>
        <w:numPr>
          <w:ilvl w:val="0"/>
          <w:numId w:val="7"/>
        </w:numPr>
        <w:spacing w:after="131" w:line="250" w:lineRule="auto"/>
        <w:ind w:right="43"/>
        <w:jc w:val="both"/>
      </w:pPr>
      <w:r w:rsidRPr="00195174">
        <w:rPr>
          <w:b/>
          <w:bCs/>
          <w:sz w:val="24"/>
          <w:highlight w:val="yellow"/>
        </w:rPr>
        <w:t>Name of grant program</w:t>
      </w:r>
      <w:r w:rsidRPr="00195174">
        <w:rPr>
          <w:sz w:val="24"/>
        </w:rPr>
        <w:t xml:space="preserve">: </w:t>
      </w:r>
      <w:r w:rsidR="009070B1">
        <w:rPr>
          <w:sz w:val="24"/>
        </w:rPr>
        <w:t>Eviction Diversion Initiative</w:t>
      </w:r>
      <w:r w:rsidR="0097652A">
        <w:rPr>
          <w:sz w:val="24"/>
        </w:rPr>
        <w:t xml:space="preserve"> (EDI)</w:t>
      </w:r>
    </w:p>
    <w:p w14:paraId="39902A68" w14:textId="77777777" w:rsidR="00C432BC" w:rsidRDefault="00C432BC" w:rsidP="00C432BC">
      <w:pPr>
        <w:pStyle w:val="ListParagraph"/>
        <w:spacing w:after="131" w:line="250" w:lineRule="auto"/>
        <w:ind w:left="388" w:right="43"/>
        <w:jc w:val="both"/>
      </w:pPr>
    </w:p>
    <w:p w14:paraId="785E2963" w14:textId="3E423D10" w:rsidR="00BC6172" w:rsidRPr="00BC6172" w:rsidRDefault="00C432BC" w:rsidP="00BC6172">
      <w:pPr>
        <w:pStyle w:val="ListParagraph"/>
        <w:numPr>
          <w:ilvl w:val="0"/>
          <w:numId w:val="7"/>
        </w:numPr>
        <w:rPr>
          <w:rFonts w:asciiTheme="minorHAnsi" w:eastAsia="Times New Roman" w:hAnsiTheme="minorHAnsi" w:cstheme="minorHAnsi"/>
          <w:sz w:val="24"/>
          <w:szCs w:val="24"/>
        </w:rPr>
      </w:pPr>
      <w:r w:rsidRPr="00BC6172">
        <w:rPr>
          <w:rFonts w:asciiTheme="minorHAnsi" w:hAnsiTheme="minorHAnsi" w:cstheme="minorHAnsi"/>
          <w:b/>
          <w:bCs/>
          <w:sz w:val="24"/>
          <w:szCs w:val="24"/>
          <w:highlight w:val="yellow"/>
        </w:rPr>
        <w:t>Purpose of the grant</w:t>
      </w:r>
      <w:r w:rsidRPr="00BC6172">
        <w:rPr>
          <w:rFonts w:asciiTheme="minorHAnsi" w:hAnsiTheme="minorHAnsi" w:cstheme="minorHAnsi"/>
          <w:sz w:val="24"/>
          <w:szCs w:val="24"/>
        </w:rPr>
        <w:t>: T</w:t>
      </w:r>
      <w:r w:rsidR="0097652A" w:rsidRPr="00BC6172">
        <w:rPr>
          <w:rFonts w:asciiTheme="minorHAnsi" w:hAnsiTheme="minorHAnsi" w:cstheme="minorHAnsi"/>
          <w:sz w:val="24"/>
          <w:szCs w:val="24"/>
        </w:rPr>
        <w:t xml:space="preserve">his </w:t>
      </w:r>
      <w:r w:rsidR="000208E6">
        <w:rPr>
          <w:rFonts w:asciiTheme="minorHAnsi" w:hAnsiTheme="minorHAnsi" w:cstheme="minorHAnsi"/>
          <w:sz w:val="24"/>
          <w:szCs w:val="24"/>
        </w:rPr>
        <w:t xml:space="preserve">pilot </w:t>
      </w:r>
      <w:r w:rsidR="0097652A" w:rsidRPr="00BC6172">
        <w:rPr>
          <w:rFonts w:asciiTheme="minorHAnsi" w:hAnsiTheme="minorHAnsi" w:cstheme="minorHAnsi"/>
          <w:sz w:val="24"/>
          <w:szCs w:val="24"/>
        </w:rPr>
        <w:t xml:space="preserve">initiative will </w:t>
      </w:r>
      <w:r w:rsidR="00BC6172" w:rsidRPr="00BC6172">
        <w:rPr>
          <w:rFonts w:asciiTheme="minorHAnsi" w:hAnsiTheme="minorHAnsi" w:cstheme="minorHAnsi"/>
          <w:sz w:val="24"/>
          <w:szCs w:val="24"/>
        </w:rPr>
        <w:t xml:space="preserve">fund 1-4 community-based </w:t>
      </w:r>
      <w:proofErr w:type="spellStart"/>
      <w:r w:rsidR="00BC6172" w:rsidRPr="00BC6172">
        <w:rPr>
          <w:rFonts w:asciiTheme="minorHAnsi" w:hAnsiTheme="minorHAnsi" w:cstheme="minorHAnsi"/>
          <w:sz w:val="24"/>
          <w:szCs w:val="24"/>
        </w:rPr>
        <w:t xml:space="preserve">agencies </w:t>
      </w:r>
      <w:proofErr w:type="spellEnd"/>
      <w:r w:rsidR="00BC6172" w:rsidRPr="00BC6172">
        <w:rPr>
          <w:rFonts w:asciiTheme="minorHAnsi" w:eastAsia="Times New Roman" w:hAnsiTheme="minorHAnsi" w:cstheme="minorHAnsi"/>
          <w:sz w:val="24"/>
          <w:szCs w:val="24"/>
        </w:rPr>
        <w:t xml:space="preserve">to place experienced case workers in each county vicinage in landlord-tenant proceedings. These Resource Navigators will be available to attend eviction proceedings (virtually or in person) and to provide information and linkages to resources that may help tenants prevent eviction. Resource Navigators will provide information about the availability of rental assistance at local, </w:t>
      </w:r>
      <w:proofErr w:type="gramStart"/>
      <w:r w:rsidR="00BC6172" w:rsidRPr="00BC6172">
        <w:rPr>
          <w:rFonts w:asciiTheme="minorHAnsi" w:eastAsia="Times New Roman" w:hAnsiTheme="minorHAnsi" w:cstheme="minorHAnsi"/>
          <w:sz w:val="24"/>
          <w:szCs w:val="24"/>
        </w:rPr>
        <w:t>state</w:t>
      </w:r>
      <w:proofErr w:type="gramEnd"/>
      <w:r w:rsidR="00BC6172" w:rsidRPr="00BC6172">
        <w:rPr>
          <w:rFonts w:asciiTheme="minorHAnsi" w:eastAsia="Times New Roman" w:hAnsiTheme="minorHAnsi" w:cstheme="minorHAnsi"/>
          <w:sz w:val="24"/>
          <w:szCs w:val="24"/>
        </w:rPr>
        <w:t xml:space="preserve"> and federal levels, status of rental assistance applications, the process for filing for eviction protections, benefits available at the federal, local and state level, linkages to legal services and other resources to assist in diverting evictions, and linkages to other intervention supports to households experiencing crisis. Resource Navigators must be trained in anti-eviction resources and programs, including the New Jersey Department of Community Affairs’ Eviction Prevention Program (EPP) self-certification and rental assistance process,</w:t>
      </w:r>
      <w:r w:rsidR="00BC6172">
        <w:rPr>
          <w:rFonts w:asciiTheme="minorHAnsi" w:eastAsia="Times New Roman" w:hAnsiTheme="minorHAnsi" w:cstheme="minorHAnsi"/>
          <w:sz w:val="24"/>
          <w:szCs w:val="24"/>
        </w:rPr>
        <w:t xml:space="preserve"> </w:t>
      </w:r>
      <w:r w:rsidR="00BC6172" w:rsidRPr="00BC6172">
        <w:rPr>
          <w:rFonts w:asciiTheme="minorHAnsi" w:eastAsia="Times New Roman" w:hAnsiTheme="minorHAnsi" w:cstheme="minorHAnsi"/>
          <w:sz w:val="24"/>
          <w:szCs w:val="24"/>
        </w:rPr>
        <w:t xml:space="preserve">homelessness prevention assistance, and benefit programs at the federal, </w:t>
      </w:r>
      <w:proofErr w:type="gramStart"/>
      <w:r w:rsidR="00BC6172" w:rsidRPr="00BC6172">
        <w:rPr>
          <w:rFonts w:asciiTheme="minorHAnsi" w:eastAsia="Times New Roman" w:hAnsiTheme="minorHAnsi" w:cstheme="minorHAnsi"/>
          <w:sz w:val="24"/>
          <w:szCs w:val="24"/>
        </w:rPr>
        <w:t>state</w:t>
      </w:r>
      <w:proofErr w:type="gramEnd"/>
      <w:r w:rsidR="00BC6172" w:rsidRPr="00BC6172">
        <w:rPr>
          <w:rFonts w:asciiTheme="minorHAnsi" w:eastAsia="Times New Roman" w:hAnsiTheme="minorHAnsi" w:cstheme="minorHAnsi"/>
          <w:sz w:val="24"/>
          <w:szCs w:val="24"/>
        </w:rPr>
        <w:t xml:space="preserve"> and local levels. Resource Navigators will liaise with landlord-tenant court legal specialists and assignment judges</w:t>
      </w:r>
      <w:r w:rsidR="00BC6172">
        <w:rPr>
          <w:rFonts w:asciiTheme="minorHAnsi" w:eastAsia="Times New Roman" w:hAnsiTheme="minorHAnsi" w:cstheme="minorHAnsi"/>
          <w:sz w:val="24"/>
          <w:szCs w:val="24"/>
        </w:rPr>
        <w:t xml:space="preserve"> </w:t>
      </w:r>
      <w:r w:rsidR="00BC6172" w:rsidRPr="00BC6172">
        <w:rPr>
          <w:rFonts w:asciiTheme="minorHAnsi" w:eastAsia="Times New Roman" w:hAnsiTheme="minorHAnsi" w:cstheme="minorHAnsi"/>
          <w:sz w:val="24"/>
          <w:szCs w:val="24"/>
        </w:rPr>
        <w:t>and be familiar with updated court procedure and process</w:t>
      </w:r>
      <w:r w:rsidR="00BC6172">
        <w:rPr>
          <w:rFonts w:asciiTheme="minorHAnsi" w:eastAsia="Times New Roman" w:hAnsiTheme="minorHAnsi" w:cstheme="minorHAnsi"/>
          <w:sz w:val="24"/>
          <w:szCs w:val="24"/>
        </w:rPr>
        <w:t>.</w:t>
      </w:r>
    </w:p>
    <w:p w14:paraId="5A85118A" w14:textId="77777777" w:rsidR="00BC6172" w:rsidRPr="00BC6172" w:rsidRDefault="00BC6172" w:rsidP="00BC6172">
      <w:pPr>
        <w:pStyle w:val="ListParagraph"/>
        <w:ind w:left="388"/>
        <w:rPr>
          <w:rFonts w:eastAsia="Times New Roman" w:cstheme="minorHAnsi"/>
        </w:rPr>
      </w:pPr>
    </w:p>
    <w:p w14:paraId="239480FF" w14:textId="45B2484F" w:rsidR="00BC6172" w:rsidRPr="00BC6172" w:rsidRDefault="0097652A" w:rsidP="00BC6172">
      <w:pPr>
        <w:pStyle w:val="ListParagraph"/>
        <w:numPr>
          <w:ilvl w:val="0"/>
          <w:numId w:val="17"/>
        </w:numPr>
        <w:rPr>
          <w:rFonts w:asciiTheme="minorHAnsi" w:eastAsia="Times New Roman" w:hAnsiTheme="minorHAnsi" w:cstheme="minorHAnsi"/>
          <w:sz w:val="24"/>
          <w:szCs w:val="24"/>
        </w:rPr>
      </w:pPr>
      <w:r w:rsidRPr="0016142B">
        <w:rPr>
          <w:rFonts w:asciiTheme="minorHAnsi" w:hAnsiTheme="minorHAnsi" w:cstheme="minorHAnsi"/>
          <w:b/>
          <w:bCs/>
          <w:sz w:val="24"/>
          <w:szCs w:val="24"/>
          <w:highlight w:val="yellow"/>
        </w:rPr>
        <w:t>Issue</w:t>
      </w:r>
      <w:r w:rsidR="007622EA" w:rsidRPr="0016142B">
        <w:rPr>
          <w:rFonts w:asciiTheme="minorHAnsi" w:hAnsiTheme="minorHAnsi" w:cstheme="minorHAnsi"/>
          <w:b/>
          <w:bCs/>
          <w:sz w:val="24"/>
          <w:szCs w:val="24"/>
          <w:highlight w:val="yellow"/>
        </w:rPr>
        <w:t>:</w:t>
      </w:r>
      <w:r w:rsidR="007622EA" w:rsidRPr="00BC6172">
        <w:rPr>
          <w:b/>
          <w:bCs/>
          <w:highlight w:val="yellow"/>
        </w:rPr>
        <w:t xml:space="preserve"> </w:t>
      </w:r>
      <w:r w:rsidR="00BC6172" w:rsidRPr="00BC6172">
        <w:rPr>
          <w:rFonts w:asciiTheme="minorHAnsi" w:eastAsia="Times New Roman" w:hAnsiTheme="minorHAnsi" w:cstheme="minorHAnsi"/>
          <w:sz w:val="24"/>
          <w:szCs w:val="24"/>
        </w:rPr>
        <w:t xml:space="preserve">In the last year, the Department implemented a pilot program – the Access to Counsel and Homelessness Diversion Pilot - expanding access to free and quality legal representation to households with low incomes facing eviction. This pilot program targeted zip codes in just three counties providing legal service coupled with social services support. Expanding tenants’ ability to have a lawyer in eviction proceedings has emerged as an anti-eviction best practice defense throughout the country. With this new Diversion </w:t>
      </w:r>
      <w:r w:rsidR="000208E6">
        <w:rPr>
          <w:rFonts w:asciiTheme="minorHAnsi" w:eastAsia="Times New Roman" w:hAnsiTheme="minorHAnsi" w:cstheme="minorHAnsi"/>
          <w:sz w:val="24"/>
          <w:szCs w:val="24"/>
        </w:rPr>
        <w:t xml:space="preserve">pilot </w:t>
      </w:r>
      <w:r w:rsidR="00BC6172" w:rsidRPr="00BC6172">
        <w:rPr>
          <w:rFonts w:asciiTheme="minorHAnsi" w:eastAsia="Times New Roman" w:hAnsiTheme="minorHAnsi" w:cstheme="minorHAnsi"/>
          <w:sz w:val="24"/>
          <w:szCs w:val="24"/>
        </w:rPr>
        <w:t xml:space="preserve">program, DCA will build on the strengths of the Access to Counsel’s program. The Eviction Diversion Initiative </w:t>
      </w:r>
      <w:r w:rsidR="000208E6">
        <w:rPr>
          <w:rFonts w:asciiTheme="minorHAnsi" w:eastAsia="Times New Roman" w:hAnsiTheme="minorHAnsi" w:cstheme="minorHAnsi"/>
          <w:sz w:val="24"/>
          <w:szCs w:val="24"/>
        </w:rPr>
        <w:t xml:space="preserve">pilot </w:t>
      </w:r>
      <w:r w:rsidR="0016142B">
        <w:rPr>
          <w:rFonts w:asciiTheme="minorHAnsi" w:eastAsia="Times New Roman" w:hAnsiTheme="minorHAnsi" w:cstheme="minorHAnsi"/>
          <w:sz w:val="24"/>
          <w:szCs w:val="24"/>
        </w:rPr>
        <w:t xml:space="preserve">will </w:t>
      </w:r>
      <w:r w:rsidR="00BC6172" w:rsidRPr="00BC6172">
        <w:rPr>
          <w:rFonts w:asciiTheme="minorHAnsi" w:eastAsia="Times New Roman" w:hAnsiTheme="minorHAnsi" w:cstheme="minorHAnsi"/>
          <w:sz w:val="24"/>
          <w:szCs w:val="24"/>
        </w:rPr>
        <w:t>provide Resource Navigators focused on an immediate problem-solving approach to uncover and connect clients to available supports throughout the state to strengthen financial stability to prevent eviction and afford the costs of rent in the future. For example, when families receive subsidies for energy assistance, day care funding and transportation, a greater percentage of the household income becomes available for the rent.</w:t>
      </w:r>
    </w:p>
    <w:p w14:paraId="007ABCE9" w14:textId="77777777" w:rsidR="0016142B" w:rsidRDefault="0016142B" w:rsidP="0016142B">
      <w:pPr>
        <w:pStyle w:val="ListParagraph"/>
        <w:spacing w:before="100" w:beforeAutospacing="1" w:after="100" w:afterAutospacing="1"/>
        <w:ind w:left="388"/>
        <w:rPr>
          <w:rFonts w:ascii="Times" w:eastAsia="Times New Roman" w:hAnsi="Times" w:cs="Times New Roman"/>
          <w:sz w:val="27"/>
          <w:szCs w:val="27"/>
        </w:rPr>
      </w:pPr>
    </w:p>
    <w:p w14:paraId="4E3CDAD0" w14:textId="016A31BE" w:rsidR="0016142B" w:rsidRPr="0016142B" w:rsidRDefault="0016142B" w:rsidP="0016142B">
      <w:pPr>
        <w:pStyle w:val="ListParagraph"/>
        <w:spacing w:before="100" w:beforeAutospacing="1" w:after="100" w:afterAutospacing="1"/>
        <w:ind w:left="388"/>
        <w:rPr>
          <w:rFonts w:asciiTheme="minorHAnsi" w:eastAsia="Times New Roman" w:hAnsiTheme="minorHAnsi" w:cstheme="minorHAnsi"/>
          <w:sz w:val="24"/>
          <w:szCs w:val="24"/>
        </w:rPr>
      </w:pPr>
      <w:r w:rsidRPr="0016142B">
        <w:rPr>
          <w:rFonts w:asciiTheme="minorHAnsi" w:eastAsia="Times New Roman" w:hAnsiTheme="minorHAnsi" w:cstheme="minorHAnsi"/>
          <w:sz w:val="24"/>
          <w:szCs w:val="24"/>
        </w:rPr>
        <w:t xml:space="preserve">This type of intensive and collaborative effort provides comprehensive anti-displacement protection and will further elevate NJ’s best-practice approaches to preventing eviction. Such an intervention and prevention strategy </w:t>
      </w:r>
      <w:proofErr w:type="gramStart"/>
      <w:r w:rsidRPr="0016142B">
        <w:rPr>
          <w:rFonts w:asciiTheme="minorHAnsi" w:eastAsia="Times New Roman" w:hAnsiTheme="minorHAnsi" w:cstheme="minorHAnsi"/>
          <w:sz w:val="24"/>
          <w:szCs w:val="24"/>
        </w:rPr>
        <w:t>aligns</w:t>
      </w:r>
      <w:proofErr w:type="gramEnd"/>
      <w:r w:rsidRPr="0016142B">
        <w:rPr>
          <w:rFonts w:asciiTheme="minorHAnsi" w:eastAsia="Times New Roman" w:hAnsiTheme="minorHAnsi" w:cstheme="minorHAnsi"/>
          <w:sz w:val="24"/>
          <w:szCs w:val="24"/>
        </w:rPr>
        <w:t xml:space="preserve"> with and meets the legislative mandate </w:t>
      </w:r>
      <w:r w:rsidRPr="0016142B">
        <w:rPr>
          <w:rFonts w:asciiTheme="minorHAnsi" w:eastAsia="Times New Roman" w:hAnsiTheme="minorHAnsi" w:cstheme="minorHAnsi"/>
          <w:sz w:val="24"/>
          <w:szCs w:val="24"/>
        </w:rPr>
        <w:lastRenderedPageBreak/>
        <w:t>of P.L. 2021, c. 188, that the new Office of Eviction Prevention serve as a comprehensive</w:t>
      </w:r>
      <w:r w:rsidRPr="0016142B">
        <w:rPr>
          <w:rFonts w:asciiTheme="minorHAnsi" w:eastAsia="Times New Roman" w:hAnsiTheme="minorHAnsi" w:cstheme="minorHAnsi"/>
          <w:sz w:val="24"/>
          <w:szCs w:val="24"/>
        </w:rPr>
        <w:t xml:space="preserve"> </w:t>
      </w:r>
      <w:r w:rsidRPr="0016142B">
        <w:rPr>
          <w:rFonts w:asciiTheme="minorHAnsi" w:eastAsia="Times New Roman" w:hAnsiTheme="minorHAnsi" w:cstheme="minorHAnsi"/>
          <w:sz w:val="24"/>
          <w:szCs w:val="24"/>
        </w:rPr>
        <w:t>hub of eviction prevention assistance, a bridge to other available resources across agencies, and as an incubator in emerging, innovative approaches to sustainable eviction prevention and diversion.</w:t>
      </w:r>
    </w:p>
    <w:p w14:paraId="5F7C8A12" w14:textId="4095129F" w:rsidR="0016142B" w:rsidRPr="00B13AC3" w:rsidRDefault="00B13AC3" w:rsidP="0016142B">
      <w:pPr>
        <w:pStyle w:val="NormalWeb"/>
        <w:rPr>
          <w:rFonts w:asciiTheme="minorHAnsi" w:hAnsiTheme="minorHAnsi" w:cstheme="minorHAnsi"/>
          <w:color w:val="000000"/>
        </w:rPr>
      </w:pPr>
      <w:r w:rsidRPr="00B13AC3">
        <w:rPr>
          <w:rFonts w:asciiTheme="minorHAnsi" w:hAnsiTheme="minorHAnsi" w:cstheme="minorHAnsi"/>
          <w:b/>
          <w:bCs/>
        </w:rPr>
        <w:t>D.</w:t>
      </w:r>
      <w:r w:rsidR="0016142B" w:rsidRPr="00B13AC3">
        <w:rPr>
          <w:rFonts w:asciiTheme="minorHAnsi" w:hAnsiTheme="minorHAnsi" w:cstheme="minorHAnsi"/>
          <w:b/>
          <w:bCs/>
        </w:rPr>
        <w:t xml:space="preserve"> </w:t>
      </w:r>
      <w:r w:rsidRPr="00B13AC3">
        <w:rPr>
          <w:rFonts w:asciiTheme="minorHAnsi" w:hAnsiTheme="minorHAnsi" w:cstheme="minorHAnsi"/>
          <w:b/>
          <w:bCs/>
        </w:rPr>
        <w:t xml:space="preserve"> </w:t>
      </w:r>
      <w:r w:rsidR="00C432BC" w:rsidRPr="00F97074">
        <w:rPr>
          <w:rFonts w:asciiTheme="minorHAnsi" w:hAnsiTheme="minorHAnsi" w:cstheme="minorHAnsi"/>
          <w:b/>
          <w:bCs/>
          <w:highlight w:val="yellow"/>
        </w:rPr>
        <w:t>Available funding</w:t>
      </w:r>
      <w:r w:rsidR="00C432BC" w:rsidRPr="00167344">
        <w:rPr>
          <w:sz w:val="26"/>
        </w:rPr>
        <w:t xml:space="preserve">: </w:t>
      </w:r>
      <w:r w:rsidR="007622EA" w:rsidRPr="00167344">
        <w:rPr>
          <w:b/>
          <w:bCs/>
          <w:u w:val="single"/>
        </w:rPr>
        <w:t>$2.5 million for a one (1) year initiative.</w:t>
      </w:r>
      <w:r w:rsidR="007622EA" w:rsidRPr="00167344">
        <w:rPr>
          <w:b/>
          <w:bCs/>
        </w:rPr>
        <w:t xml:space="preserve">  </w:t>
      </w:r>
      <w:r w:rsidR="0016142B" w:rsidRPr="00B13AC3">
        <w:rPr>
          <w:rFonts w:asciiTheme="minorHAnsi" w:hAnsiTheme="minorHAnsi" w:cstheme="minorHAnsi"/>
          <w:color w:val="000000"/>
        </w:rPr>
        <w:t>The grant will fund up to 25 Resource Navigators who will be assigned to vicinages based on volume of eviction-related hearings in each vicinage. While DCA will work with the Administrative Offices of the Courts and individual vicinages to obtain information on tenants with pending eviction cases, Resource Navigators will also be expected to do outreach at the vicinages and in the areas to which they are assigned, to reach as many tenants as possible.</w:t>
      </w:r>
      <w:r>
        <w:rPr>
          <w:rFonts w:asciiTheme="minorHAnsi" w:hAnsiTheme="minorHAnsi" w:cstheme="minorHAnsi"/>
          <w:color w:val="000000"/>
        </w:rPr>
        <w:t xml:space="preserve">  </w:t>
      </w:r>
      <w:r w:rsidR="0016142B" w:rsidRPr="00B13AC3">
        <w:rPr>
          <w:rFonts w:asciiTheme="minorHAnsi" w:hAnsiTheme="minorHAnsi" w:cstheme="minorHAnsi"/>
          <w:color w:val="000000"/>
        </w:rPr>
        <w:t>The funds are being made available through a competitive Request for Proposals for New Jersey non-profit social services agencies with experience in homelessness diversion or eviction prevention and the capacity to quickly hire and manage new staff devoted wholly to this initiative.</w:t>
      </w:r>
    </w:p>
    <w:p w14:paraId="39DDCD80" w14:textId="77777777" w:rsidR="000208E6" w:rsidRDefault="0016142B" w:rsidP="000208E6">
      <w:pPr>
        <w:spacing w:before="100" w:beforeAutospacing="1" w:after="100" w:afterAutospacing="1"/>
        <w:rPr>
          <w:rFonts w:eastAsia="Times New Roman" w:cstheme="minorHAnsi"/>
          <w:color w:val="000000"/>
        </w:rPr>
      </w:pPr>
      <w:r w:rsidRPr="0016142B">
        <w:rPr>
          <w:rFonts w:eastAsia="Times New Roman" w:cstheme="minorHAnsi"/>
          <w:color w:val="000000"/>
        </w:rPr>
        <w:t>This grant is supported by federal funds from the American Rescue Plan Act of 2021, (ARP) known as Public Law #117-2, dated March 11, 2021.</w:t>
      </w:r>
    </w:p>
    <w:p w14:paraId="1CCF600D" w14:textId="77777777" w:rsidR="000208E6" w:rsidRDefault="000208E6" w:rsidP="000208E6">
      <w:pPr>
        <w:spacing w:before="100" w:beforeAutospacing="1" w:after="100" w:afterAutospacing="1"/>
        <w:rPr>
          <w:rFonts w:eastAsia="Times New Roman" w:cstheme="minorHAnsi"/>
          <w:color w:val="000000"/>
        </w:rPr>
      </w:pPr>
      <w:r w:rsidRPr="000208E6">
        <w:rPr>
          <w:rFonts w:eastAsia="Times New Roman" w:cstheme="minorHAnsi"/>
          <w:b/>
          <w:bCs/>
          <w:color w:val="000000"/>
          <w:highlight w:val="yellow"/>
        </w:rPr>
        <w:t>E.</w:t>
      </w:r>
      <w:r>
        <w:rPr>
          <w:b/>
          <w:bCs/>
          <w:highlight w:val="yellow"/>
        </w:rPr>
        <w:t xml:space="preserve">  </w:t>
      </w:r>
      <w:r w:rsidR="00B13AC3" w:rsidRPr="000208E6">
        <w:rPr>
          <w:b/>
          <w:bCs/>
          <w:highlight w:val="yellow"/>
        </w:rPr>
        <w:t>Eligible entities</w:t>
      </w:r>
      <w:r w:rsidR="00B13AC3" w:rsidRPr="000208E6">
        <w:t xml:space="preserve">: </w:t>
      </w:r>
    </w:p>
    <w:p w14:paraId="14DC5F8F" w14:textId="471C1E9E" w:rsidR="00B13AC3" w:rsidRPr="000208E6" w:rsidRDefault="00B13AC3" w:rsidP="000208E6">
      <w:pPr>
        <w:spacing w:before="100" w:beforeAutospacing="1" w:after="100" w:afterAutospacing="1"/>
        <w:rPr>
          <w:rFonts w:eastAsia="Times New Roman" w:cstheme="minorHAnsi"/>
          <w:color w:val="000000"/>
        </w:rPr>
      </w:pPr>
      <w:r w:rsidRPr="000208E6">
        <w:rPr>
          <w:rFonts w:cstheme="minorHAnsi"/>
        </w:rPr>
        <w:t xml:space="preserve">New Jersey non-profit social services agencies with demonstrable experience in serving income eligible households in </w:t>
      </w:r>
      <w:r w:rsidRPr="000208E6">
        <w:rPr>
          <w:rFonts w:eastAsia="Times New Roman"/>
          <w:color w:val="201F1E"/>
        </w:rPr>
        <w:t>homelessness diversion or eviction prevention and the capacity to quickly hire and manage new case workers devoted wholly to this initiative.</w:t>
      </w:r>
    </w:p>
    <w:p w14:paraId="7EDCF560" w14:textId="77777777" w:rsidR="00B13AC3" w:rsidRPr="000208E6" w:rsidRDefault="00B13AC3" w:rsidP="000208E6">
      <w:pPr>
        <w:shd w:val="clear" w:color="auto" w:fill="FFFFFF"/>
        <w:rPr>
          <w:rFonts w:eastAsia="Times New Roman"/>
          <w:color w:val="201F1E"/>
        </w:rPr>
      </w:pPr>
      <w:r w:rsidRPr="000208E6">
        <w:rPr>
          <w:rFonts w:eastAsia="Times New Roman"/>
          <w:color w:val="201F1E"/>
        </w:rPr>
        <w:t xml:space="preserve">Required </w:t>
      </w:r>
      <w:r w:rsidRPr="000208E6">
        <w:rPr>
          <w:rFonts w:cstheme="minorHAnsi"/>
        </w:rPr>
        <w:t xml:space="preserve">extensive experience in homelessness diversion or eviction prevention may include, the services listed below, but applicants do not need to possess </w:t>
      </w:r>
      <w:proofErr w:type="gramStart"/>
      <w:r w:rsidRPr="000208E6">
        <w:rPr>
          <w:rFonts w:cstheme="minorHAnsi"/>
        </w:rPr>
        <w:t>all of</w:t>
      </w:r>
      <w:proofErr w:type="gramEnd"/>
      <w:r w:rsidRPr="000208E6">
        <w:rPr>
          <w:rFonts w:cstheme="minorHAnsi"/>
        </w:rPr>
        <w:t xml:space="preserve"> these skills:</w:t>
      </w:r>
    </w:p>
    <w:p w14:paraId="7DBE516B" w14:textId="77777777" w:rsidR="00B13AC3" w:rsidRPr="00002D57" w:rsidRDefault="00B13AC3" w:rsidP="00B13AC3">
      <w:pPr>
        <w:pStyle w:val="ListParagraph"/>
        <w:ind w:left="388"/>
        <w:rPr>
          <w:rFonts w:cstheme="minorHAnsi"/>
          <w:sz w:val="24"/>
          <w:szCs w:val="24"/>
        </w:rPr>
      </w:pPr>
      <w:r w:rsidRPr="00002D57">
        <w:rPr>
          <w:rFonts w:cstheme="minorHAnsi"/>
          <w:sz w:val="24"/>
          <w:szCs w:val="24"/>
        </w:rPr>
        <w:tab/>
        <w:t>a. Rental Assistance</w:t>
      </w:r>
    </w:p>
    <w:p w14:paraId="0946654B" w14:textId="77777777" w:rsidR="00B13AC3" w:rsidRPr="00BD14E5" w:rsidRDefault="00B13AC3" w:rsidP="00B13AC3">
      <w:pPr>
        <w:pStyle w:val="ListParagraph"/>
        <w:ind w:left="388"/>
        <w:rPr>
          <w:rFonts w:cstheme="minorHAnsi"/>
          <w:sz w:val="24"/>
          <w:szCs w:val="24"/>
        </w:rPr>
      </w:pPr>
      <w:r w:rsidRPr="00002D57">
        <w:rPr>
          <w:rFonts w:cstheme="minorHAnsi"/>
          <w:sz w:val="24"/>
          <w:szCs w:val="24"/>
        </w:rPr>
        <w:tab/>
        <w:t>b. Homelessness Prevention</w:t>
      </w:r>
    </w:p>
    <w:p w14:paraId="6CA8A59E" w14:textId="77777777" w:rsidR="00B13AC3" w:rsidRPr="00002D57" w:rsidRDefault="00B13AC3" w:rsidP="00B13AC3">
      <w:pPr>
        <w:pStyle w:val="ListParagraph"/>
        <w:ind w:left="388" w:firstLine="332"/>
        <w:rPr>
          <w:rFonts w:cstheme="minorHAnsi"/>
          <w:sz w:val="24"/>
          <w:szCs w:val="24"/>
        </w:rPr>
      </w:pPr>
      <w:r w:rsidRPr="00BD14E5">
        <w:rPr>
          <w:rFonts w:cstheme="minorHAnsi"/>
          <w:sz w:val="24"/>
          <w:szCs w:val="24"/>
        </w:rPr>
        <w:t>c. L</w:t>
      </w:r>
      <w:r w:rsidRPr="00002D57">
        <w:rPr>
          <w:rFonts w:cstheme="minorHAnsi"/>
          <w:sz w:val="24"/>
          <w:szCs w:val="24"/>
        </w:rPr>
        <w:t>andlord-tenant court procedure / landlord-tenant counseling</w:t>
      </w:r>
    </w:p>
    <w:p w14:paraId="1CE68128" w14:textId="77777777" w:rsidR="00B13AC3" w:rsidRPr="00002D57" w:rsidRDefault="00B13AC3" w:rsidP="00B13AC3">
      <w:pPr>
        <w:pStyle w:val="ListParagraph"/>
        <w:ind w:left="388" w:firstLine="332"/>
        <w:rPr>
          <w:rFonts w:cstheme="minorHAnsi"/>
          <w:sz w:val="24"/>
          <w:szCs w:val="24"/>
        </w:rPr>
      </w:pPr>
      <w:r w:rsidRPr="00002D57">
        <w:rPr>
          <w:rFonts w:cstheme="minorHAnsi"/>
          <w:sz w:val="24"/>
          <w:szCs w:val="24"/>
        </w:rPr>
        <w:t>d. HUD-Certified Housing Counseling services</w:t>
      </w:r>
    </w:p>
    <w:p w14:paraId="51F59E97" w14:textId="77777777" w:rsidR="00B13AC3" w:rsidRPr="00002D57" w:rsidRDefault="00B13AC3" w:rsidP="00B13AC3">
      <w:pPr>
        <w:pStyle w:val="ListParagraph"/>
        <w:ind w:left="388" w:firstLine="332"/>
        <w:rPr>
          <w:rFonts w:cstheme="minorHAnsi"/>
          <w:sz w:val="24"/>
          <w:szCs w:val="24"/>
        </w:rPr>
      </w:pPr>
      <w:r w:rsidRPr="00002D57">
        <w:rPr>
          <w:rFonts w:cstheme="minorHAnsi"/>
          <w:sz w:val="24"/>
          <w:szCs w:val="24"/>
        </w:rPr>
        <w:t>e. Wrap-around case management services</w:t>
      </w:r>
    </w:p>
    <w:p w14:paraId="56D1F67F" w14:textId="77777777" w:rsidR="00B13AC3" w:rsidRDefault="00B13AC3" w:rsidP="00B13AC3">
      <w:pPr>
        <w:pStyle w:val="ListParagraph"/>
        <w:ind w:left="388" w:firstLine="332"/>
        <w:rPr>
          <w:rFonts w:cstheme="minorHAnsi"/>
          <w:sz w:val="24"/>
          <w:szCs w:val="24"/>
        </w:rPr>
      </w:pPr>
      <w:r w:rsidRPr="00002D57">
        <w:rPr>
          <w:rFonts w:cstheme="minorHAnsi"/>
          <w:sz w:val="24"/>
          <w:szCs w:val="24"/>
        </w:rPr>
        <w:t>f.  Crisis intervention</w:t>
      </w:r>
    </w:p>
    <w:p w14:paraId="4FEA58B4" w14:textId="3DF06F56" w:rsidR="00B13AC3" w:rsidRDefault="00B13AC3" w:rsidP="00B13AC3">
      <w:pPr>
        <w:pStyle w:val="ListParagraph"/>
        <w:rPr>
          <w:rFonts w:cstheme="minorHAnsi"/>
          <w:sz w:val="24"/>
          <w:szCs w:val="24"/>
        </w:rPr>
      </w:pPr>
      <w:r>
        <w:rPr>
          <w:rFonts w:cstheme="minorHAnsi"/>
          <w:sz w:val="24"/>
          <w:szCs w:val="24"/>
        </w:rPr>
        <w:t xml:space="preserve">g. Local support and services systems such as Board of Social Services, Continuum of </w:t>
      </w:r>
      <w:r>
        <w:rPr>
          <w:rFonts w:cstheme="minorHAnsi"/>
          <w:sz w:val="24"/>
          <w:szCs w:val="24"/>
        </w:rPr>
        <w:t xml:space="preserve">    </w:t>
      </w:r>
      <w:r>
        <w:rPr>
          <w:rFonts w:cstheme="minorHAnsi"/>
          <w:sz w:val="24"/>
          <w:szCs w:val="24"/>
        </w:rPr>
        <w:t>Care, etc.</w:t>
      </w:r>
    </w:p>
    <w:p w14:paraId="6C59C0D0" w14:textId="57F8CD1B" w:rsidR="00B13AC3" w:rsidRPr="00BD14E5" w:rsidRDefault="00B13AC3" w:rsidP="00B13AC3">
      <w:pPr>
        <w:pStyle w:val="ListParagraph"/>
        <w:rPr>
          <w:rFonts w:cstheme="minorHAnsi"/>
          <w:sz w:val="24"/>
          <w:szCs w:val="24"/>
        </w:rPr>
      </w:pPr>
      <w:r>
        <w:rPr>
          <w:rFonts w:cstheme="minorHAnsi"/>
          <w:sz w:val="24"/>
          <w:szCs w:val="24"/>
        </w:rPr>
        <w:t xml:space="preserve">h. Resources such as </w:t>
      </w:r>
      <w:r w:rsidR="00974E1C">
        <w:rPr>
          <w:rFonts w:cstheme="minorHAnsi"/>
          <w:sz w:val="24"/>
          <w:szCs w:val="24"/>
        </w:rPr>
        <w:t>childcare</w:t>
      </w:r>
      <w:r>
        <w:rPr>
          <w:rFonts w:cstheme="minorHAnsi"/>
          <w:sz w:val="24"/>
          <w:szCs w:val="24"/>
        </w:rPr>
        <w:t>, utility assistance, employment assistance, and other resources to assist households</w:t>
      </w:r>
    </w:p>
    <w:p w14:paraId="4A46DA15" w14:textId="77777777" w:rsidR="00B13AC3" w:rsidRPr="00BD14E5" w:rsidRDefault="00B13AC3" w:rsidP="00B13AC3">
      <w:pPr>
        <w:pStyle w:val="ListParagraph"/>
        <w:ind w:left="388" w:firstLine="332"/>
        <w:rPr>
          <w:rFonts w:cstheme="minorHAnsi"/>
          <w:sz w:val="24"/>
          <w:szCs w:val="24"/>
        </w:rPr>
      </w:pPr>
    </w:p>
    <w:p w14:paraId="1B292E79" w14:textId="77777777" w:rsidR="00B13AC3" w:rsidRPr="000556C3" w:rsidRDefault="00B13AC3" w:rsidP="00B13AC3">
      <w:pPr>
        <w:pStyle w:val="ListParagraph"/>
        <w:ind w:left="388"/>
        <w:rPr>
          <w:rFonts w:cstheme="minorHAnsi"/>
          <w:sz w:val="24"/>
          <w:szCs w:val="24"/>
        </w:rPr>
      </w:pPr>
      <w:r w:rsidRPr="00002D57">
        <w:rPr>
          <w:rFonts w:cstheme="minorHAnsi"/>
          <w:sz w:val="24"/>
          <w:szCs w:val="24"/>
        </w:rPr>
        <w:t>Selected grantees must meet the threshold standards</w:t>
      </w:r>
      <w:r w:rsidRPr="000556C3">
        <w:rPr>
          <w:rFonts w:cstheme="minorHAnsi"/>
          <w:sz w:val="24"/>
          <w:szCs w:val="24"/>
        </w:rPr>
        <w:t xml:space="preserve"> outlined in Section H.</w:t>
      </w:r>
    </w:p>
    <w:p w14:paraId="5081E2E8" w14:textId="28EC4870" w:rsidR="00F97074" w:rsidRPr="000208E6" w:rsidRDefault="000208E6" w:rsidP="000208E6">
      <w:pPr>
        <w:spacing w:after="198" w:line="250" w:lineRule="auto"/>
        <w:ind w:right="43"/>
        <w:jc w:val="both"/>
      </w:pPr>
      <w:r>
        <w:rPr>
          <w:b/>
          <w:bCs/>
        </w:rPr>
        <w:t xml:space="preserve">F. </w:t>
      </w:r>
      <w:r w:rsidR="00C432BC" w:rsidRPr="000208E6">
        <w:rPr>
          <w:b/>
          <w:bCs/>
          <w:highlight w:val="yellow"/>
        </w:rPr>
        <w:t>Target populations/eligible households</w:t>
      </w:r>
      <w:r w:rsidR="00C432BC" w:rsidRPr="000208E6">
        <w:t xml:space="preserve">: </w:t>
      </w:r>
      <w:r w:rsidR="00F97074" w:rsidRPr="000208E6">
        <w:rPr>
          <w:color w:val="333333"/>
        </w:rPr>
        <w:t>Clients served directly by grantees shall have household incomes at or below 120% of the area median income, with the expectation that most clients will have incomes at or below 80% of the median income.</w:t>
      </w:r>
    </w:p>
    <w:p w14:paraId="46D9B596" w14:textId="77777777" w:rsidR="00F97074" w:rsidRPr="00F97074" w:rsidRDefault="00F97074" w:rsidP="00F97074">
      <w:pPr>
        <w:pStyle w:val="ListParagraph"/>
        <w:spacing w:after="198" w:line="250" w:lineRule="auto"/>
        <w:ind w:left="388" w:right="43"/>
        <w:jc w:val="both"/>
        <w:rPr>
          <w:sz w:val="24"/>
          <w:szCs w:val="24"/>
          <w:highlight w:val="yellow"/>
        </w:rPr>
      </w:pPr>
    </w:p>
    <w:p w14:paraId="2899C07F" w14:textId="22BD8FD3" w:rsidR="00974E1C" w:rsidRPr="00974E1C" w:rsidRDefault="000208E6" w:rsidP="000208E6">
      <w:pPr>
        <w:spacing w:before="100" w:beforeAutospacing="1" w:after="100" w:afterAutospacing="1"/>
        <w:rPr>
          <w:rFonts w:eastAsia="Times New Roman" w:cstheme="minorHAnsi"/>
        </w:rPr>
      </w:pPr>
      <w:r>
        <w:rPr>
          <w:rFonts w:eastAsia="Times New Roman" w:cstheme="minorHAnsi"/>
        </w:rPr>
        <w:t>G</w:t>
      </w:r>
      <w:r w:rsidR="00974E1C" w:rsidRPr="00974E1C">
        <w:rPr>
          <w:rFonts w:eastAsia="Times New Roman" w:cstheme="minorHAnsi"/>
        </w:rPr>
        <w:t xml:space="preserve">. </w:t>
      </w:r>
      <w:r w:rsidR="00974E1C" w:rsidRPr="00974E1C">
        <w:rPr>
          <w:rFonts w:eastAsia="Times New Roman" w:cstheme="minorHAnsi"/>
          <w:b/>
          <w:bCs/>
          <w:highlight w:val="yellow"/>
        </w:rPr>
        <w:t>Scope of Services</w:t>
      </w:r>
      <w:r w:rsidR="00974E1C" w:rsidRPr="00974E1C">
        <w:rPr>
          <w:rFonts w:eastAsia="Times New Roman" w:cstheme="minorHAnsi"/>
        </w:rPr>
        <w:t>:</w:t>
      </w:r>
    </w:p>
    <w:p w14:paraId="456B6152" w14:textId="77777777" w:rsidR="00974E1C" w:rsidRDefault="00974E1C" w:rsidP="00974E1C">
      <w:pPr>
        <w:spacing w:before="100" w:beforeAutospacing="1" w:after="100" w:afterAutospacing="1"/>
        <w:rPr>
          <w:rFonts w:eastAsia="Times New Roman" w:cstheme="minorHAnsi"/>
        </w:rPr>
      </w:pPr>
      <w:r w:rsidRPr="00974E1C">
        <w:rPr>
          <w:rFonts w:eastAsia="Times New Roman" w:cstheme="minorHAnsi"/>
        </w:rPr>
        <w:t>1. Available in virtual tech rooms or in person at the courthouse, Resource Navigators will directly assist eligible households with rental assistance applications, eviction protection household income self-certifications, access to legal services, mediation or housing counseling, homelessness prevention, relocation or rapid rehousing, housing navigator support, access to consumer debt and credit repair services, family support benefit applications, and disability, or healthcare related support, as necessary or appropriate.</w:t>
      </w:r>
    </w:p>
    <w:p w14:paraId="4FD67CD8" w14:textId="55053FBF" w:rsidR="00974E1C" w:rsidRPr="00974E1C" w:rsidRDefault="00974E1C" w:rsidP="00974E1C">
      <w:pPr>
        <w:spacing w:before="100" w:beforeAutospacing="1" w:after="100" w:afterAutospacing="1"/>
        <w:rPr>
          <w:rFonts w:eastAsia="Times New Roman" w:cstheme="minorHAnsi"/>
        </w:rPr>
      </w:pPr>
      <w:r w:rsidRPr="00974E1C">
        <w:rPr>
          <w:rFonts w:eastAsia="Times New Roman" w:cstheme="minorHAnsi"/>
        </w:rPr>
        <w:t>2. Resource Navigators will connect households facing judgments of possession to emergency rental assistance vouchers for rapid rehousing where available.</w:t>
      </w:r>
    </w:p>
    <w:p w14:paraId="728042F5" w14:textId="77777777" w:rsidR="00974E1C" w:rsidRPr="00974E1C" w:rsidRDefault="00974E1C" w:rsidP="00974E1C">
      <w:pPr>
        <w:spacing w:before="100" w:beforeAutospacing="1" w:after="100" w:afterAutospacing="1"/>
        <w:rPr>
          <w:rFonts w:eastAsia="Times New Roman" w:cstheme="minorHAnsi"/>
        </w:rPr>
      </w:pPr>
      <w:r w:rsidRPr="00974E1C">
        <w:rPr>
          <w:rFonts w:eastAsia="Times New Roman" w:cstheme="minorHAnsi"/>
        </w:rPr>
        <w:t>3. Resource Navigators will liaise with court staff including the landlord-tenant case management legal specialists for access to the eviction docket and all court proceedings.</w:t>
      </w:r>
    </w:p>
    <w:p w14:paraId="3D959EB3" w14:textId="77777777" w:rsidR="00974E1C" w:rsidRPr="00974E1C" w:rsidRDefault="00974E1C" w:rsidP="00974E1C">
      <w:pPr>
        <w:spacing w:before="100" w:beforeAutospacing="1" w:after="100" w:afterAutospacing="1"/>
        <w:rPr>
          <w:rFonts w:eastAsia="Times New Roman" w:cstheme="minorHAnsi"/>
        </w:rPr>
      </w:pPr>
      <w:r w:rsidRPr="00974E1C">
        <w:rPr>
          <w:rFonts w:eastAsia="Times New Roman" w:cstheme="minorHAnsi"/>
        </w:rPr>
        <w:t>4. Resource Navigators will liaise with DCA staff and court staff in self-certification database and eviction filing data matching.</w:t>
      </w:r>
    </w:p>
    <w:p w14:paraId="2FF60FDF" w14:textId="77777777" w:rsidR="00974E1C" w:rsidRPr="00974E1C" w:rsidRDefault="00974E1C" w:rsidP="00974E1C">
      <w:pPr>
        <w:spacing w:before="100" w:beforeAutospacing="1" w:after="100" w:afterAutospacing="1"/>
        <w:rPr>
          <w:rFonts w:eastAsia="Times New Roman" w:cstheme="minorHAnsi"/>
        </w:rPr>
      </w:pPr>
      <w:r w:rsidRPr="00974E1C">
        <w:rPr>
          <w:rFonts w:eastAsia="Times New Roman" w:cstheme="minorHAnsi"/>
        </w:rPr>
        <w:t>5. Resource Navigators will regularly liaise with local government and community organization representatives, such as the Board of Social Services and Continuum of Care, to identify potential resources and connect tenants with all available resources.</w:t>
      </w:r>
    </w:p>
    <w:p w14:paraId="0DCBA57F" w14:textId="77777777" w:rsidR="00974E1C" w:rsidRPr="00974E1C" w:rsidRDefault="00974E1C" w:rsidP="00974E1C">
      <w:pPr>
        <w:spacing w:before="100" w:beforeAutospacing="1" w:after="100" w:afterAutospacing="1"/>
        <w:rPr>
          <w:rFonts w:eastAsia="Times New Roman" w:cstheme="minorHAnsi"/>
        </w:rPr>
      </w:pPr>
      <w:r w:rsidRPr="00974E1C">
        <w:rPr>
          <w:rFonts w:eastAsia="Times New Roman" w:cstheme="minorHAnsi"/>
        </w:rPr>
        <w:t>6. Resource Navigators will compile intake and case management data for monthly reporting to the Division of Housing and Community Resources’ Office of Eviction Prevention. Monthly reporting will include information about case outcomes and narratives about successes and challenges. 7. Resource Navigators will file quarterly budget expenditure reports to the Division of Housing and Community Resources’ Office of Eviction Prevention.</w:t>
      </w:r>
    </w:p>
    <w:p w14:paraId="618E4614" w14:textId="605586FE" w:rsidR="00B12260" w:rsidRPr="000208E6" w:rsidRDefault="000208E6" w:rsidP="000208E6">
      <w:pPr>
        <w:shd w:val="clear" w:color="auto" w:fill="FFFFFF"/>
        <w:rPr>
          <w:color w:val="333333"/>
          <w:highlight w:val="yellow"/>
        </w:rPr>
      </w:pPr>
      <w:proofErr w:type="spellStart"/>
      <w:proofErr w:type="gramStart"/>
      <w:r>
        <w:rPr>
          <w:b/>
          <w:highlight w:val="yellow"/>
        </w:rPr>
        <w:t>H.</w:t>
      </w:r>
      <w:r w:rsidR="00B12260" w:rsidRPr="000208E6">
        <w:rPr>
          <w:b/>
          <w:highlight w:val="yellow"/>
        </w:rPr>
        <w:t>Ineligible</w:t>
      </w:r>
      <w:proofErr w:type="spellEnd"/>
      <w:proofErr w:type="gramEnd"/>
      <w:r w:rsidR="00B12260" w:rsidRPr="000208E6">
        <w:rPr>
          <w:b/>
          <w:highlight w:val="yellow"/>
        </w:rPr>
        <w:t xml:space="preserve"> activities:</w:t>
      </w:r>
      <w:r w:rsidR="00B12260" w:rsidRPr="000208E6">
        <w:rPr>
          <w:highlight w:val="yellow"/>
        </w:rPr>
        <w:t xml:space="preserve"> </w:t>
      </w:r>
    </w:p>
    <w:p w14:paraId="2A2360E2" w14:textId="77777777" w:rsidR="00B12260" w:rsidRDefault="00B12260" w:rsidP="00B12260">
      <w:pPr>
        <w:tabs>
          <w:tab w:val="left" w:pos="1080"/>
        </w:tabs>
        <w:rPr>
          <w:rFonts w:ascii="Calibri" w:hAnsi="Calibri" w:cs="Calibri"/>
        </w:rPr>
      </w:pPr>
      <w:r>
        <w:rPr>
          <w:rFonts w:ascii="Calibri" w:hAnsi="Calibri" w:cs="Calibri"/>
        </w:rPr>
        <w:t xml:space="preserve">       Purchase or improvement of land or structures.</w:t>
      </w:r>
    </w:p>
    <w:p w14:paraId="77BAA171" w14:textId="4DD07398" w:rsidR="00B12260" w:rsidRDefault="00B12260" w:rsidP="00C432BC">
      <w:pPr>
        <w:ind w:left="313" w:hanging="10"/>
        <w:rPr>
          <w:b/>
          <w:bCs/>
        </w:rPr>
      </w:pPr>
    </w:p>
    <w:p w14:paraId="6A031E1C" w14:textId="5FEAA34C" w:rsidR="00B12260" w:rsidRPr="000208E6" w:rsidRDefault="000208E6" w:rsidP="000208E6">
      <w:pPr>
        <w:shd w:val="clear" w:color="auto" w:fill="FFFFFF"/>
        <w:spacing w:before="100" w:beforeAutospacing="1"/>
        <w:rPr>
          <w:rFonts w:eastAsia="Times New Roman" w:cstheme="minorHAnsi"/>
          <w:color w:val="333333"/>
        </w:rPr>
      </w:pPr>
      <w:r>
        <w:rPr>
          <w:rFonts w:eastAsia="Times New Roman" w:cstheme="minorHAnsi"/>
          <w:b/>
          <w:color w:val="333333"/>
        </w:rPr>
        <w:t>I.</w:t>
      </w:r>
      <w:r w:rsidR="00B12260" w:rsidRPr="000208E6">
        <w:rPr>
          <w:rFonts w:eastAsia="Times New Roman" w:cstheme="minorHAnsi"/>
          <w:b/>
          <w:color w:val="333333"/>
        </w:rPr>
        <w:t xml:space="preserve"> </w:t>
      </w:r>
      <w:r w:rsidR="00B12260" w:rsidRPr="000208E6">
        <w:rPr>
          <w:rFonts w:eastAsia="Times New Roman" w:cstheme="minorHAnsi"/>
          <w:b/>
          <w:color w:val="333333"/>
          <w:highlight w:val="yellow"/>
        </w:rPr>
        <w:t>Threshold screening</w:t>
      </w:r>
      <w:r w:rsidR="00B12260" w:rsidRPr="000208E6">
        <w:rPr>
          <w:rFonts w:eastAsia="Times New Roman" w:cstheme="minorHAnsi"/>
          <w:color w:val="333333"/>
        </w:rPr>
        <w:t xml:space="preserve"> – applicants that do not meet these minimum standards will not be considered: </w:t>
      </w:r>
    </w:p>
    <w:p w14:paraId="560F2524" w14:textId="77777777" w:rsidR="00974E1C" w:rsidRDefault="00974E1C" w:rsidP="00B12260">
      <w:pPr>
        <w:pStyle w:val="ListParagraph"/>
        <w:shd w:val="clear" w:color="auto" w:fill="FFFFFF"/>
        <w:ind w:left="388"/>
        <w:rPr>
          <w:rFonts w:eastAsia="Times New Roman" w:cstheme="minorHAnsi"/>
          <w:color w:val="333333"/>
          <w:sz w:val="24"/>
          <w:szCs w:val="24"/>
        </w:rPr>
      </w:pPr>
    </w:p>
    <w:p w14:paraId="14A6FAC8" w14:textId="00AD20C2" w:rsidR="00B12260" w:rsidRPr="00B12260" w:rsidRDefault="00B12260" w:rsidP="00B12260">
      <w:pPr>
        <w:pStyle w:val="ListParagraph"/>
        <w:shd w:val="clear" w:color="auto" w:fill="FFFFFF"/>
        <w:ind w:left="388"/>
        <w:rPr>
          <w:rFonts w:eastAsia="Times New Roman" w:cstheme="minorHAnsi"/>
          <w:color w:val="333333"/>
          <w:sz w:val="24"/>
          <w:szCs w:val="24"/>
        </w:rPr>
      </w:pPr>
      <w:r w:rsidRPr="00B12260">
        <w:rPr>
          <w:rFonts w:eastAsia="Times New Roman" w:cstheme="minorHAnsi"/>
          <w:color w:val="333333"/>
          <w:sz w:val="24"/>
          <w:szCs w:val="24"/>
        </w:rPr>
        <w:t xml:space="preserve">1. Active SAGE account with the Department on or before </w:t>
      </w:r>
      <w:r w:rsidR="00974E1C">
        <w:rPr>
          <w:rFonts w:eastAsia="Times New Roman" w:cstheme="minorHAnsi"/>
          <w:color w:val="333333"/>
          <w:sz w:val="24"/>
          <w:szCs w:val="24"/>
        </w:rPr>
        <w:t>November 30</w:t>
      </w:r>
      <w:r w:rsidRPr="00B12260">
        <w:rPr>
          <w:rFonts w:eastAsia="Times New Roman" w:cstheme="minorHAnsi"/>
          <w:color w:val="333333"/>
          <w:sz w:val="24"/>
          <w:szCs w:val="24"/>
        </w:rPr>
        <w:t>, 2021.</w:t>
      </w:r>
    </w:p>
    <w:p w14:paraId="64EF7FA1" w14:textId="77777777" w:rsidR="00B12260" w:rsidRPr="00B12260" w:rsidRDefault="00B12260" w:rsidP="00B12260">
      <w:pPr>
        <w:pStyle w:val="ListParagraph"/>
        <w:shd w:val="clear" w:color="auto" w:fill="FFFFFF"/>
        <w:ind w:left="388"/>
        <w:rPr>
          <w:rFonts w:eastAsia="Times New Roman" w:cstheme="minorHAnsi"/>
          <w:color w:val="333333"/>
          <w:sz w:val="24"/>
          <w:szCs w:val="24"/>
        </w:rPr>
      </w:pPr>
      <w:r w:rsidRPr="00B12260">
        <w:rPr>
          <w:rFonts w:eastAsia="Times New Roman" w:cstheme="minorHAnsi"/>
          <w:color w:val="333333"/>
          <w:sz w:val="24"/>
          <w:szCs w:val="24"/>
        </w:rPr>
        <w:t xml:space="preserve">2. Not listed on the DCA list of High-Risk grantees and, as applicable, the current audit </w:t>
      </w:r>
    </w:p>
    <w:p w14:paraId="53002D70" w14:textId="77777777" w:rsidR="00B12260" w:rsidRPr="00B12260" w:rsidRDefault="00B12260" w:rsidP="00B12260">
      <w:pPr>
        <w:pStyle w:val="ListParagraph"/>
        <w:shd w:val="clear" w:color="auto" w:fill="FFFFFF"/>
        <w:ind w:left="388"/>
        <w:rPr>
          <w:rFonts w:eastAsia="Times New Roman" w:cstheme="minorHAnsi"/>
          <w:color w:val="333333"/>
          <w:sz w:val="24"/>
          <w:szCs w:val="24"/>
        </w:rPr>
      </w:pPr>
      <w:r w:rsidRPr="00B12260">
        <w:rPr>
          <w:rFonts w:eastAsia="Times New Roman" w:cstheme="minorHAnsi"/>
          <w:color w:val="333333"/>
          <w:sz w:val="24"/>
          <w:szCs w:val="24"/>
        </w:rPr>
        <w:t xml:space="preserve">submission is not overdue.  </w:t>
      </w:r>
    </w:p>
    <w:p w14:paraId="48DBF562" w14:textId="77777777" w:rsidR="00B12260" w:rsidRPr="00B12260" w:rsidRDefault="00B12260" w:rsidP="00B12260">
      <w:pPr>
        <w:pStyle w:val="ListParagraph"/>
        <w:shd w:val="clear" w:color="auto" w:fill="FFFFFF"/>
        <w:ind w:left="388"/>
        <w:rPr>
          <w:rFonts w:eastAsia="Times New Roman" w:cstheme="minorHAnsi"/>
          <w:color w:val="333333"/>
          <w:sz w:val="24"/>
          <w:szCs w:val="24"/>
          <w:u w:val="single"/>
        </w:rPr>
      </w:pPr>
      <w:r w:rsidRPr="00B12260">
        <w:rPr>
          <w:rFonts w:eastAsia="Times New Roman" w:cstheme="minorHAnsi"/>
          <w:color w:val="333333"/>
          <w:sz w:val="24"/>
          <w:szCs w:val="24"/>
        </w:rPr>
        <w:t xml:space="preserve">3. Valid registrations: </w:t>
      </w:r>
    </w:p>
    <w:p w14:paraId="39618652" w14:textId="77777777" w:rsidR="00B12260" w:rsidRPr="00B12260" w:rsidRDefault="00B12260" w:rsidP="00B12260">
      <w:pPr>
        <w:pStyle w:val="ListParagraph"/>
        <w:shd w:val="clear" w:color="auto" w:fill="FFFFFF"/>
        <w:ind w:left="388"/>
        <w:rPr>
          <w:rFonts w:eastAsia="Times New Roman" w:cstheme="minorHAnsi"/>
          <w:color w:val="333333"/>
          <w:sz w:val="24"/>
          <w:szCs w:val="24"/>
        </w:rPr>
      </w:pPr>
      <w:r w:rsidRPr="00B12260">
        <w:rPr>
          <w:rFonts w:eastAsia="Times New Roman" w:cstheme="minorHAnsi"/>
          <w:color w:val="333333"/>
          <w:sz w:val="24"/>
          <w:szCs w:val="24"/>
        </w:rPr>
        <w:tab/>
        <w:t>a. A SAMs registration noting that entity is not in a ‘Debt Offset’ status for owing</w:t>
      </w:r>
    </w:p>
    <w:p w14:paraId="6D6AC9D5" w14:textId="77777777" w:rsidR="00B12260" w:rsidRPr="00B12260" w:rsidRDefault="00B12260" w:rsidP="00B12260">
      <w:pPr>
        <w:pStyle w:val="ListParagraph"/>
        <w:shd w:val="clear" w:color="auto" w:fill="FFFFFF"/>
        <w:ind w:left="388"/>
        <w:rPr>
          <w:rFonts w:eastAsia="Times New Roman" w:cstheme="minorHAnsi"/>
          <w:color w:val="333333"/>
          <w:sz w:val="24"/>
          <w:szCs w:val="24"/>
        </w:rPr>
      </w:pPr>
      <w:r w:rsidRPr="00B12260">
        <w:rPr>
          <w:rFonts w:eastAsia="Times New Roman" w:cstheme="minorHAnsi"/>
          <w:color w:val="333333"/>
          <w:sz w:val="24"/>
          <w:szCs w:val="24"/>
        </w:rPr>
        <w:t xml:space="preserve"> funds to the federal government. </w:t>
      </w:r>
      <w:hyperlink r:id="rId5" w:history="1">
        <w:r w:rsidRPr="00B12260">
          <w:rPr>
            <w:rStyle w:val="Hyperlink"/>
            <w:rFonts w:eastAsia="Times New Roman" w:cstheme="minorHAnsi"/>
            <w:sz w:val="24"/>
            <w:szCs w:val="24"/>
          </w:rPr>
          <w:t>www.sam.gov</w:t>
        </w:r>
      </w:hyperlink>
    </w:p>
    <w:p w14:paraId="5AFAFCCE" w14:textId="4A988BD4" w:rsidR="00B12260" w:rsidRPr="00B12260" w:rsidRDefault="00B12260" w:rsidP="00B12260">
      <w:pPr>
        <w:pStyle w:val="ListParagraph"/>
        <w:shd w:val="clear" w:color="auto" w:fill="FFFFFF"/>
        <w:ind w:left="388"/>
        <w:rPr>
          <w:rFonts w:eastAsia="Times New Roman" w:cstheme="minorHAnsi"/>
          <w:color w:val="333333"/>
          <w:sz w:val="24"/>
          <w:szCs w:val="24"/>
        </w:rPr>
      </w:pPr>
      <w:r>
        <w:rPr>
          <w:rFonts w:eastAsia="Times New Roman" w:cstheme="minorHAnsi"/>
          <w:color w:val="333333"/>
          <w:sz w:val="24"/>
          <w:szCs w:val="24"/>
        </w:rPr>
        <w:lastRenderedPageBreak/>
        <w:t xml:space="preserve"> </w:t>
      </w:r>
      <w:r>
        <w:rPr>
          <w:rFonts w:eastAsia="Times New Roman" w:cstheme="minorHAnsi"/>
          <w:color w:val="333333"/>
          <w:sz w:val="24"/>
          <w:szCs w:val="24"/>
        </w:rPr>
        <w:tab/>
      </w:r>
      <w:r w:rsidRPr="00B12260">
        <w:rPr>
          <w:rFonts w:eastAsia="Times New Roman" w:cstheme="minorHAnsi"/>
          <w:color w:val="333333"/>
          <w:sz w:val="24"/>
          <w:szCs w:val="24"/>
        </w:rPr>
        <w:t>b. An active State Vendor number, as listed on NJStart.gov or</w:t>
      </w:r>
      <w:r w:rsidRPr="00B12260">
        <w:rPr>
          <w:sz w:val="24"/>
          <w:szCs w:val="24"/>
        </w:rPr>
        <w:t xml:space="preserve"> </w:t>
      </w:r>
      <w:hyperlink r:id="rId6" w:history="1">
        <w:r w:rsidRPr="00B12260">
          <w:rPr>
            <w:rStyle w:val="Hyperlink"/>
            <w:sz w:val="24"/>
            <w:szCs w:val="24"/>
          </w:rPr>
          <w:t>NJ Division of Purchase and Property (state.nj.us)</w:t>
        </w:r>
      </w:hyperlink>
      <w:r w:rsidRPr="00B12260">
        <w:rPr>
          <w:rStyle w:val="Hyperlink"/>
          <w:sz w:val="24"/>
          <w:szCs w:val="24"/>
        </w:rPr>
        <w:t>.</w:t>
      </w:r>
    </w:p>
    <w:p w14:paraId="252B2B82" w14:textId="74741F8D" w:rsidR="00B12260" w:rsidRPr="00B12260" w:rsidRDefault="00B12260" w:rsidP="006F5BC3">
      <w:pPr>
        <w:pStyle w:val="ListParagraph"/>
        <w:shd w:val="clear" w:color="auto" w:fill="FFFFFF"/>
        <w:ind w:left="388" w:firstLine="332"/>
        <w:rPr>
          <w:rFonts w:eastAsia="Times New Roman" w:cstheme="minorHAnsi"/>
          <w:color w:val="333333"/>
          <w:sz w:val="24"/>
          <w:szCs w:val="24"/>
        </w:rPr>
      </w:pPr>
      <w:r w:rsidRPr="00B12260">
        <w:rPr>
          <w:rFonts w:eastAsia="Times New Roman" w:cstheme="minorHAnsi"/>
          <w:color w:val="333333"/>
          <w:sz w:val="24"/>
          <w:szCs w:val="24"/>
        </w:rPr>
        <w:t xml:space="preserve">c. Not Listed on the State Debarment list, located at </w:t>
      </w:r>
      <w:hyperlink r:id="rId7" w:history="1">
        <w:r w:rsidRPr="00B12260">
          <w:rPr>
            <w:rStyle w:val="Hyperlink"/>
            <w:rFonts w:eastAsia="Times New Roman" w:cstheme="minorHAnsi"/>
            <w:sz w:val="24"/>
            <w:szCs w:val="24"/>
          </w:rPr>
          <w:t>www.state.nj.us/cgi-bin/treas/revenue/debarsearch.pl</w:t>
        </w:r>
      </w:hyperlink>
      <w:r w:rsidRPr="00B12260">
        <w:rPr>
          <w:rFonts w:eastAsia="Times New Roman" w:cstheme="minorHAnsi"/>
          <w:color w:val="333333"/>
          <w:sz w:val="24"/>
          <w:szCs w:val="24"/>
        </w:rPr>
        <w:t>.</w:t>
      </w:r>
    </w:p>
    <w:p w14:paraId="0DA101AA" w14:textId="77777777" w:rsidR="00974E1C" w:rsidRDefault="00B12260" w:rsidP="00974E1C">
      <w:pPr>
        <w:pStyle w:val="ListParagraph"/>
        <w:shd w:val="clear" w:color="auto" w:fill="FFFFFF"/>
        <w:ind w:left="388" w:firstLine="332"/>
        <w:rPr>
          <w:rStyle w:val="Hyperlink"/>
          <w:sz w:val="24"/>
          <w:szCs w:val="24"/>
        </w:rPr>
      </w:pPr>
      <w:r w:rsidRPr="00B12260">
        <w:rPr>
          <w:rFonts w:eastAsia="Times New Roman" w:cstheme="minorHAnsi"/>
          <w:color w:val="333333"/>
          <w:sz w:val="24"/>
          <w:szCs w:val="24"/>
        </w:rPr>
        <w:t>d. An active account or exemption at the NJ Charities Registrations website at</w:t>
      </w:r>
      <w:r w:rsidRPr="00B12260">
        <w:rPr>
          <w:sz w:val="24"/>
          <w:szCs w:val="24"/>
        </w:rPr>
        <w:t xml:space="preserve"> </w:t>
      </w:r>
      <w:hyperlink r:id="rId8" w:history="1">
        <w:r w:rsidRPr="00B12260">
          <w:rPr>
            <w:rStyle w:val="Hyperlink"/>
            <w:sz w:val="24"/>
            <w:szCs w:val="24"/>
          </w:rPr>
          <w:t xml:space="preserve">Search </w:t>
        </w:r>
        <w:proofErr w:type="gramStart"/>
        <w:r w:rsidRPr="00B12260">
          <w:rPr>
            <w:rStyle w:val="Hyperlink"/>
            <w:sz w:val="24"/>
            <w:szCs w:val="24"/>
          </w:rPr>
          <w:t>For</w:t>
        </w:r>
        <w:proofErr w:type="gramEnd"/>
        <w:r w:rsidRPr="00B12260">
          <w:rPr>
            <w:rStyle w:val="Hyperlink"/>
            <w:sz w:val="24"/>
            <w:szCs w:val="24"/>
          </w:rPr>
          <w:t xml:space="preserve"> A Charity · Basic Portal (state.nj.us)</w:t>
        </w:r>
      </w:hyperlink>
    </w:p>
    <w:p w14:paraId="12CC5DF8" w14:textId="77777777" w:rsidR="00974E1C" w:rsidRDefault="00974E1C" w:rsidP="00974E1C">
      <w:pPr>
        <w:pStyle w:val="ListParagraph"/>
        <w:shd w:val="clear" w:color="auto" w:fill="FFFFFF"/>
        <w:ind w:left="388"/>
        <w:rPr>
          <w:rFonts w:asciiTheme="minorHAnsi" w:hAnsiTheme="minorHAnsi" w:cstheme="minorHAnsi"/>
          <w:sz w:val="24"/>
          <w:szCs w:val="24"/>
        </w:rPr>
      </w:pPr>
      <w:r w:rsidRPr="00974E1C">
        <w:rPr>
          <w:rStyle w:val="Hyperlink"/>
          <w:color w:val="000000" w:themeColor="text1"/>
          <w:sz w:val="24"/>
          <w:szCs w:val="24"/>
          <w:u w:val="none"/>
        </w:rPr>
        <w:t>4.</w:t>
      </w:r>
      <w:r w:rsidRPr="00974E1C">
        <w:rPr>
          <w:rStyle w:val="Hyperlink"/>
          <w:color w:val="000000" w:themeColor="text1"/>
          <w:sz w:val="24"/>
          <w:szCs w:val="24"/>
        </w:rPr>
        <w:t xml:space="preserve"> </w:t>
      </w:r>
      <w:r w:rsidRPr="00974E1C">
        <w:rPr>
          <w:rFonts w:asciiTheme="minorHAnsi" w:hAnsiTheme="minorHAnsi" w:cstheme="minorHAnsi"/>
          <w:sz w:val="24"/>
          <w:szCs w:val="24"/>
        </w:rPr>
        <w:t>Applicants will comprehensively provide a staffing organizational chart, new &amp; current staffing capacities, case worker professional experience, expected budget expenditures, and geographic vicinage capacity.</w:t>
      </w:r>
    </w:p>
    <w:p w14:paraId="7B17F41B" w14:textId="68C5F830" w:rsidR="006F5BC3" w:rsidRDefault="00974E1C" w:rsidP="002B2D1F">
      <w:pPr>
        <w:pStyle w:val="ListParagraph"/>
        <w:shd w:val="clear" w:color="auto" w:fill="FFFFFF"/>
        <w:ind w:left="388"/>
        <w:rPr>
          <w:rFonts w:asciiTheme="minorHAnsi" w:hAnsiTheme="minorHAnsi" w:cstheme="minorHAnsi"/>
          <w:sz w:val="24"/>
          <w:szCs w:val="24"/>
        </w:rPr>
      </w:pPr>
      <w:r>
        <w:rPr>
          <w:rStyle w:val="Hyperlink"/>
          <w:color w:val="000000" w:themeColor="text1"/>
          <w:sz w:val="24"/>
          <w:szCs w:val="24"/>
          <w:u w:val="none"/>
        </w:rPr>
        <w:t>5.</w:t>
      </w:r>
      <w:r>
        <w:rPr>
          <w:rFonts w:asciiTheme="minorHAnsi" w:hAnsiTheme="minorHAnsi" w:cstheme="minorHAnsi"/>
          <w:sz w:val="24"/>
          <w:szCs w:val="24"/>
        </w:rPr>
        <w:t xml:space="preserve"> </w:t>
      </w:r>
      <w:r w:rsidRPr="00974E1C">
        <w:rPr>
          <w:rFonts w:asciiTheme="minorHAnsi" w:hAnsiTheme="minorHAnsi" w:cstheme="minorHAnsi"/>
          <w:sz w:val="24"/>
          <w:szCs w:val="24"/>
        </w:rPr>
        <w:t>Applicants will clearly define and establish reasonable budgets in case worker salaries, expenses related to the purchase of necessary technology, and administrative costs.</w:t>
      </w:r>
    </w:p>
    <w:p w14:paraId="0DCF417A" w14:textId="77777777" w:rsidR="002B2D1F" w:rsidRPr="002B2D1F" w:rsidRDefault="002B2D1F" w:rsidP="002B2D1F">
      <w:pPr>
        <w:pStyle w:val="ListParagraph"/>
        <w:shd w:val="clear" w:color="auto" w:fill="FFFFFF"/>
        <w:ind w:left="388"/>
        <w:rPr>
          <w:color w:val="0000FF"/>
          <w:sz w:val="24"/>
          <w:szCs w:val="24"/>
          <w:u w:val="single"/>
        </w:rPr>
      </w:pPr>
    </w:p>
    <w:p w14:paraId="6283FE18" w14:textId="083954BE" w:rsidR="006F5BC3" w:rsidRPr="00901EEF" w:rsidRDefault="006F5BC3" w:rsidP="00901EEF">
      <w:pPr>
        <w:pStyle w:val="ListParagraph"/>
        <w:numPr>
          <w:ilvl w:val="0"/>
          <w:numId w:val="27"/>
        </w:numPr>
        <w:shd w:val="clear" w:color="auto" w:fill="FFFFFF"/>
        <w:spacing w:before="100" w:beforeAutospacing="1"/>
        <w:rPr>
          <w:sz w:val="24"/>
          <w:szCs w:val="24"/>
        </w:rPr>
      </w:pPr>
      <w:r w:rsidRPr="00901EEF">
        <w:rPr>
          <w:b/>
          <w:bCs/>
          <w:sz w:val="24"/>
          <w:szCs w:val="24"/>
          <w:highlight w:val="yellow"/>
        </w:rPr>
        <w:t>Grant Term</w:t>
      </w:r>
      <w:r w:rsidRPr="00901EEF">
        <w:rPr>
          <w:sz w:val="24"/>
          <w:szCs w:val="24"/>
        </w:rPr>
        <w:t xml:space="preserve">: </w:t>
      </w:r>
      <w:r w:rsidR="002B2D1F" w:rsidRPr="00901EEF">
        <w:rPr>
          <w:sz w:val="24"/>
          <w:szCs w:val="24"/>
        </w:rPr>
        <w:t>12 months</w:t>
      </w:r>
    </w:p>
    <w:p w14:paraId="4A7B1969" w14:textId="77777777" w:rsidR="00C432BC" w:rsidRDefault="00C432BC" w:rsidP="00C432BC">
      <w:pPr>
        <w:rPr>
          <w:b/>
          <w:bCs/>
          <w:highlight w:val="yellow"/>
        </w:rPr>
      </w:pPr>
    </w:p>
    <w:p w14:paraId="6F8A9BFF" w14:textId="5FF966AC" w:rsidR="00C432BC" w:rsidRPr="00901EEF" w:rsidRDefault="00C432BC" w:rsidP="00901EEF">
      <w:pPr>
        <w:pStyle w:val="ListParagraph"/>
        <w:numPr>
          <w:ilvl w:val="0"/>
          <w:numId w:val="27"/>
        </w:numPr>
        <w:rPr>
          <w:sz w:val="24"/>
          <w:szCs w:val="24"/>
          <w:highlight w:val="yellow"/>
        </w:rPr>
      </w:pPr>
      <w:r w:rsidRPr="00901EEF">
        <w:rPr>
          <w:b/>
          <w:bCs/>
          <w:sz w:val="24"/>
          <w:szCs w:val="24"/>
          <w:highlight w:val="yellow"/>
        </w:rPr>
        <w:t>Application Process:</w:t>
      </w:r>
    </w:p>
    <w:p w14:paraId="70BB9F03" w14:textId="393FB5D0" w:rsidR="006F5BC3" w:rsidRDefault="006F5BC3" w:rsidP="006F5BC3">
      <w:pPr>
        <w:pStyle w:val="ListParagraph"/>
        <w:spacing w:after="0" w:line="240" w:lineRule="auto"/>
        <w:ind w:left="360"/>
        <w:contextualSpacing w:val="0"/>
        <w:rPr>
          <w:rFonts w:asciiTheme="minorHAnsi" w:hAnsiTheme="minorHAnsi" w:cstheme="minorHAnsi"/>
          <w:bCs/>
          <w:sz w:val="24"/>
          <w:szCs w:val="24"/>
        </w:rPr>
      </w:pPr>
      <w:r w:rsidRPr="002B2D1F">
        <w:rPr>
          <w:rFonts w:asciiTheme="minorHAnsi" w:hAnsiTheme="minorHAnsi" w:cstheme="minorHAnsi"/>
          <w:bCs/>
          <w:sz w:val="24"/>
          <w:szCs w:val="24"/>
        </w:rPr>
        <w:t xml:space="preserve">All applications must be emailed to: </w:t>
      </w:r>
      <w:r w:rsidRPr="002B2D1F">
        <w:rPr>
          <w:rFonts w:asciiTheme="minorHAnsi" w:hAnsiTheme="minorHAnsi" w:cstheme="minorHAnsi"/>
          <w:b/>
          <w:sz w:val="24"/>
          <w:szCs w:val="24"/>
        </w:rPr>
        <w:t xml:space="preserve">Dean </w:t>
      </w:r>
      <w:proofErr w:type="spellStart"/>
      <w:r w:rsidRPr="002B2D1F">
        <w:rPr>
          <w:rFonts w:asciiTheme="minorHAnsi" w:hAnsiTheme="minorHAnsi" w:cstheme="minorHAnsi"/>
          <w:b/>
          <w:sz w:val="24"/>
          <w:szCs w:val="24"/>
        </w:rPr>
        <w:t>Dafis</w:t>
      </w:r>
      <w:proofErr w:type="spellEnd"/>
      <w:r w:rsidRPr="002B2D1F">
        <w:rPr>
          <w:rFonts w:asciiTheme="minorHAnsi" w:hAnsiTheme="minorHAnsi" w:cstheme="minorHAnsi"/>
          <w:bCs/>
          <w:sz w:val="24"/>
          <w:szCs w:val="24"/>
        </w:rPr>
        <w:t xml:space="preserve">: </w:t>
      </w:r>
      <w:r w:rsidRPr="00901EEF">
        <w:rPr>
          <w:rFonts w:asciiTheme="minorHAnsi" w:hAnsiTheme="minorHAnsi" w:cstheme="minorHAnsi"/>
          <w:bCs/>
          <w:sz w:val="24"/>
          <w:szCs w:val="24"/>
          <w:highlight w:val="yellow"/>
        </w:rPr>
        <w:t>dean.dafis@dca.nj.gov</w:t>
      </w:r>
    </w:p>
    <w:p w14:paraId="55F13C17" w14:textId="77777777" w:rsidR="006F5BC3" w:rsidRDefault="006F5BC3" w:rsidP="006F5BC3">
      <w:pPr>
        <w:pStyle w:val="ListParagraph"/>
        <w:spacing w:after="0" w:line="240" w:lineRule="auto"/>
        <w:ind w:left="360"/>
        <w:contextualSpacing w:val="0"/>
        <w:rPr>
          <w:rFonts w:asciiTheme="minorHAnsi" w:hAnsiTheme="minorHAnsi" w:cstheme="minorHAnsi"/>
          <w:bCs/>
          <w:sz w:val="24"/>
          <w:szCs w:val="24"/>
        </w:rPr>
      </w:pPr>
      <w:r>
        <w:rPr>
          <w:rFonts w:asciiTheme="minorHAnsi" w:hAnsiTheme="minorHAnsi" w:cstheme="minorHAnsi"/>
          <w:bCs/>
          <w:sz w:val="24"/>
          <w:szCs w:val="24"/>
        </w:rPr>
        <w:t>A</w:t>
      </w:r>
      <w:r w:rsidRPr="006F5BC3">
        <w:rPr>
          <w:rFonts w:asciiTheme="minorHAnsi" w:hAnsiTheme="minorHAnsi" w:cstheme="minorHAnsi"/>
          <w:bCs/>
          <w:sz w:val="24"/>
          <w:szCs w:val="24"/>
        </w:rPr>
        <w:t>pp</w:t>
      </w:r>
      <w:r>
        <w:rPr>
          <w:rFonts w:asciiTheme="minorHAnsi" w:hAnsiTheme="minorHAnsi" w:cstheme="minorHAnsi"/>
          <w:bCs/>
          <w:sz w:val="24"/>
          <w:szCs w:val="24"/>
        </w:rPr>
        <w:t>roved applicants will be</w:t>
      </w:r>
      <w:r w:rsidRPr="006F5BC3">
        <w:rPr>
          <w:rFonts w:asciiTheme="minorHAnsi" w:hAnsiTheme="minorHAnsi" w:cstheme="minorHAnsi"/>
          <w:bCs/>
          <w:sz w:val="24"/>
          <w:szCs w:val="24"/>
        </w:rPr>
        <w:t xml:space="preserve"> required to transfer all application data to DCA’s electronic grants system, known as SAGE. </w:t>
      </w:r>
    </w:p>
    <w:p w14:paraId="0EB2E791" w14:textId="631273CC" w:rsidR="006F5BC3" w:rsidRPr="006F5BC3" w:rsidRDefault="006F5BC3" w:rsidP="006F5BC3">
      <w:pPr>
        <w:pStyle w:val="ListParagraph"/>
        <w:spacing w:after="0" w:line="240" w:lineRule="auto"/>
        <w:ind w:left="360"/>
        <w:contextualSpacing w:val="0"/>
        <w:rPr>
          <w:rFonts w:asciiTheme="minorHAnsi" w:hAnsiTheme="minorHAnsi" w:cstheme="minorHAnsi"/>
          <w:b/>
          <w:bCs/>
          <w:sz w:val="24"/>
          <w:szCs w:val="24"/>
        </w:rPr>
      </w:pPr>
      <w:r w:rsidRPr="006F5BC3">
        <w:rPr>
          <w:rFonts w:asciiTheme="minorHAnsi" w:hAnsiTheme="minorHAnsi" w:cstheme="minorHAnsi"/>
          <w:bCs/>
          <w:sz w:val="24"/>
          <w:szCs w:val="24"/>
        </w:rPr>
        <w:t>Applications must include the following information:</w:t>
      </w:r>
    </w:p>
    <w:p w14:paraId="006A5EDA" w14:textId="77777777" w:rsidR="006F5BC3" w:rsidRP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 xml:space="preserve">Agency Description </w:t>
      </w:r>
    </w:p>
    <w:p w14:paraId="0BC57504" w14:textId="77777777" w:rsidR="006F5BC3" w:rsidRPr="006F5BC3" w:rsidRDefault="006F5BC3" w:rsidP="006F5BC3">
      <w:pPr>
        <w:numPr>
          <w:ilvl w:val="0"/>
          <w:numId w:val="12"/>
        </w:numPr>
        <w:tabs>
          <w:tab w:val="left" w:pos="1260"/>
        </w:tabs>
        <w:rPr>
          <w:rStyle w:val="textstandard1"/>
          <w:rFonts w:asciiTheme="minorHAnsi" w:hAnsiTheme="minorHAnsi" w:cstheme="minorHAnsi"/>
          <w:b/>
          <w:sz w:val="24"/>
          <w:szCs w:val="24"/>
        </w:rPr>
      </w:pPr>
      <w:r w:rsidRPr="006F5BC3">
        <w:rPr>
          <w:rStyle w:val="textstandard1"/>
          <w:rFonts w:asciiTheme="minorHAnsi" w:hAnsiTheme="minorHAnsi" w:cstheme="minorHAnsi"/>
          <w:sz w:val="24"/>
          <w:szCs w:val="24"/>
        </w:rPr>
        <w:t>Proposed Program Descriptions</w:t>
      </w:r>
    </w:p>
    <w:p w14:paraId="3126C730" w14:textId="77777777" w:rsidR="006F5BC3" w:rsidRPr="006F5BC3" w:rsidRDefault="006F5BC3" w:rsidP="006F5BC3">
      <w:pPr>
        <w:numPr>
          <w:ilvl w:val="0"/>
          <w:numId w:val="12"/>
        </w:numPr>
        <w:tabs>
          <w:tab w:val="left" w:pos="1260"/>
        </w:tabs>
        <w:rPr>
          <w:rStyle w:val="textstandard1"/>
          <w:rFonts w:asciiTheme="minorHAnsi" w:eastAsia="Times New Roman" w:hAnsiTheme="minorHAnsi" w:cstheme="minorHAnsi"/>
          <w:b/>
          <w:bCs/>
          <w:sz w:val="24"/>
          <w:szCs w:val="24"/>
        </w:rPr>
      </w:pPr>
      <w:r w:rsidRPr="006F5BC3">
        <w:rPr>
          <w:rStyle w:val="textstandard1"/>
          <w:rFonts w:asciiTheme="minorHAnsi" w:hAnsiTheme="minorHAnsi" w:cstheme="minorHAnsi"/>
          <w:sz w:val="24"/>
          <w:szCs w:val="24"/>
        </w:rPr>
        <w:t xml:space="preserve">Program Objectives </w:t>
      </w:r>
    </w:p>
    <w:p w14:paraId="37B44C46" w14:textId="77777777" w:rsidR="006F5BC3" w:rsidRPr="006F5BC3" w:rsidRDefault="006F5BC3" w:rsidP="006F5BC3">
      <w:pPr>
        <w:numPr>
          <w:ilvl w:val="0"/>
          <w:numId w:val="12"/>
        </w:numPr>
        <w:tabs>
          <w:tab w:val="left" w:pos="1260"/>
        </w:tabs>
        <w:ind w:left="1260" w:hanging="180"/>
        <w:rPr>
          <w:rFonts w:cstheme="minorHAnsi"/>
        </w:rPr>
      </w:pPr>
      <w:r w:rsidRPr="006F5BC3">
        <w:rPr>
          <w:rStyle w:val="textstandard1"/>
          <w:rFonts w:asciiTheme="minorHAnsi" w:hAnsiTheme="minorHAnsi" w:cstheme="minorHAnsi"/>
          <w:sz w:val="24"/>
          <w:szCs w:val="24"/>
        </w:rPr>
        <w:t xml:space="preserve">Scope of Services </w:t>
      </w:r>
    </w:p>
    <w:p w14:paraId="1ADEF4BB" w14:textId="77777777" w:rsidR="006F5BC3" w:rsidRP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Contact Information</w:t>
      </w:r>
    </w:p>
    <w:p w14:paraId="765F7D40" w14:textId="77777777" w:rsidR="006F5BC3" w:rsidRP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Program Components</w:t>
      </w:r>
    </w:p>
    <w:p w14:paraId="4854FFDA" w14:textId="2C481C96" w:rsidR="006F5BC3" w:rsidRPr="006F5BC3" w:rsidRDefault="002B2D1F" w:rsidP="006F5BC3">
      <w:pPr>
        <w:numPr>
          <w:ilvl w:val="0"/>
          <w:numId w:val="12"/>
        </w:numPr>
        <w:tabs>
          <w:tab w:val="left" w:pos="1260"/>
        </w:tabs>
        <w:rPr>
          <w:rFonts w:eastAsia="Times New Roman" w:cstheme="minorHAnsi"/>
          <w:bCs/>
        </w:rPr>
      </w:pPr>
      <w:r>
        <w:rPr>
          <w:rFonts w:eastAsia="Times New Roman" w:cstheme="minorHAnsi"/>
          <w:bCs/>
        </w:rPr>
        <w:t xml:space="preserve">Proposed </w:t>
      </w:r>
      <w:r w:rsidR="006F5BC3" w:rsidRPr="006F5BC3">
        <w:rPr>
          <w:rFonts w:eastAsia="Times New Roman" w:cstheme="minorHAnsi"/>
          <w:bCs/>
        </w:rPr>
        <w:t>Program Service Areas</w:t>
      </w:r>
    </w:p>
    <w:p w14:paraId="7FE834EB" w14:textId="2F0BB563" w:rsid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Program Personnel Listing and resumes of key staff</w:t>
      </w:r>
    </w:p>
    <w:p w14:paraId="6F3A5F6B" w14:textId="57CCFEBC" w:rsidR="002B2D1F" w:rsidRPr="006F5BC3" w:rsidRDefault="002B2D1F" w:rsidP="006F5BC3">
      <w:pPr>
        <w:numPr>
          <w:ilvl w:val="0"/>
          <w:numId w:val="12"/>
        </w:numPr>
        <w:tabs>
          <w:tab w:val="left" w:pos="1260"/>
        </w:tabs>
        <w:rPr>
          <w:rFonts w:eastAsia="Times New Roman" w:cstheme="minorHAnsi"/>
          <w:bCs/>
        </w:rPr>
      </w:pPr>
      <w:r>
        <w:rPr>
          <w:rFonts w:eastAsia="Times New Roman" w:cstheme="minorHAnsi"/>
          <w:bCs/>
        </w:rPr>
        <w:t>Staffing organizational chart</w:t>
      </w:r>
    </w:p>
    <w:p w14:paraId="0A431CB3" w14:textId="77777777" w:rsidR="006F5BC3" w:rsidRP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Consultant Listing</w:t>
      </w:r>
    </w:p>
    <w:p w14:paraId="4BB0C649" w14:textId="77777777" w:rsidR="006F5BC3" w:rsidRPr="006F5BC3" w:rsidRDefault="006F5BC3" w:rsidP="006F5BC3">
      <w:pPr>
        <w:numPr>
          <w:ilvl w:val="0"/>
          <w:numId w:val="12"/>
        </w:numPr>
        <w:tabs>
          <w:tab w:val="left" w:pos="1260"/>
        </w:tabs>
        <w:rPr>
          <w:rFonts w:eastAsia="Times New Roman" w:cstheme="minorHAnsi"/>
          <w:bCs/>
        </w:rPr>
      </w:pPr>
      <w:r w:rsidRPr="006F5BC3">
        <w:rPr>
          <w:rFonts w:eastAsia="Times New Roman" w:cstheme="minorHAnsi"/>
          <w:bCs/>
        </w:rPr>
        <w:t xml:space="preserve">Proposed Program Budget </w:t>
      </w:r>
    </w:p>
    <w:p w14:paraId="57B3AE64" w14:textId="77777777" w:rsidR="006F5BC3" w:rsidRPr="006F5BC3" w:rsidRDefault="006F5BC3" w:rsidP="006F5BC3">
      <w:pPr>
        <w:rPr>
          <w:rFonts w:cstheme="minorHAnsi"/>
          <w:bCs/>
        </w:rPr>
      </w:pPr>
    </w:p>
    <w:p w14:paraId="2336244C" w14:textId="77777777" w:rsidR="006F5BC3" w:rsidRPr="006F5BC3" w:rsidRDefault="006F5BC3" w:rsidP="006F5BC3">
      <w:pPr>
        <w:ind w:left="720"/>
        <w:jc w:val="both"/>
        <w:rPr>
          <w:rFonts w:eastAsia="Times New Roman" w:cstheme="minorHAnsi"/>
          <w:bCs/>
        </w:rPr>
      </w:pPr>
      <w:r w:rsidRPr="006F5BC3">
        <w:rPr>
          <w:rFonts w:eastAsia="Times New Roman" w:cstheme="minorHAnsi"/>
          <w:b/>
          <w:bCs/>
          <w:i/>
        </w:rPr>
        <w:t>Required Application Attachments:</w:t>
      </w:r>
    </w:p>
    <w:p w14:paraId="6F1B35A6"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Certification Regarding Debarment and Suspension</w:t>
      </w:r>
    </w:p>
    <w:p w14:paraId="01E60A6F"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Certification Regarding Lobbying</w:t>
      </w:r>
    </w:p>
    <w:p w14:paraId="712AF1CE"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 xml:space="preserve">Resolution from grantee board </w:t>
      </w:r>
    </w:p>
    <w:p w14:paraId="178B4F7F"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Copy of SAM.gov Certification</w:t>
      </w:r>
    </w:p>
    <w:p w14:paraId="567575A8"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Partnership Listing and a list of the services provided through such partnerships</w:t>
      </w:r>
    </w:p>
    <w:p w14:paraId="732F828C" w14:textId="77777777"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Signed Application Cover Page</w:t>
      </w:r>
    </w:p>
    <w:p w14:paraId="00B030DF" w14:textId="4DE904D2" w:rsidR="006F5BC3" w:rsidRPr="006F5BC3" w:rsidRDefault="006F5BC3" w:rsidP="006F5BC3">
      <w:pPr>
        <w:numPr>
          <w:ilvl w:val="0"/>
          <w:numId w:val="13"/>
        </w:numPr>
        <w:tabs>
          <w:tab w:val="left" w:pos="1260"/>
        </w:tabs>
        <w:ind w:hanging="810"/>
        <w:jc w:val="both"/>
        <w:rPr>
          <w:rFonts w:eastAsia="Times New Roman" w:cstheme="minorHAnsi"/>
          <w:bCs/>
        </w:rPr>
      </w:pPr>
      <w:r w:rsidRPr="006F5BC3">
        <w:rPr>
          <w:rFonts w:eastAsia="Times New Roman" w:cstheme="minorHAnsi"/>
          <w:bCs/>
        </w:rPr>
        <w:t>Bylaws and Articles of Incorporation</w:t>
      </w:r>
    </w:p>
    <w:p w14:paraId="024F7FCE" w14:textId="77777777" w:rsidR="006F5BC3" w:rsidRPr="006F5BC3" w:rsidRDefault="006F5BC3" w:rsidP="006F5BC3">
      <w:pPr>
        <w:tabs>
          <w:tab w:val="left" w:pos="1260"/>
        </w:tabs>
        <w:rPr>
          <w:rFonts w:eastAsia="Times New Roman" w:cstheme="minorHAnsi"/>
          <w:b/>
        </w:rPr>
      </w:pPr>
    </w:p>
    <w:p w14:paraId="3EE6BC6E" w14:textId="77777777" w:rsidR="006F5BC3" w:rsidRPr="006F5BC3" w:rsidRDefault="006F5BC3" w:rsidP="006F5BC3">
      <w:pPr>
        <w:tabs>
          <w:tab w:val="left" w:pos="1260"/>
        </w:tabs>
        <w:rPr>
          <w:rFonts w:eastAsia="Times New Roman" w:cstheme="minorHAnsi"/>
          <w:bCs/>
        </w:rPr>
      </w:pPr>
      <w:r w:rsidRPr="006F5BC3">
        <w:rPr>
          <w:rFonts w:eastAsia="Times New Roman" w:cstheme="minorHAnsi"/>
          <w:bCs/>
        </w:rPr>
        <w:t>Administrative costs are limited to a maximum of 15% of the total grant award.</w:t>
      </w:r>
    </w:p>
    <w:p w14:paraId="34D7AEF3" w14:textId="77777777" w:rsidR="006F5BC3" w:rsidRPr="006F5BC3" w:rsidRDefault="006F5BC3" w:rsidP="006F5BC3">
      <w:pPr>
        <w:ind w:left="375" w:firstLine="345"/>
        <w:jc w:val="both"/>
        <w:rPr>
          <w:rFonts w:eastAsia="Times New Roman" w:cstheme="minorHAnsi"/>
          <w:bCs/>
        </w:rPr>
      </w:pPr>
      <w:bookmarkStart w:id="0" w:name="8"/>
      <w:bookmarkEnd w:id="0"/>
    </w:p>
    <w:p w14:paraId="4845C0B3" w14:textId="77777777" w:rsidR="006F5BC3" w:rsidRPr="006F5BC3" w:rsidRDefault="006F5BC3" w:rsidP="006F5BC3">
      <w:pPr>
        <w:tabs>
          <w:tab w:val="left" w:pos="720"/>
        </w:tabs>
        <w:ind w:left="720"/>
        <w:rPr>
          <w:rFonts w:eastAsia="Times New Roman" w:cstheme="minorHAnsi"/>
          <w:b/>
        </w:rPr>
      </w:pPr>
    </w:p>
    <w:p w14:paraId="36FE812C" w14:textId="4AC98E7F" w:rsidR="006F5BC3" w:rsidRPr="006F5BC3" w:rsidRDefault="006F5BC3" w:rsidP="00901EEF">
      <w:pPr>
        <w:pStyle w:val="ListParagraph"/>
        <w:numPr>
          <w:ilvl w:val="0"/>
          <w:numId w:val="27"/>
        </w:numPr>
        <w:rPr>
          <w:rFonts w:cstheme="minorHAnsi"/>
          <w:sz w:val="24"/>
          <w:szCs w:val="24"/>
          <w:highlight w:val="yellow"/>
        </w:rPr>
      </w:pPr>
      <w:r w:rsidRPr="006F5BC3">
        <w:rPr>
          <w:rFonts w:cstheme="minorHAnsi"/>
          <w:b/>
          <w:bCs/>
          <w:sz w:val="24"/>
          <w:szCs w:val="24"/>
          <w:highlight w:val="yellow"/>
        </w:rPr>
        <w:t>Review Criteria</w:t>
      </w:r>
    </w:p>
    <w:p w14:paraId="5CAE4F46" w14:textId="37DB67EF" w:rsidR="006F5BC3" w:rsidRPr="006F5BC3" w:rsidRDefault="006F5BC3" w:rsidP="006F5BC3">
      <w:pPr>
        <w:pStyle w:val="Default"/>
        <w:rPr>
          <w:rFonts w:asciiTheme="minorHAnsi" w:hAnsiTheme="minorHAnsi" w:cstheme="minorHAnsi"/>
        </w:rPr>
      </w:pPr>
      <w:r w:rsidRPr="006F5BC3">
        <w:rPr>
          <w:rFonts w:asciiTheme="minorHAnsi" w:hAnsiTheme="minorHAnsi" w:cstheme="minorHAnsi"/>
        </w:rPr>
        <w:t xml:space="preserve">  </w:t>
      </w:r>
      <w:r w:rsidRPr="006F5BC3">
        <w:rPr>
          <w:rFonts w:asciiTheme="minorHAnsi" w:hAnsiTheme="minorHAnsi" w:cstheme="minorHAnsi"/>
        </w:rPr>
        <w:tab/>
      </w:r>
      <w:r>
        <w:rPr>
          <w:rFonts w:asciiTheme="minorHAnsi" w:hAnsiTheme="minorHAnsi" w:cstheme="minorHAnsi"/>
        </w:rPr>
        <w:t xml:space="preserve">The </w:t>
      </w:r>
      <w:r w:rsidRPr="006F5BC3">
        <w:rPr>
          <w:rFonts w:asciiTheme="minorHAnsi" w:hAnsiTheme="minorHAnsi" w:cstheme="minorHAnsi"/>
        </w:rPr>
        <w:t xml:space="preserve">Office of </w:t>
      </w:r>
      <w:r>
        <w:rPr>
          <w:rFonts w:asciiTheme="minorHAnsi" w:hAnsiTheme="minorHAnsi" w:cstheme="minorHAnsi"/>
        </w:rPr>
        <w:t>Eviction Prevention</w:t>
      </w:r>
      <w:r w:rsidRPr="006F5BC3">
        <w:rPr>
          <w:rFonts w:asciiTheme="minorHAnsi" w:hAnsiTheme="minorHAnsi" w:cstheme="minorHAnsi"/>
        </w:rPr>
        <w:t xml:space="preserve"> will review and evaluate applications based on a </w:t>
      </w:r>
    </w:p>
    <w:p w14:paraId="2624058D" w14:textId="77777777" w:rsidR="006F5BC3" w:rsidRPr="006F5BC3" w:rsidRDefault="006F5BC3" w:rsidP="006F5BC3">
      <w:pPr>
        <w:pStyle w:val="Default"/>
        <w:rPr>
          <w:rFonts w:asciiTheme="minorHAnsi" w:hAnsiTheme="minorHAnsi" w:cstheme="minorHAnsi"/>
        </w:rPr>
      </w:pPr>
      <w:r w:rsidRPr="006F5BC3">
        <w:rPr>
          <w:rFonts w:asciiTheme="minorHAnsi" w:hAnsiTheme="minorHAnsi" w:cstheme="minorHAnsi"/>
        </w:rPr>
        <w:tab/>
      </w:r>
      <w:r w:rsidRPr="006F5BC3">
        <w:rPr>
          <w:rFonts w:asciiTheme="minorHAnsi" w:hAnsiTheme="minorHAnsi" w:cstheme="minorHAnsi"/>
          <w:b/>
        </w:rPr>
        <w:t>100-point system</w:t>
      </w:r>
      <w:r w:rsidRPr="006F5BC3">
        <w:rPr>
          <w:rFonts w:asciiTheme="minorHAnsi" w:hAnsiTheme="minorHAnsi" w:cstheme="minorHAnsi"/>
        </w:rPr>
        <w:t>.  Applications are scored as follows:</w:t>
      </w:r>
    </w:p>
    <w:p w14:paraId="4EF5B2E3" w14:textId="77777777" w:rsidR="006F5BC3" w:rsidRPr="006F5BC3" w:rsidRDefault="006F5BC3" w:rsidP="006F5BC3">
      <w:pPr>
        <w:pStyle w:val="Default"/>
        <w:ind w:left="720"/>
        <w:rPr>
          <w:rFonts w:asciiTheme="minorHAnsi" w:hAnsiTheme="minorHAnsi" w:cstheme="minorHAnsi"/>
        </w:rPr>
      </w:pPr>
    </w:p>
    <w:p w14:paraId="42DC7EF0" w14:textId="77777777" w:rsidR="006F5BC3" w:rsidRPr="0040693E" w:rsidRDefault="006F5BC3" w:rsidP="006F5BC3">
      <w:pPr>
        <w:pStyle w:val="Default"/>
        <w:numPr>
          <w:ilvl w:val="0"/>
          <w:numId w:val="14"/>
        </w:numPr>
        <w:rPr>
          <w:rFonts w:asciiTheme="minorHAnsi" w:hAnsiTheme="minorHAnsi" w:cstheme="minorHAnsi"/>
          <w:b/>
          <w:bCs/>
        </w:rPr>
      </w:pPr>
      <w:r w:rsidRPr="00DC0C68">
        <w:rPr>
          <w:rFonts w:asciiTheme="minorHAnsi" w:hAnsiTheme="minorHAnsi" w:cstheme="minorHAnsi"/>
          <w:highlight w:val="yellow"/>
        </w:rPr>
        <w:t>Demonstration of Sufficient Capacity</w:t>
      </w:r>
      <w:r w:rsidRPr="0040693E">
        <w:rPr>
          <w:rFonts w:asciiTheme="minorHAnsi" w:hAnsiTheme="minorHAnsi" w:cstheme="minorHAnsi"/>
        </w:rPr>
        <w:t xml:space="preserve"> to undertake proposal </w:t>
      </w:r>
      <w:r w:rsidRPr="0040693E">
        <w:rPr>
          <w:rFonts w:asciiTheme="minorHAnsi" w:hAnsiTheme="minorHAnsi" w:cstheme="minorHAnsi"/>
          <w:b/>
          <w:bCs/>
        </w:rPr>
        <w:t>– 50 points</w:t>
      </w:r>
    </w:p>
    <w:p w14:paraId="1FFE9A2D" w14:textId="7D4A2BCA" w:rsidR="006F5BC3" w:rsidRPr="0040693E" w:rsidRDefault="006F5BC3" w:rsidP="006F5BC3">
      <w:pPr>
        <w:pStyle w:val="Default"/>
        <w:numPr>
          <w:ilvl w:val="1"/>
          <w:numId w:val="14"/>
        </w:numPr>
        <w:rPr>
          <w:rFonts w:asciiTheme="minorHAnsi" w:hAnsiTheme="minorHAnsi" w:cstheme="minorHAnsi"/>
        </w:rPr>
      </w:pPr>
      <w:r w:rsidRPr="0040693E">
        <w:rPr>
          <w:rFonts w:asciiTheme="minorHAnsi" w:hAnsiTheme="minorHAnsi" w:cstheme="minorHAnsi"/>
        </w:rPr>
        <w:t xml:space="preserve">Demonstration of length of experience in </w:t>
      </w:r>
      <w:r w:rsidR="0040693E" w:rsidRPr="0040693E">
        <w:rPr>
          <w:rFonts w:asciiTheme="minorHAnsi" w:hAnsiTheme="minorHAnsi" w:cstheme="minorHAnsi"/>
        </w:rPr>
        <w:t>case management</w:t>
      </w:r>
      <w:r w:rsidRPr="0040693E">
        <w:rPr>
          <w:rFonts w:asciiTheme="minorHAnsi" w:hAnsiTheme="minorHAnsi" w:cstheme="minorHAnsi"/>
        </w:rPr>
        <w:t xml:space="preserve"> </w:t>
      </w:r>
      <w:r w:rsidR="0040693E" w:rsidRPr="0040693E">
        <w:rPr>
          <w:rFonts w:asciiTheme="minorHAnsi" w:hAnsiTheme="minorHAnsi" w:cstheme="minorHAnsi"/>
        </w:rPr>
        <w:t>and knowledge of eviction</w:t>
      </w:r>
      <w:r w:rsidR="002B2D1F">
        <w:rPr>
          <w:rFonts w:asciiTheme="minorHAnsi" w:hAnsiTheme="minorHAnsi" w:cstheme="minorHAnsi"/>
        </w:rPr>
        <w:t xml:space="preserve">, landlord-tenant law, and </w:t>
      </w:r>
      <w:r w:rsidR="0040693E" w:rsidRPr="0040693E">
        <w:rPr>
          <w:rFonts w:asciiTheme="minorHAnsi" w:hAnsiTheme="minorHAnsi" w:cstheme="minorHAnsi"/>
        </w:rPr>
        <w:t xml:space="preserve">homelessness prevention and family assistance programs across </w:t>
      </w:r>
      <w:r w:rsidR="002B2D1F">
        <w:rPr>
          <w:rFonts w:asciiTheme="minorHAnsi" w:hAnsiTheme="minorHAnsi" w:cstheme="minorHAnsi"/>
        </w:rPr>
        <w:t xml:space="preserve">local, </w:t>
      </w:r>
      <w:proofErr w:type="gramStart"/>
      <w:r w:rsidR="0040693E" w:rsidRPr="0040693E">
        <w:rPr>
          <w:rFonts w:asciiTheme="minorHAnsi" w:hAnsiTheme="minorHAnsi" w:cstheme="minorHAnsi"/>
        </w:rPr>
        <w:t>state</w:t>
      </w:r>
      <w:proofErr w:type="gramEnd"/>
      <w:r w:rsidR="0040693E" w:rsidRPr="0040693E">
        <w:rPr>
          <w:rFonts w:asciiTheme="minorHAnsi" w:hAnsiTheme="minorHAnsi" w:cstheme="minorHAnsi"/>
        </w:rPr>
        <w:t xml:space="preserve"> and federal </w:t>
      </w:r>
      <w:r w:rsidR="0040693E">
        <w:rPr>
          <w:rFonts w:asciiTheme="minorHAnsi" w:hAnsiTheme="minorHAnsi" w:cstheme="minorHAnsi"/>
        </w:rPr>
        <w:t>agencies</w:t>
      </w:r>
    </w:p>
    <w:p w14:paraId="056D73C9" w14:textId="77777777" w:rsidR="006F5BC3" w:rsidRPr="0040693E" w:rsidRDefault="006F5BC3" w:rsidP="006F5BC3">
      <w:pPr>
        <w:pStyle w:val="Default"/>
        <w:numPr>
          <w:ilvl w:val="1"/>
          <w:numId w:val="14"/>
        </w:numPr>
        <w:rPr>
          <w:rFonts w:asciiTheme="minorHAnsi" w:hAnsiTheme="minorHAnsi" w:cstheme="minorHAnsi"/>
        </w:rPr>
      </w:pPr>
      <w:r w:rsidRPr="0040693E">
        <w:rPr>
          <w:rFonts w:asciiTheme="minorHAnsi" w:hAnsiTheme="minorHAnsi" w:cstheme="minorHAnsi"/>
        </w:rPr>
        <w:t>Demonstration of regional or statewide level work in area of proposed activities</w:t>
      </w:r>
    </w:p>
    <w:p w14:paraId="41025BD6" w14:textId="2A4F025E" w:rsidR="006F5BC3" w:rsidRPr="0040693E" w:rsidRDefault="006F5BC3" w:rsidP="006F5BC3">
      <w:pPr>
        <w:pStyle w:val="Default"/>
        <w:numPr>
          <w:ilvl w:val="1"/>
          <w:numId w:val="14"/>
        </w:numPr>
        <w:rPr>
          <w:rFonts w:asciiTheme="minorHAnsi" w:hAnsiTheme="minorHAnsi" w:cstheme="minorHAnsi"/>
        </w:rPr>
      </w:pPr>
      <w:r w:rsidRPr="0040693E">
        <w:rPr>
          <w:rFonts w:asciiTheme="minorHAnsi" w:hAnsiTheme="minorHAnsi" w:cstheme="minorHAnsi"/>
        </w:rPr>
        <w:t xml:space="preserve">Detailed list of proposed </w:t>
      </w:r>
      <w:r w:rsidR="0040693E" w:rsidRPr="0040693E">
        <w:rPr>
          <w:rFonts w:asciiTheme="minorHAnsi" w:hAnsiTheme="minorHAnsi" w:cstheme="minorHAnsi"/>
        </w:rPr>
        <w:t>case management</w:t>
      </w:r>
      <w:r w:rsidRPr="0040693E">
        <w:rPr>
          <w:rFonts w:asciiTheme="minorHAnsi" w:hAnsiTheme="minorHAnsi" w:cstheme="minorHAnsi"/>
        </w:rPr>
        <w:t xml:space="preserve"> methods</w:t>
      </w:r>
    </w:p>
    <w:p w14:paraId="15B1C545" w14:textId="27EC6332" w:rsidR="0040693E" w:rsidRPr="0040693E" w:rsidRDefault="0040693E" w:rsidP="0040693E">
      <w:pPr>
        <w:pStyle w:val="ListParagraph"/>
        <w:widowControl w:val="0"/>
        <w:numPr>
          <w:ilvl w:val="1"/>
          <w:numId w:val="14"/>
        </w:numPr>
        <w:autoSpaceDE w:val="0"/>
        <w:autoSpaceDN w:val="0"/>
        <w:spacing w:after="0" w:line="240" w:lineRule="auto"/>
        <w:contextualSpacing w:val="0"/>
        <w:jc w:val="both"/>
        <w:rPr>
          <w:sz w:val="24"/>
          <w:szCs w:val="24"/>
        </w:rPr>
      </w:pPr>
      <w:r w:rsidRPr="0040693E">
        <w:rPr>
          <w:rFonts w:asciiTheme="minorHAnsi" w:hAnsiTheme="minorHAnsi" w:cstheme="minorHAnsi"/>
          <w:sz w:val="24"/>
          <w:szCs w:val="24"/>
        </w:rPr>
        <w:t>Demonstration of hiring and staffing readiness and case management capacity</w:t>
      </w:r>
      <w:r w:rsidRPr="0040693E">
        <w:rPr>
          <w:sz w:val="24"/>
          <w:szCs w:val="24"/>
        </w:rPr>
        <w:t xml:space="preserve"> </w:t>
      </w:r>
    </w:p>
    <w:p w14:paraId="5B55D87D" w14:textId="14D19660" w:rsidR="006F5BC3" w:rsidRPr="0040693E" w:rsidRDefault="0040693E" w:rsidP="006F5BC3">
      <w:pPr>
        <w:pStyle w:val="ListParagraph"/>
        <w:widowControl w:val="0"/>
        <w:numPr>
          <w:ilvl w:val="1"/>
          <w:numId w:val="14"/>
        </w:numPr>
        <w:autoSpaceDE w:val="0"/>
        <w:autoSpaceDN w:val="0"/>
        <w:jc w:val="both"/>
        <w:rPr>
          <w:rFonts w:asciiTheme="minorHAnsi" w:hAnsiTheme="minorHAnsi" w:cstheme="minorHAnsi"/>
          <w:sz w:val="24"/>
          <w:szCs w:val="24"/>
        </w:rPr>
      </w:pPr>
      <w:r w:rsidRPr="0040693E">
        <w:rPr>
          <w:sz w:val="24"/>
          <w:szCs w:val="24"/>
        </w:rPr>
        <w:t>Demonstration of data tracking and reporting ability or experience</w:t>
      </w:r>
    </w:p>
    <w:p w14:paraId="075F10A0" w14:textId="77777777" w:rsidR="006F5BC3" w:rsidRPr="006F5BC3" w:rsidRDefault="006F5BC3" w:rsidP="006F5BC3">
      <w:pPr>
        <w:pStyle w:val="Default"/>
        <w:ind w:left="1800"/>
        <w:rPr>
          <w:rFonts w:asciiTheme="minorHAnsi" w:hAnsiTheme="minorHAnsi" w:cstheme="minorHAnsi"/>
        </w:rPr>
      </w:pPr>
      <w:r w:rsidRPr="006F5BC3">
        <w:rPr>
          <w:rFonts w:asciiTheme="minorHAnsi" w:hAnsiTheme="minorHAnsi" w:cstheme="minorHAnsi"/>
        </w:rPr>
        <w:tab/>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6F5BC3" w:rsidRPr="006F5BC3" w14:paraId="5588BB8D" w14:textId="77777777" w:rsidTr="00512EAF">
        <w:trPr>
          <w:trHeight w:val="506"/>
        </w:trPr>
        <w:tc>
          <w:tcPr>
            <w:tcW w:w="3193" w:type="dxa"/>
            <w:tcBorders>
              <w:top w:val="single" w:sz="4" w:space="0" w:color="000000"/>
              <w:left w:val="single" w:sz="4" w:space="0" w:color="000000"/>
              <w:bottom w:val="single" w:sz="4" w:space="0" w:color="000000"/>
              <w:right w:val="single" w:sz="4" w:space="0" w:color="000000"/>
            </w:tcBorders>
            <w:hideMark/>
          </w:tcPr>
          <w:p w14:paraId="650D7C1A" w14:textId="77777777" w:rsidR="006F5BC3" w:rsidRPr="006F5BC3" w:rsidRDefault="006F5BC3" w:rsidP="00512EAF">
            <w:pPr>
              <w:widowControl w:val="0"/>
              <w:autoSpaceDE w:val="0"/>
              <w:autoSpaceDN w:val="0"/>
              <w:ind w:left="1070" w:right="577" w:hanging="485"/>
              <w:rPr>
                <w:rFonts w:eastAsia="Arial" w:cstheme="minorHAnsi"/>
                <w:b/>
              </w:rPr>
            </w:pPr>
            <w:r w:rsidRPr="006F5BC3">
              <w:rPr>
                <w:rFonts w:eastAsia="Arial" w:cstheme="minorHAnsi"/>
                <w:b/>
              </w:rPr>
              <w:t>Marginal Response 1-5 Points</w:t>
            </w:r>
          </w:p>
        </w:tc>
        <w:tc>
          <w:tcPr>
            <w:tcW w:w="3192" w:type="dxa"/>
            <w:tcBorders>
              <w:top w:val="single" w:sz="4" w:space="0" w:color="000000"/>
              <w:left w:val="single" w:sz="4" w:space="0" w:color="000000"/>
              <w:bottom w:val="single" w:sz="4" w:space="0" w:color="000000"/>
              <w:right w:val="single" w:sz="4" w:space="0" w:color="000000"/>
            </w:tcBorders>
            <w:hideMark/>
          </w:tcPr>
          <w:p w14:paraId="515ED134" w14:textId="77777777" w:rsidR="006F5BC3" w:rsidRPr="006F5BC3" w:rsidRDefault="006F5BC3" w:rsidP="00512EAF">
            <w:pPr>
              <w:widowControl w:val="0"/>
              <w:autoSpaceDE w:val="0"/>
              <w:autoSpaceDN w:val="0"/>
              <w:ind w:left="568" w:right="425" w:hanging="118"/>
              <w:rPr>
                <w:rFonts w:eastAsia="Arial" w:cstheme="minorHAnsi"/>
                <w:b/>
              </w:rPr>
            </w:pPr>
            <w:r w:rsidRPr="006F5BC3">
              <w:rPr>
                <w:rFonts w:eastAsia="Arial" w:cstheme="minorHAnsi"/>
                <w:b/>
              </w:rPr>
              <w:t>Acceptable Response Maximum 35 Points</w:t>
            </w:r>
          </w:p>
        </w:tc>
        <w:tc>
          <w:tcPr>
            <w:tcW w:w="3192" w:type="dxa"/>
            <w:tcBorders>
              <w:top w:val="single" w:sz="4" w:space="0" w:color="000000"/>
              <w:left w:val="single" w:sz="4" w:space="0" w:color="000000"/>
              <w:bottom w:val="single" w:sz="4" w:space="0" w:color="000000"/>
              <w:right w:val="single" w:sz="4" w:space="0" w:color="000000"/>
            </w:tcBorders>
            <w:hideMark/>
          </w:tcPr>
          <w:p w14:paraId="3D8C96FA" w14:textId="77777777" w:rsidR="006F5BC3" w:rsidRPr="006F5BC3" w:rsidRDefault="006F5BC3" w:rsidP="00512EAF">
            <w:pPr>
              <w:widowControl w:val="0"/>
              <w:autoSpaceDE w:val="0"/>
              <w:autoSpaceDN w:val="0"/>
              <w:ind w:left="568" w:right="527" w:hanging="12"/>
              <w:rPr>
                <w:rFonts w:eastAsia="Arial" w:cstheme="minorHAnsi"/>
                <w:b/>
              </w:rPr>
            </w:pPr>
            <w:r w:rsidRPr="006F5BC3">
              <w:rPr>
                <w:rFonts w:eastAsia="Arial" w:cstheme="minorHAnsi"/>
                <w:b/>
              </w:rPr>
              <w:t>Excellent Response Maximum 50 Points</w:t>
            </w:r>
          </w:p>
        </w:tc>
      </w:tr>
      <w:tr w:rsidR="006F5BC3" w:rsidRPr="006F5BC3" w14:paraId="679A3E51" w14:textId="77777777" w:rsidTr="00512EAF">
        <w:trPr>
          <w:trHeight w:val="1907"/>
        </w:trPr>
        <w:tc>
          <w:tcPr>
            <w:tcW w:w="3193" w:type="dxa"/>
            <w:tcBorders>
              <w:top w:val="single" w:sz="4" w:space="0" w:color="000000"/>
              <w:left w:val="single" w:sz="4" w:space="0" w:color="000000"/>
              <w:bottom w:val="single" w:sz="4" w:space="0" w:color="000000"/>
              <w:right w:val="single" w:sz="4" w:space="0" w:color="000000"/>
            </w:tcBorders>
            <w:hideMark/>
          </w:tcPr>
          <w:p w14:paraId="798FFC0B" w14:textId="77777777" w:rsidR="006F5BC3" w:rsidRPr="006F5BC3" w:rsidRDefault="006F5BC3" w:rsidP="00512EAF">
            <w:pPr>
              <w:widowControl w:val="0"/>
              <w:autoSpaceDE w:val="0"/>
              <w:autoSpaceDN w:val="0"/>
              <w:ind w:left="107" w:right="157"/>
              <w:rPr>
                <w:rFonts w:eastAsia="Arial" w:cstheme="minorHAnsi"/>
              </w:rPr>
            </w:pPr>
            <w:r w:rsidRPr="006F5BC3">
              <w:rPr>
                <w:rFonts w:eastAsia="Arial" w:cstheme="minorHAnsi"/>
              </w:rPr>
              <w:t>The applicant’s response was incomplete, lacks clarity and does not provide assurance as to their ability to perform the work proposed.</w:t>
            </w:r>
          </w:p>
        </w:tc>
        <w:tc>
          <w:tcPr>
            <w:tcW w:w="3192" w:type="dxa"/>
            <w:tcBorders>
              <w:top w:val="single" w:sz="4" w:space="0" w:color="000000"/>
              <w:left w:val="single" w:sz="4" w:space="0" w:color="000000"/>
              <w:bottom w:val="single" w:sz="4" w:space="0" w:color="000000"/>
              <w:right w:val="single" w:sz="4" w:space="0" w:color="000000"/>
            </w:tcBorders>
            <w:hideMark/>
          </w:tcPr>
          <w:p w14:paraId="23C51A73" w14:textId="77777777" w:rsidR="006F5BC3" w:rsidRPr="006F5BC3" w:rsidRDefault="006F5BC3" w:rsidP="00512EAF">
            <w:pPr>
              <w:widowControl w:val="0"/>
              <w:autoSpaceDE w:val="0"/>
              <w:autoSpaceDN w:val="0"/>
              <w:ind w:left="107" w:right="156"/>
              <w:rPr>
                <w:rFonts w:eastAsia="Arial" w:cstheme="minorHAnsi"/>
              </w:rPr>
            </w:pPr>
            <w:r w:rsidRPr="006F5BC3">
              <w:rPr>
                <w:rFonts w:eastAsia="Arial" w:cstheme="minorHAnsi"/>
              </w:rPr>
              <w:t>The applicant’s response was clear, thorough and provides reasonable assurance as to their capacity to perform the work proposed.</w:t>
            </w:r>
          </w:p>
        </w:tc>
        <w:tc>
          <w:tcPr>
            <w:tcW w:w="3192" w:type="dxa"/>
            <w:tcBorders>
              <w:top w:val="single" w:sz="4" w:space="0" w:color="000000"/>
              <w:left w:val="single" w:sz="4" w:space="0" w:color="000000"/>
              <w:bottom w:val="single" w:sz="4" w:space="0" w:color="000000"/>
              <w:right w:val="single" w:sz="4" w:space="0" w:color="000000"/>
            </w:tcBorders>
            <w:hideMark/>
          </w:tcPr>
          <w:p w14:paraId="5B946958" w14:textId="77777777" w:rsidR="006F5BC3" w:rsidRPr="006F5BC3" w:rsidRDefault="006F5BC3" w:rsidP="00512EAF">
            <w:pPr>
              <w:widowControl w:val="0"/>
              <w:autoSpaceDE w:val="0"/>
              <w:autoSpaceDN w:val="0"/>
              <w:ind w:left="108" w:right="122"/>
              <w:rPr>
                <w:rFonts w:eastAsia="Arial" w:cstheme="minorHAnsi"/>
              </w:rPr>
            </w:pPr>
            <w:r w:rsidRPr="006F5BC3">
              <w:rPr>
                <w:rFonts w:eastAsia="Arial" w:cstheme="minorHAnsi"/>
              </w:rPr>
              <w:t xml:space="preserve">The applicant’s response provides significant assurance as to their capacity to perform the work proposed – the answers provided demonstrate a high level of expertise and capability. </w:t>
            </w:r>
          </w:p>
        </w:tc>
      </w:tr>
    </w:tbl>
    <w:p w14:paraId="2355921A" w14:textId="77777777" w:rsidR="006F5BC3" w:rsidRPr="006F5BC3" w:rsidRDefault="006F5BC3" w:rsidP="006F5BC3">
      <w:pPr>
        <w:pStyle w:val="Default"/>
        <w:ind w:left="1800"/>
        <w:rPr>
          <w:rFonts w:asciiTheme="minorHAnsi" w:hAnsiTheme="minorHAnsi" w:cstheme="minorHAnsi"/>
        </w:rPr>
      </w:pPr>
    </w:p>
    <w:p w14:paraId="24D2BFC5" w14:textId="77777777" w:rsidR="006F5BC3" w:rsidRPr="006F5BC3" w:rsidRDefault="006F5BC3" w:rsidP="006F5BC3">
      <w:pPr>
        <w:pStyle w:val="Default"/>
        <w:numPr>
          <w:ilvl w:val="0"/>
          <w:numId w:val="14"/>
        </w:numPr>
        <w:rPr>
          <w:rFonts w:asciiTheme="minorHAnsi" w:hAnsiTheme="minorHAnsi" w:cstheme="minorHAnsi"/>
        </w:rPr>
      </w:pPr>
      <w:r w:rsidRPr="00DC0C68">
        <w:rPr>
          <w:rFonts w:asciiTheme="minorHAnsi" w:hAnsiTheme="minorHAnsi" w:cstheme="minorHAnsi"/>
          <w:highlight w:val="yellow"/>
        </w:rPr>
        <w:t>Ability to implement</w:t>
      </w:r>
      <w:r w:rsidRPr="006F5BC3">
        <w:rPr>
          <w:rFonts w:asciiTheme="minorHAnsi" w:hAnsiTheme="minorHAnsi" w:cstheme="minorHAnsi"/>
        </w:rPr>
        <w:t xml:space="preserve"> the proposal in an effective and timely manner – </w:t>
      </w:r>
      <w:r w:rsidRPr="006F5BC3">
        <w:rPr>
          <w:rFonts w:asciiTheme="minorHAnsi" w:hAnsiTheme="minorHAnsi" w:cstheme="minorHAnsi"/>
          <w:b/>
          <w:bCs/>
        </w:rPr>
        <w:t>35 points</w:t>
      </w:r>
      <w:r w:rsidRPr="006F5BC3">
        <w:rPr>
          <w:rFonts w:asciiTheme="minorHAnsi" w:hAnsiTheme="minorHAnsi" w:cstheme="minorHAnsi"/>
          <w:b/>
          <w:bCs/>
        </w:rPr>
        <w:tab/>
      </w:r>
    </w:p>
    <w:p w14:paraId="4413B79E" w14:textId="5407A872" w:rsidR="006F5BC3" w:rsidRPr="006F5BC3" w:rsidRDefault="006F5BC3" w:rsidP="006F5BC3">
      <w:pPr>
        <w:pStyle w:val="Default"/>
        <w:numPr>
          <w:ilvl w:val="1"/>
          <w:numId w:val="14"/>
        </w:numPr>
        <w:rPr>
          <w:rFonts w:asciiTheme="minorHAnsi" w:hAnsiTheme="minorHAnsi" w:cstheme="minorHAnsi"/>
        </w:rPr>
      </w:pPr>
      <w:r w:rsidRPr="006F5BC3">
        <w:rPr>
          <w:rFonts w:asciiTheme="minorHAnsi" w:hAnsiTheme="minorHAnsi" w:cstheme="minorHAnsi"/>
        </w:rPr>
        <w:t xml:space="preserve">Clear description of </w:t>
      </w:r>
      <w:r w:rsidR="002B2D1F">
        <w:rPr>
          <w:rFonts w:asciiTheme="minorHAnsi" w:hAnsiTheme="minorHAnsi" w:cstheme="minorHAnsi"/>
        </w:rPr>
        <w:t xml:space="preserve">the activities proposed and </w:t>
      </w:r>
      <w:r w:rsidRPr="006F5BC3">
        <w:rPr>
          <w:rFonts w:asciiTheme="minorHAnsi" w:hAnsiTheme="minorHAnsi" w:cstheme="minorHAnsi"/>
        </w:rPr>
        <w:t>how the</w:t>
      </w:r>
      <w:r w:rsidR="002B2D1F">
        <w:rPr>
          <w:rFonts w:asciiTheme="minorHAnsi" w:hAnsiTheme="minorHAnsi" w:cstheme="minorHAnsi"/>
        </w:rPr>
        <w:t>y will be implemented</w:t>
      </w:r>
      <w:r w:rsidRPr="006F5BC3">
        <w:rPr>
          <w:rFonts w:asciiTheme="minorHAnsi" w:hAnsiTheme="minorHAnsi" w:cstheme="minorHAnsi"/>
        </w:rPr>
        <w:t xml:space="preserve"> </w:t>
      </w:r>
    </w:p>
    <w:p w14:paraId="4377F413" w14:textId="7BA102E7" w:rsidR="006F5BC3" w:rsidRPr="006F5BC3" w:rsidRDefault="006F5BC3" w:rsidP="006F5BC3">
      <w:pPr>
        <w:pStyle w:val="Default"/>
        <w:numPr>
          <w:ilvl w:val="1"/>
          <w:numId w:val="14"/>
        </w:numPr>
        <w:rPr>
          <w:rFonts w:asciiTheme="minorHAnsi" w:hAnsiTheme="minorHAnsi" w:cstheme="minorHAnsi"/>
        </w:rPr>
      </w:pPr>
      <w:r w:rsidRPr="006F5BC3">
        <w:rPr>
          <w:rFonts w:asciiTheme="minorHAnsi" w:hAnsiTheme="minorHAnsi" w:cstheme="minorHAnsi"/>
        </w:rPr>
        <w:t>Description of similar programs delivered in the recent past</w:t>
      </w:r>
    </w:p>
    <w:p w14:paraId="6BDB6846" w14:textId="6AF94769" w:rsidR="006F5BC3" w:rsidRPr="006F5BC3" w:rsidRDefault="006F5BC3" w:rsidP="006F5BC3">
      <w:pPr>
        <w:pStyle w:val="Default"/>
        <w:numPr>
          <w:ilvl w:val="1"/>
          <w:numId w:val="14"/>
        </w:numPr>
        <w:rPr>
          <w:rFonts w:asciiTheme="minorHAnsi" w:hAnsiTheme="minorHAnsi" w:cstheme="minorHAnsi"/>
        </w:rPr>
      </w:pPr>
      <w:r w:rsidRPr="006F5BC3">
        <w:rPr>
          <w:rFonts w:asciiTheme="minorHAnsi" w:hAnsiTheme="minorHAnsi" w:cstheme="minorHAnsi"/>
        </w:rPr>
        <w:t>Examples of agency capacity that will permit such implementation</w:t>
      </w:r>
    </w:p>
    <w:p w14:paraId="5B3C2A6F" w14:textId="77777777" w:rsidR="006F5BC3" w:rsidRPr="006F5BC3" w:rsidRDefault="006F5BC3" w:rsidP="006F5BC3">
      <w:pPr>
        <w:pStyle w:val="Default"/>
        <w:rPr>
          <w:rFonts w:asciiTheme="minorHAnsi" w:hAnsiTheme="minorHAnsi" w:cstheme="minorHAnsi"/>
        </w:rPr>
      </w:pPr>
    </w:p>
    <w:p w14:paraId="2E34B878" w14:textId="77777777" w:rsidR="006F5BC3" w:rsidRPr="006F5BC3" w:rsidRDefault="006F5BC3" w:rsidP="006F5BC3">
      <w:pPr>
        <w:pStyle w:val="Default"/>
        <w:ind w:left="720"/>
        <w:rPr>
          <w:rFonts w:asciiTheme="minorHAnsi" w:hAnsiTheme="minorHAnsi" w:cstheme="minorHAnsi"/>
        </w:rPr>
      </w:pPr>
      <w:r w:rsidRPr="006F5BC3">
        <w:rPr>
          <w:rFonts w:asciiTheme="minorHAnsi" w:hAnsiTheme="minorHAnsi" w:cstheme="minorHAnsi"/>
        </w:rPr>
        <w:tab/>
      </w:r>
      <w:r w:rsidRPr="006F5BC3">
        <w:rPr>
          <w:rFonts w:asciiTheme="minorHAnsi" w:hAnsiTheme="minorHAnsi" w:cstheme="minorHAnsi"/>
        </w:rPr>
        <w:tab/>
      </w:r>
      <w:r w:rsidRPr="006F5BC3">
        <w:rPr>
          <w:rFonts w:asciiTheme="minorHAnsi" w:hAnsiTheme="minorHAnsi" w:cstheme="minorHAnsi"/>
        </w:rPr>
        <w:tab/>
      </w:r>
      <w:r w:rsidRPr="006F5BC3">
        <w:rPr>
          <w:rFonts w:asciiTheme="minorHAnsi" w:hAnsiTheme="minorHAnsi" w:cstheme="minorHAnsi"/>
        </w:rPr>
        <w:tab/>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6F5BC3" w:rsidRPr="006F5BC3" w14:paraId="646684F1" w14:textId="77777777" w:rsidTr="00512EAF">
        <w:trPr>
          <w:trHeight w:val="506"/>
        </w:trPr>
        <w:tc>
          <w:tcPr>
            <w:tcW w:w="3193" w:type="dxa"/>
            <w:tcBorders>
              <w:top w:val="single" w:sz="4" w:space="0" w:color="000000"/>
              <w:left w:val="single" w:sz="4" w:space="0" w:color="000000"/>
              <w:bottom w:val="single" w:sz="4" w:space="0" w:color="000000"/>
              <w:right w:val="single" w:sz="4" w:space="0" w:color="000000"/>
            </w:tcBorders>
            <w:hideMark/>
          </w:tcPr>
          <w:p w14:paraId="3795ACC2" w14:textId="77777777" w:rsidR="006F5BC3" w:rsidRPr="006F5BC3" w:rsidRDefault="006F5BC3" w:rsidP="00512EAF">
            <w:pPr>
              <w:widowControl w:val="0"/>
              <w:autoSpaceDE w:val="0"/>
              <w:autoSpaceDN w:val="0"/>
              <w:spacing w:before="4" w:line="252" w:lineRule="exact"/>
              <w:ind w:left="1070" w:right="577" w:hanging="485"/>
              <w:rPr>
                <w:rFonts w:eastAsia="Arial" w:cstheme="minorHAnsi"/>
                <w:b/>
              </w:rPr>
            </w:pPr>
            <w:r w:rsidRPr="006F5BC3">
              <w:rPr>
                <w:rFonts w:eastAsia="Arial" w:cstheme="minorHAnsi"/>
                <w:b/>
              </w:rPr>
              <w:t>Marginal Response 1-5 Points</w:t>
            </w:r>
          </w:p>
        </w:tc>
        <w:tc>
          <w:tcPr>
            <w:tcW w:w="3192" w:type="dxa"/>
            <w:tcBorders>
              <w:top w:val="single" w:sz="4" w:space="0" w:color="000000"/>
              <w:left w:val="single" w:sz="4" w:space="0" w:color="000000"/>
              <w:bottom w:val="single" w:sz="4" w:space="0" w:color="000000"/>
              <w:right w:val="single" w:sz="4" w:space="0" w:color="000000"/>
            </w:tcBorders>
            <w:hideMark/>
          </w:tcPr>
          <w:p w14:paraId="04116E2A" w14:textId="77777777" w:rsidR="006F5BC3" w:rsidRPr="006F5BC3" w:rsidRDefault="006F5BC3" w:rsidP="00512EAF">
            <w:pPr>
              <w:widowControl w:val="0"/>
              <w:autoSpaceDE w:val="0"/>
              <w:autoSpaceDN w:val="0"/>
              <w:spacing w:before="4" w:line="252" w:lineRule="exact"/>
              <w:ind w:left="568" w:right="425" w:hanging="118"/>
              <w:rPr>
                <w:rFonts w:eastAsia="Arial" w:cstheme="minorHAnsi"/>
                <w:b/>
              </w:rPr>
            </w:pPr>
            <w:r w:rsidRPr="006F5BC3">
              <w:rPr>
                <w:rFonts w:eastAsia="Arial" w:cstheme="minorHAnsi"/>
                <w:b/>
              </w:rPr>
              <w:t>Acceptable Response Maximum 20 Points</w:t>
            </w:r>
          </w:p>
        </w:tc>
        <w:tc>
          <w:tcPr>
            <w:tcW w:w="3192" w:type="dxa"/>
            <w:tcBorders>
              <w:top w:val="single" w:sz="4" w:space="0" w:color="000000"/>
              <w:left w:val="single" w:sz="4" w:space="0" w:color="000000"/>
              <w:bottom w:val="single" w:sz="4" w:space="0" w:color="000000"/>
              <w:right w:val="single" w:sz="4" w:space="0" w:color="000000"/>
            </w:tcBorders>
            <w:hideMark/>
          </w:tcPr>
          <w:p w14:paraId="2BBBF303" w14:textId="77777777" w:rsidR="006F5BC3" w:rsidRPr="006F5BC3" w:rsidRDefault="006F5BC3" w:rsidP="00512EAF">
            <w:pPr>
              <w:widowControl w:val="0"/>
              <w:autoSpaceDE w:val="0"/>
              <w:autoSpaceDN w:val="0"/>
              <w:spacing w:before="4" w:line="252" w:lineRule="exact"/>
              <w:ind w:left="568" w:right="527" w:hanging="12"/>
              <w:rPr>
                <w:rFonts w:eastAsia="Arial" w:cstheme="minorHAnsi"/>
                <w:b/>
              </w:rPr>
            </w:pPr>
            <w:r w:rsidRPr="006F5BC3">
              <w:rPr>
                <w:rFonts w:eastAsia="Arial" w:cstheme="minorHAnsi"/>
                <w:b/>
              </w:rPr>
              <w:t>Excellent Response Maximum 35 Points</w:t>
            </w:r>
          </w:p>
        </w:tc>
      </w:tr>
      <w:tr w:rsidR="006F5BC3" w:rsidRPr="006F5BC3" w14:paraId="0ED56B21" w14:textId="77777777" w:rsidTr="00512EAF">
        <w:trPr>
          <w:trHeight w:val="2600"/>
        </w:trPr>
        <w:tc>
          <w:tcPr>
            <w:tcW w:w="3193" w:type="dxa"/>
            <w:tcBorders>
              <w:top w:val="single" w:sz="4" w:space="0" w:color="000000"/>
              <w:left w:val="single" w:sz="4" w:space="0" w:color="000000"/>
              <w:bottom w:val="single" w:sz="4" w:space="0" w:color="000000"/>
              <w:right w:val="single" w:sz="4" w:space="0" w:color="000000"/>
            </w:tcBorders>
          </w:tcPr>
          <w:p w14:paraId="4C06FCFF" w14:textId="77777777" w:rsidR="006F5BC3" w:rsidRPr="006F5BC3" w:rsidRDefault="006F5BC3" w:rsidP="00512EAF">
            <w:pPr>
              <w:widowControl w:val="0"/>
              <w:autoSpaceDE w:val="0"/>
              <w:autoSpaceDN w:val="0"/>
              <w:ind w:left="107" w:right="157"/>
              <w:rPr>
                <w:rFonts w:eastAsia="Arial" w:cstheme="minorHAnsi"/>
              </w:rPr>
            </w:pPr>
            <w:r w:rsidRPr="006F5BC3">
              <w:rPr>
                <w:rFonts w:eastAsia="Arial" w:cstheme="minorHAnsi"/>
              </w:rPr>
              <w:t xml:space="preserve">The applicant’s response was incomplete and did not provide a clear description of activities </w:t>
            </w:r>
          </w:p>
          <w:p w14:paraId="4324AE9C" w14:textId="77777777" w:rsidR="006F5BC3" w:rsidRPr="006F5BC3" w:rsidRDefault="006F5BC3" w:rsidP="00512EAF">
            <w:pPr>
              <w:widowControl w:val="0"/>
              <w:autoSpaceDE w:val="0"/>
              <w:autoSpaceDN w:val="0"/>
              <w:ind w:left="107" w:right="96"/>
              <w:rPr>
                <w:rFonts w:eastAsia="Arial" w:cstheme="minorHAnsi"/>
              </w:rPr>
            </w:pPr>
          </w:p>
        </w:tc>
        <w:tc>
          <w:tcPr>
            <w:tcW w:w="3192" w:type="dxa"/>
            <w:tcBorders>
              <w:top w:val="single" w:sz="4" w:space="0" w:color="000000"/>
              <w:left w:val="single" w:sz="4" w:space="0" w:color="000000"/>
              <w:bottom w:val="single" w:sz="4" w:space="0" w:color="000000"/>
              <w:right w:val="single" w:sz="4" w:space="0" w:color="000000"/>
            </w:tcBorders>
            <w:hideMark/>
          </w:tcPr>
          <w:p w14:paraId="714B66B1" w14:textId="77777777" w:rsidR="006F5BC3" w:rsidRPr="006F5BC3" w:rsidRDefault="006F5BC3" w:rsidP="00512EAF">
            <w:pPr>
              <w:widowControl w:val="0"/>
              <w:autoSpaceDE w:val="0"/>
              <w:autoSpaceDN w:val="0"/>
              <w:ind w:left="107" w:right="115"/>
              <w:rPr>
                <w:rFonts w:eastAsia="Arial" w:cstheme="minorHAnsi"/>
              </w:rPr>
            </w:pPr>
            <w:r w:rsidRPr="006F5BC3">
              <w:rPr>
                <w:rFonts w:eastAsia="Arial" w:cstheme="minorHAnsi"/>
              </w:rPr>
              <w:t>The applicant’s response provided a clear description of project activities and how the proposed activities will help improve leasing. Timeline seemed reasonable.</w:t>
            </w:r>
          </w:p>
        </w:tc>
        <w:tc>
          <w:tcPr>
            <w:tcW w:w="3192" w:type="dxa"/>
            <w:tcBorders>
              <w:top w:val="single" w:sz="4" w:space="0" w:color="000000"/>
              <w:left w:val="single" w:sz="4" w:space="0" w:color="000000"/>
              <w:bottom w:val="single" w:sz="4" w:space="0" w:color="000000"/>
              <w:right w:val="single" w:sz="4" w:space="0" w:color="000000"/>
            </w:tcBorders>
            <w:hideMark/>
          </w:tcPr>
          <w:p w14:paraId="74AF9433" w14:textId="77777777" w:rsidR="006F5BC3" w:rsidRPr="006F5BC3" w:rsidRDefault="006F5BC3" w:rsidP="00512EAF">
            <w:pPr>
              <w:widowControl w:val="0"/>
              <w:autoSpaceDE w:val="0"/>
              <w:autoSpaceDN w:val="0"/>
              <w:ind w:left="108" w:right="173"/>
              <w:rPr>
                <w:rFonts w:eastAsia="Arial" w:cstheme="minorHAnsi"/>
              </w:rPr>
            </w:pPr>
            <w:r w:rsidRPr="006F5BC3">
              <w:rPr>
                <w:rFonts w:eastAsia="Arial" w:cstheme="minorHAnsi"/>
              </w:rPr>
              <w:t>The applicant’s response provided a clear, detailed description of project activities and how the proposed activities will help improve leasing. Timeline seemed reasonable.</w:t>
            </w:r>
          </w:p>
        </w:tc>
      </w:tr>
    </w:tbl>
    <w:p w14:paraId="2C7B9B8B" w14:textId="77777777" w:rsidR="006F5BC3" w:rsidRPr="006F5BC3" w:rsidRDefault="006F5BC3" w:rsidP="006F5BC3">
      <w:pPr>
        <w:pStyle w:val="Default"/>
        <w:ind w:left="720"/>
        <w:rPr>
          <w:rFonts w:asciiTheme="minorHAnsi" w:hAnsiTheme="minorHAnsi" w:cstheme="minorHAnsi"/>
        </w:rPr>
      </w:pPr>
      <w:r w:rsidRPr="006F5BC3">
        <w:rPr>
          <w:rFonts w:asciiTheme="minorHAnsi" w:hAnsiTheme="minorHAnsi" w:cstheme="minorHAnsi"/>
        </w:rPr>
        <w:lastRenderedPageBreak/>
        <w:tab/>
      </w:r>
      <w:r w:rsidRPr="006F5BC3">
        <w:rPr>
          <w:rFonts w:asciiTheme="minorHAnsi" w:hAnsiTheme="minorHAnsi" w:cstheme="minorHAnsi"/>
        </w:rPr>
        <w:tab/>
      </w:r>
      <w:r w:rsidRPr="006F5BC3">
        <w:rPr>
          <w:rFonts w:asciiTheme="minorHAnsi" w:hAnsiTheme="minorHAnsi" w:cstheme="minorHAnsi"/>
        </w:rPr>
        <w:tab/>
      </w:r>
      <w:r w:rsidRPr="006F5BC3">
        <w:rPr>
          <w:rFonts w:asciiTheme="minorHAnsi" w:hAnsiTheme="minorHAnsi" w:cstheme="minorHAnsi"/>
        </w:rPr>
        <w:tab/>
      </w:r>
      <w:r w:rsidRPr="006F5BC3">
        <w:rPr>
          <w:rFonts w:asciiTheme="minorHAnsi" w:hAnsiTheme="minorHAnsi" w:cstheme="minorHAnsi"/>
        </w:rPr>
        <w:tab/>
      </w:r>
      <w:r w:rsidRPr="006F5BC3">
        <w:rPr>
          <w:rFonts w:asciiTheme="minorHAnsi" w:hAnsiTheme="minorHAnsi" w:cstheme="minorHAnsi"/>
        </w:rPr>
        <w:tab/>
      </w:r>
    </w:p>
    <w:p w14:paraId="1D0AF313" w14:textId="77777777" w:rsidR="006F5BC3" w:rsidRPr="00DC0C68" w:rsidRDefault="006F5BC3" w:rsidP="006F5BC3">
      <w:pPr>
        <w:pStyle w:val="Default"/>
        <w:numPr>
          <w:ilvl w:val="0"/>
          <w:numId w:val="14"/>
        </w:numPr>
        <w:rPr>
          <w:rFonts w:asciiTheme="minorHAnsi" w:hAnsiTheme="minorHAnsi" w:cstheme="minorHAnsi"/>
          <w:highlight w:val="yellow"/>
        </w:rPr>
      </w:pPr>
      <w:r w:rsidRPr="00DC0C68">
        <w:rPr>
          <w:rFonts w:asciiTheme="minorHAnsi" w:hAnsiTheme="minorHAnsi" w:cstheme="minorHAnsi"/>
          <w:highlight w:val="yellow"/>
        </w:rPr>
        <w:t>Budget</w:t>
      </w:r>
    </w:p>
    <w:p w14:paraId="481BCFA2" w14:textId="77777777" w:rsidR="006F5BC3" w:rsidRPr="006F5BC3" w:rsidRDefault="006F5BC3" w:rsidP="006F5BC3">
      <w:pPr>
        <w:pStyle w:val="Default"/>
        <w:numPr>
          <w:ilvl w:val="1"/>
          <w:numId w:val="14"/>
        </w:numPr>
        <w:rPr>
          <w:rFonts w:asciiTheme="minorHAnsi" w:hAnsiTheme="minorHAnsi" w:cstheme="minorHAnsi"/>
        </w:rPr>
      </w:pPr>
      <w:r w:rsidRPr="006F5BC3">
        <w:rPr>
          <w:rFonts w:asciiTheme="minorHAnsi" w:hAnsiTheme="minorHAnsi" w:cstheme="minorHAnsi"/>
        </w:rPr>
        <w:t xml:space="preserve">Proposed costs are eligible, </w:t>
      </w:r>
      <w:proofErr w:type="gramStart"/>
      <w:r w:rsidRPr="006F5BC3">
        <w:rPr>
          <w:rFonts w:asciiTheme="minorHAnsi" w:hAnsiTheme="minorHAnsi" w:cstheme="minorHAnsi"/>
        </w:rPr>
        <w:t>reasonable</w:t>
      </w:r>
      <w:proofErr w:type="gramEnd"/>
      <w:r w:rsidRPr="006F5BC3">
        <w:rPr>
          <w:rFonts w:asciiTheme="minorHAnsi" w:hAnsiTheme="minorHAnsi" w:cstheme="minorHAnsi"/>
        </w:rPr>
        <w:t xml:space="preserve"> and clearly defined – </w:t>
      </w:r>
      <w:r w:rsidRPr="006F5BC3">
        <w:rPr>
          <w:rFonts w:asciiTheme="minorHAnsi" w:hAnsiTheme="minorHAnsi" w:cstheme="minorHAnsi"/>
          <w:b/>
          <w:bCs/>
        </w:rPr>
        <w:t>15 points</w:t>
      </w:r>
    </w:p>
    <w:p w14:paraId="6DF94860" w14:textId="77777777" w:rsidR="006F5BC3" w:rsidRPr="006F5BC3" w:rsidRDefault="006F5BC3" w:rsidP="006F5BC3">
      <w:pPr>
        <w:pStyle w:val="Default"/>
        <w:rPr>
          <w:rFonts w:asciiTheme="minorHAnsi" w:hAnsiTheme="minorHAnsi" w:cstheme="minorHAnsi"/>
          <w:b/>
          <w:bCs/>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2"/>
        <w:gridCol w:w="3192"/>
      </w:tblGrid>
      <w:tr w:rsidR="006F5BC3" w:rsidRPr="006F5BC3" w14:paraId="25953A60" w14:textId="77777777" w:rsidTr="00512EAF">
        <w:trPr>
          <w:trHeight w:val="506"/>
        </w:trPr>
        <w:tc>
          <w:tcPr>
            <w:tcW w:w="3193" w:type="dxa"/>
            <w:tcBorders>
              <w:top w:val="single" w:sz="4" w:space="0" w:color="000000"/>
              <w:left w:val="single" w:sz="4" w:space="0" w:color="000000"/>
              <w:bottom w:val="single" w:sz="4" w:space="0" w:color="000000"/>
              <w:right w:val="single" w:sz="4" w:space="0" w:color="000000"/>
            </w:tcBorders>
            <w:hideMark/>
          </w:tcPr>
          <w:p w14:paraId="0F5A7281" w14:textId="77777777" w:rsidR="006F5BC3" w:rsidRPr="006F5BC3" w:rsidRDefault="006F5BC3" w:rsidP="00512EAF">
            <w:pPr>
              <w:widowControl w:val="0"/>
              <w:autoSpaceDE w:val="0"/>
              <w:autoSpaceDN w:val="0"/>
              <w:spacing w:before="4" w:line="252" w:lineRule="exact"/>
              <w:ind w:left="1070" w:right="577" w:hanging="485"/>
              <w:rPr>
                <w:rFonts w:eastAsia="Arial" w:cstheme="minorHAnsi"/>
                <w:b/>
              </w:rPr>
            </w:pPr>
            <w:r w:rsidRPr="006F5BC3">
              <w:rPr>
                <w:rFonts w:eastAsia="Arial" w:cstheme="minorHAnsi"/>
                <w:b/>
              </w:rPr>
              <w:t>Marginal Response 1-5 Points</w:t>
            </w:r>
          </w:p>
        </w:tc>
        <w:tc>
          <w:tcPr>
            <w:tcW w:w="3192" w:type="dxa"/>
            <w:tcBorders>
              <w:top w:val="single" w:sz="4" w:space="0" w:color="000000"/>
              <w:left w:val="single" w:sz="4" w:space="0" w:color="000000"/>
              <w:bottom w:val="single" w:sz="4" w:space="0" w:color="000000"/>
              <w:right w:val="single" w:sz="4" w:space="0" w:color="000000"/>
            </w:tcBorders>
            <w:hideMark/>
          </w:tcPr>
          <w:p w14:paraId="1BE77A6F" w14:textId="77777777" w:rsidR="006F5BC3" w:rsidRPr="006F5BC3" w:rsidRDefault="006F5BC3" w:rsidP="00512EAF">
            <w:pPr>
              <w:widowControl w:val="0"/>
              <w:autoSpaceDE w:val="0"/>
              <w:autoSpaceDN w:val="0"/>
              <w:spacing w:before="4" w:line="252" w:lineRule="exact"/>
              <w:ind w:left="568" w:right="425" w:hanging="118"/>
              <w:rPr>
                <w:rFonts w:eastAsia="Arial" w:cstheme="minorHAnsi"/>
                <w:b/>
              </w:rPr>
            </w:pPr>
            <w:r w:rsidRPr="006F5BC3">
              <w:rPr>
                <w:rFonts w:eastAsia="Arial" w:cstheme="minorHAnsi"/>
                <w:b/>
              </w:rPr>
              <w:t>Acceptable Response Maximum 10 Points</w:t>
            </w:r>
          </w:p>
        </w:tc>
        <w:tc>
          <w:tcPr>
            <w:tcW w:w="3192" w:type="dxa"/>
            <w:tcBorders>
              <w:top w:val="single" w:sz="4" w:space="0" w:color="000000"/>
              <w:left w:val="single" w:sz="4" w:space="0" w:color="000000"/>
              <w:bottom w:val="single" w:sz="4" w:space="0" w:color="000000"/>
              <w:right w:val="single" w:sz="4" w:space="0" w:color="000000"/>
            </w:tcBorders>
            <w:hideMark/>
          </w:tcPr>
          <w:p w14:paraId="1A50B750" w14:textId="77777777" w:rsidR="006F5BC3" w:rsidRPr="006F5BC3" w:rsidRDefault="006F5BC3" w:rsidP="00512EAF">
            <w:pPr>
              <w:widowControl w:val="0"/>
              <w:autoSpaceDE w:val="0"/>
              <w:autoSpaceDN w:val="0"/>
              <w:spacing w:before="4" w:line="252" w:lineRule="exact"/>
              <w:ind w:left="568" w:right="527" w:hanging="12"/>
              <w:rPr>
                <w:rFonts w:eastAsia="Arial" w:cstheme="minorHAnsi"/>
                <w:b/>
              </w:rPr>
            </w:pPr>
            <w:r w:rsidRPr="006F5BC3">
              <w:rPr>
                <w:rFonts w:eastAsia="Arial" w:cstheme="minorHAnsi"/>
                <w:b/>
              </w:rPr>
              <w:t>Excellent Response Maximum 15 Points</w:t>
            </w:r>
          </w:p>
        </w:tc>
      </w:tr>
      <w:tr w:rsidR="006F5BC3" w:rsidRPr="006F5BC3" w14:paraId="55581AFA" w14:textId="77777777" w:rsidTr="00512EAF">
        <w:trPr>
          <w:trHeight w:val="1547"/>
        </w:trPr>
        <w:tc>
          <w:tcPr>
            <w:tcW w:w="3193" w:type="dxa"/>
            <w:tcBorders>
              <w:top w:val="single" w:sz="4" w:space="0" w:color="000000"/>
              <w:left w:val="single" w:sz="4" w:space="0" w:color="000000"/>
              <w:bottom w:val="single" w:sz="4" w:space="0" w:color="000000"/>
              <w:right w:val="single" w:sz="4" w:space="0" w:color="000000"/>
            </w:tcBorders>
          </w:tcPr>
          <w:p w14:paraId="68ED4532" w14:textId="77777777" w:rsidR="006F5BC3" w:rsidRPr="006F5BC3" w:rsidRDefault="006F5BC3" w:rsidP="00512EAF">
            <w:pPr>
              <w:widowControl w:val="0"/>
              <w:autoSpaceDE w:val="0"/>
              <w:autoSpaceDN w:val="0"/>
              <w:ind w:left="107" w:right="157"/>
              <w:rPr>
                <w:rFonts w:eastAsia="Arial" w:cstheme="minorHAnsi"/>
              </w:rPr>
            </w:pPr>
            <w:r w:rsidRPr="006F5BC3">
              <w:rPr>
                <w:rFonts w:eastAsia="Arial" w:cstheme="minorHAnsi"/>
              </w:rPr>
              <w:t>The applicant’s response was incomplete and did not provide a clear description of the budget.</w:t>
            </w:r>
          </w:p>
          <w:p w14:paraId="71848493" w14:textId="77777777" w:rsidR="006F5BC3" w:rsidRPr="006F5BC3" w:rsidRDefault="006F5BC3" w:rsidP="00512EAF">
            <w:pPr>
              <w:widowControl w:val="0"/>
              <w:autoSpaceDE w:val="0"/>
              <w:autoSpaceDN w:val="0"/>
              <w:ind w:left="107" w:right="96"/>
              <w:rPr>
                <w:rFonts w:eastAsia="Arial" w:cstheme="minorHAnsi"/>
              </w:rPr>
            </w:pPr>
          </w:p>
        </w:tc>
        <w:tc>
          <w:tcPr>
            <w:tcW w:w="3192" w:type="dxa"/>
            <w:tcBorders>
              <w:top w:val="single" w:sz="4" w:space="0" w:color="000000"/>
              <w:left w:val="single" w:sz="4" w:space="0" w:color="000000"/>
              <w:bottom w:val="single" w:sz="4" w:space="0" w:color="000000"/>
              <w:right w:val="single" w:sz="4" w:space="0" w:color="000000"/>
            </w:tcBorders>
            <w:hideMark/>
          </w:tcPr>
          <w:p w14:paraId="03DEED72" w14:textId="77777777" w:rsidR="006F5BC3" w:rsidRPr="006F5BC3" w:rsidRDefault="006F5BC3" w:rsidP="00512EAF">
            <w:pPr>
              <w:widowControl w:val="0"/>
              <w:autoSpaceDE w:val="0"/>
              <w:autoSpaceDN w:val="0"/>
              <w:ind w:left="107" w:right="115"/>
              <w:rPr>
                <w:rFonts w:eastAsia="Arial" w:cstheme="minorHAnsi"/>
              </w:rPr>
            </w:pPr>
            <w:r w:rsidRPr="006F5BC3">
              <w:rPr>
                <w:rFonts w:eastAsia="Arial" w:cstheme="minorHAnsi"/>
              </w:rPr>
              <w:t>The applicant’s response provided a clear description of the budget. Budget items were eligible, and reasonable.</w:t>
            </w:r>
          </w:p>
        </w:tc>
        <w:tc>
          <w:tcPr>
            <w:tcW w:w="3192" w:type="dxa"/>
            <w:tcBorders>
              <w:top w:val="single" w:sz="4" w:space="0" w:color="000000"/>
              <w:left w:val="single" w:sz="4" w:space="0" w:color="000000"/>
              <w:bottom w:val="single" w:sz="4" w:space="0" w:color="000000"/>
              <w:right w:val="single" w:sz="4" w:space="0" w:color="000000"/>
            </w:tcBorders>
            <w:hideMark/>
          </w:tcPr>
          <w:p w14:paraId="1A47F393" w14:textId="77777777" w:rsidR="006F5BC3" w:rsidRPr="006F5BC3" w:rsidRDefault="006F5BC3" w:rsidP="00512EAF">
            <w:pPr>
              <w:widowControl w:val="0"/>
              <w:autoSpaceDE w:val="0"/>
              <w:autoSpaceDN w:val="0"/>
              <w:spacing w:line="232" w:lineRule="exact"/>
              <w:ind w:left="108"/>
              <w:rPr>
                <w:rFonts w:eastAsia="Arial" w:cstheme="minorHAnsi"/>
              </w:rPr>
            </w:pPr>
            <w:r w:rsidRPr="006F5BC3">
              <w:rPr>
                <w:rFonts w:eastAsia="Arial" w:cstheme="minorHAnsi"/>
              </w:rPr>
              <w:t xml:space="preserve">The applicant’s response provided a clear description of the budget. Budget items were eligible, </w:t>
            </w:r>
            <w:proofErr w:type="gramStart"/>
            <w:r w:rsidRPr="006F5BC3">
              <w:rPr>
                <w:rFonts w:eastAsia="Arial" w:cstheme="minorHAnsi"/>
              </w:rPr>
              <w:t>reasonable</w:t>
            </w:r>
            <w:proofErr w:type="gramEnd"/>
            <w:r w:rsidRPr="006F5BC3">
              <w:rPr>
                <w:rFonts w:eastAsia="Arial" w:cstheme="minorHAnsi"/>
              </w:rPr>
              <w:t xml:space="preserve"> and substantiated by narrative. </w:t>
            </w:r>
          </w:p>
        </w:tc>
      </w:tr>
    </w:tbl>
    <w:p w14:paraId="300FDB16" w14:textId="77777777" w:rsidR="006F5BC3" w:rsidRPr="006F5BC3" w:rsidRDefault="006F5BC3" w:rsidP="006F5BC3">
      <w:pPr>
        <w:pStyle w:val="Default"/>
        <w:rPr>
          <w:rFonts w:asciiTheme="minorHAnsi" w:hAnsiTheme="minorHAnsi" w:cstheme="minorHAnsi"/>
        </w:rPr>
      </w:pPr>
    </w:p>
    <w:p w14:paraId="6B54B4E7" w14:textId="77777777" w:rsidR="006F5BC3" w:rsidRPr="006F5BC3" w:rsidRDefault="006F5BC3" w:rsidP="006F5BC3">
      <w:pPr>
        <w:pStyle w:val="Default"/>
        <w:rPr>
          <w:rFonts w:asciiTheme="minorHAnsi" w:hAnsiTheme="minorHAnsi" w:cstheme="minorHAnsi"/>
        </w:rPr>
      </w:pPr>
    </w:p>
    <w:p w14:paraId="2BAD00EC" w14:textId="7B5B1F3D" w:rsidR="006F5BC3" w:rsidRPr="00901EEF" w:rsidRDefault="006F5BC3" w:rsidP="00901EEF">
      <w:pPr>
        <w:pStyle w:val="ListParagraph"/>
        <w:numPr>
          <w:ilvl w:val="0"/>
          <w:numId w:val="27"/>
        </w:numPr>
        <w:rPr>
          <w:rFonts w:eastAsia="Times New Roman" w:cstheme="minorHAnsi"/>
          <w:b/>
          <w:sz w:val="24"/>
          <w:szCs w:val="24"/>
        </w:rPr>
      </w:pPr>
      <w:r w:rsidRPr="00901EEF">
        <w:rPr>
          <w:rFonts w:eastAsia="Times New Roman" w:cstheme="minorHAnsi"/>
          <w:b/>
          <w:sz w:val="24"/>
          <w:szCs w:val="24"/>
          <w:highlight w:val="yellow"/>
        </w:rPr>
        <w:t>Reporting requirements</w:t>
      </w:r>
      <w:r w:rsidRPr="00901EEF">
        <w:rPr>
          <w:rFonts w:eastAsia="Times New Roman" w:cstheme="minorHAnsi"/>
          <w:b/>
          <w:sz w:val="24"/>
          <w:szCs w:val="24"/>
        </w:rPr>
        <w:t xml:space="preserve">:  </w:t>
      </w:r>
    </w:p>
    <w:p w14:paraId="27093314" w14:textId="099582D7" w:rsidR="006F5BC3" w:rsidRPr="00A76517" w:rsidRDefault="00A76517" w:rsidP="00A76517">
      <w:pPr>
        <w:rPr>
          <w:rFonts w:eastAsia="Times New Roman" w:cstheme="minorHAnsi"/>
          <w:b/>
        </w:rPr>
      </w:pPr>
      <w:r>
        <w:rPr>
          <w:rFonts w:eastAsia="Times New Roman" w:cstheme="minorHAnsi"/>
        </w:rPr>
        <w:t>1.</w:t>
      </w:r>
      <w:r w:rsidR="006F5BC3" w:rsidRPr="00A76517">
        <w:rPr>
          <w:rFonts w:eastAsia="Times New Roman" w:cstheme="minorHAnsi"/>
        </w:rPr>
        <w:t xml:space="preserve">Grant recipients are required to provide monthly performance reports </w:t>
      </w:r>
      <w:r w:rsidR="0019480A">
        <w:rPr>
          <w:rFonts w:eastAsia="Times New Roman" w:cstheme="minorHAnsi"/>
        </w:rPr>
        <w:t xml:space="preserve">into SAGE </w:t>
      </w:r>
      <w:r w:rsidR="006F5BC3" w:rsidRPr="00A76517">
        <w:rPr>
          <w:rFonts w:eastAsia="Times New Roman" w:cstheme="minorHAnsi"/>
        </w:rPr>
        <w:t>and participate in weekly status meetings with DCA staff.  Electronic reporting will be required according to the following schedule:</w:t>
      </w:r>
    </w:p>
    <w:p w14:paraId="26F95BD6" w14:textId="0D92B903" w:rsidR="006F5BC3" w:rsidRPr="006F5BC3" w:rsidRDefault="006F5BC3" w:rsidP="006F5BC3">
      <w:pPr>
        <w:ind w:left="360" w:firstLine="360"/>
        <w:rPr>
          <w:rFonts w:eastAsia="Times New Roman" w:cstheme="minorHAnsi"/>
          <w:u w:val="single"/>
        </w:rPr>
      </w:pPr>
      <w:r w:rsidRPr="006F5BC3">
        <w:rPr>
          <w:rFonts w:eastAsia="Times New Roman" w:cstheme="minorHAnsi"/>
          <w:u w:val="single"/>
        </w:rPr>
        <w:t>Period</w:t>
      </w:r>
      <w:r w:rsidRPr="006F5BC3">
        <w:rPr>
          <w:rFonts w:eastAsia="Times New Roman" w:cstheme="minorHAnsi"/>
          <w:u w:val="single"/>
        </w:rPr>
        <w:tab/>
      </w:r>
      <w:r w:rsidRPr="006F5BC3">
        <w:rPr>
          <w:rFonts w:eastAsia="Times New Roman" w:cstheme="minorHAnsi"/>
          <w:u w:val="single"/>
        </w:rPr>
        <w:tab/>
      </w:r>
      <w:r w:rsidRPr="006F5BC3">
        <w:rPr>
          <w:rFonts w:eastAsia="Times New Roman" w:cstheme="minorHAnsi"/>
          <w:u w:val="single"/>
        </w:rPr>
        <w:tab/>
      </w:r>
      <w:r w:rsidR="000208E6">
        <w:rPr>
          <w:rFonts w:eastAsia="Times New Roman" w:cstheme="minorHAnsi"/>
          <w:u w:val="single"/>
        </w:rPr>
        <w:t xml:space="preserve">                  </w:t>
      </w:r>
      <w:r w:rsidRPr="006F5BC3">
        <w:rPr>
          <w:rFonts w:eastAsia="Times New Roman" w:cstheme="minorHAnsi"/>
          <w:u w:val="single"/>
        </w:rPr>
        <w:t>Due Date</w:t>
      </w:r>
    </w:p>
    <w:p w14:paraId="0EE627E4" w14:textId="5ADB16F8" w:rsidR="006F5BC3" w:rsidRDefault="000208E6" w:rsidP="006F5BC3">
      <w:pPr>
        <w:ind w:left="360" w:firstLine="360"/>
        <w:rPr>
          <w:rFonts w:eastAsia="Times New Roman" w:cstheme="minorHAnsi"/>
        </w:rPr>
      </w:pPr>
      <w:r>
        <w:rPr>
          <w:rFonts w:eastAsia="Times New Roman" w:cstheme="minorHAnsi"/>
        </w:rPr>
        <w:t xml:space="preserve">01/01/2022 – </w:t>
      </w:r>
      <w:r w:rsidR="0019480A">
        <w:rPr>
          <w:rFonts w:eastAsia="Times New Roman" w:cstheme="minorHAnsi"/>
        </w:rPr>
        <w:t>01/31/2022          02/28/2022</w:t>
      </w:r>
    </w:p>
    <w:p w14:paraId="220D0861" w14:textId="25B23188" w:rsidR="0019480A" w:rsidRDefault="0019480A" w:rsidP="006F5BC3">
      <w:pPr>
        <w:ind w:left="360" w:firstLine="360"/>
        <w:rPr>
          <w:rFonts w:eastAsia="Times New Roman" w:cstheme="minorHAnsi"/>
        </w:rPr>
      </w:pPr>
      <w:r>
        <w:rPr>
          <w:rFonts w:eastAsia="Times New Roman" w:cstheme="minorHAnsi"/>
        </w:rPr>
        <w:t>02/01/2022 – 02/28/2022          03/31/2022</w:t>
      </w:r>
    </w:p>
    <w:p w14:paraId="07CDBFA6" w14:textId="17E6CE41" w:rsidR="0019480A" w:rsidRDefault="0019480A" w:rsidP="006F5BC3">
      <w:pPr>
        <w:ind w:left="360" w:firstLine="360"/>
        <w:rPr>
          <w:rFonts w:eastAsia="Times New Roman" w:cstheme="minorHAnsi"/>
        </w:rPr>
      </w:pPr>
      <w:r>
        <w:rPr>
          <w:rFonts w:eastAsia="Times New Roman" w:cstheme="minorHAnsi"/>
        </w:rPr>
        <w:t>03/01/2022 – 03/31/2022          04/30/2022</w:t>
      </w:r>
    </w:p>
    <w:p w14:paraId="2D50535E" w14:textId="24282F27" w:rsidR="0019480A" w:rsidRDefault="0019480A" w:rsidP="006F5BC3">
      <w:pPr>
        <w:ind w:left="360" w:firstLine="360"/>
        <w:rPr>
          <w:rFonts w:eastAsia="Times New Roman" w:cstheme="minorHAnsi"/>
        </w:rPr>
      </w:pPr>
      <w:r>
        <w:rPr>
          <w:rFonts w:eastAsia="Times New Roman" w:cstheme="minorHAnsi"/>
        </w:rPr>
        <w:t>04/01/2022 – 04/30/2022          05/30/2022</w:t>
      </w:r>
    </w:p>
    <w:p w14:paraId="34A5AD1B" w14:textId="58D2700B" w:rsidR="0019480A" w:rsidRDefault="0019480A" w:rsidP="006F5BC3">
      <w:pPr>
        <w:ind w:left="360" w:firstLine="360"/>
        <w:rPr>
          <w:rFonts w:eastAsia="Times New Roman" w:cstheme="minorHAnsi"/>
        </w:rPr>
      </w:pPr>
      <w:r>
        <w:rPr>
          <w:rFonts w:eastAsia="Times New Roman" w:cstheme="minorHAnsi"/>
        </w:rPr>
        <w:t>05/01/2022 – 05/30/2022          06/30/2022</w:t>
      </w:r>
    </w:p>
    <w:p w14:paraId="79C2815F" w14:textId="2CC15C80" w:rsidR="0019480A" w:rsidRDefault="0019480A" w:rsidP="006F5BC3">
      <w:pPr>
        <w:ind w:left="360" w:firstLine="360"/>
        <w:rPr>
          <w:rFonts w:eastAsia="Times New Roman" w:cstheme="minorHAnsi"/>
        </w:rPr>
      </w:pPr>
      <w:r>
        <w:rPr>
          <w:rFonts w:eastAsia="Times New Roman" w:cstheme="minorHAnsi"/>
        </w:rPr>
        <w:t>06/01/2022 – 06/30/2022          07/31/2022</w:t>
      </w:r>
    </w:p>
    <w:p w14:paraId="4578B418" w14:textId="11066B0D" w:rsidR="0019480A" w:rsidRDefault="0019480A" w:rsidP="006F5BC3">
      <w:pPr>
        <w:ind w:left="360" w:firstLine="360"/>
        <w:rPr>
          <w:rFonts w:eastAsia="Times New Roman" w:cstheme="minorHAnsi"/>
        </w:rPr>
      </w:pPr>
      <w:r>
        <w:rPr>
          <w:rFonts w:eastAsia="Times New Roman" w:cstheme="minorHAnsi"/>
        </w:rPr>
        <w:t>07/01/2022 – 07/31/2022          08/31/2022</w:t>
      </w:r>
    </w:p>
    <w:p w14:paraId="78929ACC" w14:textId="4E2FA977" w:rsidR="0019480A" w:rsidRDefault="0019480A" w:rsidP="006F5BC3">
      <w:pPr>
        <w:ind w:left="360" w:firstLine="360"/>
        <w:rPr>
          <w:rFonts w:eastAsia="Times New Roman" w:cstheme="minorHAnsi"/>
        </w:rPr>
      </w:pPr>
      <w:r>
        <w:rPr>
          <w:rFonts w:eastAsia="Times New Roman" w:cstheme="minorHAnsi"/>
        </w:rPr>
        <w:t xml:space="preserve">08/01/2022 – </w:t>
      </w:r>
      <w:r w:rsidR="00874E70">
        <w:rPr>
          <w:rFonts w:eastAsia="Times New Roman" w:cstheme="minorHAnsi"/>
        </w:rPr>
        <w:t>0</w:t>
      </w:r>
      <w:r>
        <w:rPr>
          <w:rFonts w:eastAsia="Times New Roman" w:cstheme="minorHAnsi"/>
        </w:rPr>
        <w:t>8/31/2022          09/30/2022</w:t>
      </w:r>
    </w:p>
    <w:p w14:paraId="639EFE5F" w14:textId="2CB34FF9" w:rsidR="0019480A" w:rsidRDefault="0019480A" w:rsidP="006F5BC3">
      <w:pPr>
        <w:ind w:left="360" w:firstLine="360"/>
        <w:rPr>
          <w:rFonts w:eastAsia="Times New Roman" w:cstheme="minorHAnsi"/>
        </w:rPr>
      </w:pPr>
      <w:r>
        <w:rPr>
          <w:rFonts w:eastAsia="Times New Roman" w:cstheme="minorHAnsi"/>
        </w:rPr>
        <w:t xml:space="preserve">09/01/2022 – </w:t>
      </w:r>
      <w:r w:rsidR="00874E70">
        <w:rPr>
          <w:rFonts w:eastAsia="Times New Roman" w:cstheme="minorHAnsi"/>
        </w:rPr>
        <w:t>0</w:t>
      </w:r>
      <w:r>
        <w:rPr>
          <w:rFonts w:eastAsia="Times New Roman" w:cstheme="minorHAnsi"/>
        </w:rPr>
        <w:t>9/31/2022          10/31/2022</w:t>
      </w:r>
    </w:p>
    <w:p w14:paraId="5EA22BCD" w14:textId="439F2281" w:rsidR="0019480A" w:rsidRDefault="0019480A" w:rsidP="006F5BC3">
      <w:pPr>
        <w:ind w:left="360" w:firstLine="360"/>
        <w:rPr>
          <w:rFonts w:eastAsia="Times New Roman" w:cstheme="minorHAnsi"/>
        </w:rPr>
      </w:pPr>
      <w:r>
        <w:rPr>
          <w:rFonts w:eastAsia="Times New Roman" w:cstheme="minorHAnsi"/>
        </w:rPr>
        <w:t>10/01/2022 – 10/31/2022          11/31/2022</w:t>
      </w:r>
    </w:p>
    <w:p w14:paraId="4AFB9597" w14:textId="01FEE75E" w:rsidR="0019480A" w:rsidRDefault="0019480A" w:rsidP="006F5BC3">
      <w:pPr>
        <w:ind w:left="360" w:firstLine="360"/>
        <w:rPr>
          <w:rFonts w:eastAsia="Times New Roman" w:cstheme="minorHAnsi"/>
        </w:rPr>
      </w:pPr>
      <w:r>
        <w:rPr>
          <w:rFonts w:eastAsia="Times New Roman" w:cstheme="minorHAnsi"/>
        </w:rPr>
        <w:t>11/01/2022 – 11/31/2022          12/31/2022</w:t>
      </w:r>
    </w:p>
    <w:p w14:paraId="2AFEA8A3" w14:textId="32A10B10" w:rsidR="0019480A" w:rsidRDefault="0019480A" w:rsidP="006F5BC3">
      <w:pPr>
        <w:ind w:left="360" w:firstLine="360"/>
        <w:rPr>
          <w:rFonts w:eastAsia="Times New Roman" w:cstheme="minorHAnsi"/>
        </w:rPr>
      </w:pPr>
      <w:r>
        <w:rPr>
          <w:rFonts w:eastAsia="Times New Roman" w:cstheme="minorHAnsi"/>
        </w:rPr>
        <w:t>12/01/2022 – 12/31/2022.         01/01/2023</w:t>
      </w:r>
    </w:p>
    <w:p w14:paraId="42A9AF52" w14:textId="02B7C505" w:rsidR="00A76517" w:rsidRDefault="00A76517" w:rsidP="006F5BC3">
      <w:pPr>
        <w:ind w:left="360" w:firstLine="360"/>
        <w:rPr>
          <w:rFonts w:eastAsia="Times New Roman" w:cstheme="minorHAnsi"/>
        </w:rPr>
      </w:pPr>
    </w:p>
    <w:p w14:paraId="5F0DF754" w14:textId="137004C3" w:rsidR="00A76517" w:rsidRDefault="00A76517" w:rsidP="00A76517">
      <w:pPr>
        <w:rPr>
          <w:rFonts w:eastAsia="Times New Roman" w:cstheme="minorHAnsi"/>
        </w:rPr>
      </w:pPr>
      <w:r>
        <w:rPr>
          <w:rFonts w:eastAsia="Times New Roman" w:cstheme="minorHAnsi"/>
        </w:rPr>
        <w:t xml:space="preserve">2.Grant recipients are required to submit quarterly budget expenditure reports </w:t>
      </w:r>
      <w:r w:rsidR="0019480A">
        <w:rPr>
          <w:rFonts w:eastAsia="Times New Roman" w:cstheme="minorHAnsi"/>
        </w:rPr>
        <w:t xml:space="preserve">into SAGE </w:t>
      </w:r>
      <w:r>
        <w:rPr>
          <w:rFonts w:eastAsia="Times New Roman" w:cstheme="minorHAnsi"/>
        </w:rPr>
        <w:t>according to the following schedule:</w:t>
      </w:r>
    </w:p>
    <w:p w14:paraId="555248B9" w14:textId="40A03DB6" w:rsidR="00A76517" w:rsidRPr="006F5BC3" w:rsidRDefault="00A76517" w:rsidP="00A76517">
      <w:pPr>
        <w:ind w:left="360" w:firstLine="360"/>
        <w:rPr>
          <w:rFonts w:eastAsia="Times New Roman" w:cstheme="minorHAnsi"/>
          <w:u w:val="single"/>
        </w:rPr>
      </w:pPr>
      <w:r w:rsidRPr="006F5BC3">
        <w:rPr>
          <w:rFonts w:eastAsia="Times New Roman" w:cstheme="minorHAnsi"/>
          <w:u w:val="single"/>
        </w:rPr>
        <w:t>Period</w:t>
      </w:r>
      <w:r w:rsidRPr="006F5BC3">
        <w:rPr>
          <w:rFonts w:eastAsia="Times New Roman" w:cstheme="minorHAnsi"/>
          <w:u w:val="single"/>
        </w:rPr>
        <w:tab/>
      </w:r>
      <w:r w:rsidRPr="006F5BC3">
        <w:rPr>
          <w:rFonts w:eastAsia="Times New Roman" w:cstheme="minorHAnsi"/>
          <w:u w:val="single"/>
        </w:rPr>
        <w:tab/>
      </w:r>
      <w:r w:rsidRPr="006F5BC3">
        <w:rPr>
          <w:rFonts w:eastAsia="Times New Roman" w:cstheme="minorHAnsi"/>
          <w:u w:val="single"/>
        </w:rPr>
        <w:tab/>
      </w:r>
      <w:r w:rsidR="0019480A">
        <w:rPr>
          <w:rFonts w:eastAsia="Times New Roman" w:cstheme="minorHAnsi"/>
          <w:u w:val="single"/>
        </w:rPr>
        <w:t xml:space="preserve">                  </w:t>
      </w:r>
      <w:r w:rsidRPr="006F5BC3">
        <w:rPr>
          <w:rFonts w:eastAsia="Times New Roman" w:cstheme="minorHAnsi"/>
          <w:u w:val="single"/>
        </w:rPr>
        <w:t>Due Date</w:t>
      </w:r>
    </w:p>
    <w:p w14:paraId="5382A073" w14:textId="0E795DDD" w:rsidR="00A76517" w:rsidRDefault="00874E70" w:rsidP="00A76517">
      <w:pPr>
        <w:ind w:left="720"/>
        <w:rPr>
          <w:rFonts w:eastAsia="Times New Roman" w:cstheme="minorHAnsi"/>
        </w:rPr>
      </w:pPr>
      <w:r>
        <w:rPr>
          <w:rFonts w:eastAsia="Times New Roman" w:cstheme="minorHAnsi"/>
        </w:rPr>
        <w:t>01/01/2022 – 03/31/2022           04/30/2022</w:t>
      </w:r>
    </w:p>
    <w:p w14:paraId="6112AA32" w14:textId="1A06A491" w:rsidR="00874E70" w:rsidRDefault="00874E70" w:rsidP="00A76517">
      <w:pPr>
        <w:ind w:left="720"/>
        <w:rPr>
          <w:rFonts w:eastAsia="Times New Roman" w:cstheme="minorHAnsi"/>
        </w:rPr>
      </w:pPr>
      <w:r>
        <w:rPr>
          <w:rFonts w:eastAsia="Times New Roman" w:cstheme="minorHAnsi"/>
        </w:rPr>
        <w:t>04/01/2022 – 06/30/2022           07/31/2022</w:t>
      </w:r>
    </w:p>
    <w:p w14:paraId="0BE4060D" w14:textId="0CE42C7B" w:rsidR="00874E70" w:rsidRDefault="00874E70" w:rsidP="00A76517">
      <w:pPr>
        <w:ind w:left="720"/>
        <w:rPr>
          <w:rFonts w:eastAsia="Times New Roman" w:cstheme="minorHAnsi"/>
        </w:rPr>
      </w:pPr>
      <w:r>
        <w:rPr>
          <w:rFonts w:eastAsia="Times New Roman" w:cstheme="minorHAnsi"/>
        </w:rPr>
        <w:t>07/01/2022 – 09/30/2022           10/31/2022</w:t>
      </w:r>
    </w:p>
    <w:p w14:paraId="288B1FBC" w14:textId="6FB4DE1C" w:rsidR="00874E70" w:rsidRDefault="00874E70" w:rsidP="00A76517">
      <w:pPr>
        <w:ind w:left="720"/>
        <w:rPr>
          <w:rFonts w:eastAsia="Times New Roman" w:cstheme="minorHAnsi"/>
        </w:rPr>
      </w:pPr>
      <w:r>
        <w:rPr>
          <w:rFonts w:eastAsia="Times New Roman" w:cstheme="minorHAnsi"/>
        </w:rPr>
        <w:t>10/01/2022 – 12/31/2022           01/31/2023</w:t>
      </w:r>
    </w:p>
    <w:p w14:paraId="45AD24F6" w14:textId="77777777" w:rsidR="00DC0C68" w:rsidRPr="006F5BC3" w:rsidRDefault="00DC0C68" w:rsidP="006F5BC3">
      <w:pPr>
        <w:ind w:left="360" w:firstLine="360"/>
        <w:rPr>
          <w:rFonts w:eastAsia="Times New Roman" w:cstheme="minorHAnsi"/>
        </w:rPr>
      </w:pPr>
    </w:p>
    <w:p w14:paraId="2E94FE71" w14:textId="609F4444" w:rsidR="006F5BC3" w:rsidRPr="006F5BC3" w:rsidRDefault="00A76517" w:rsidP="00A76517">
      <w:pPr>
        <w:rPr>
          <w:rFonts w:eastAsia="Times New Roman" w:cstheme="minorHAnsi"/>
        </w:rPr>
      </w:pPr>
      <w:r>
        <w:rPr>
          <w:rFonts w:eastAsia="Times New Roman" w:cstheme="minorHAnsi"/>
        </w:rPr>
        <w:t>3.</w:t>
      </w:r>
      <w:r w:rsidR="006F5BC3" w:rsidRPr="006F5BC3">
        <w:rPr>
          <w:rFonts w:eastAsia="Times New Roman" w:cstheme="minorHAnsi"/>
        </w:rPr>
        <w:t xml:space="preserve">Grant recipients are required to track and report </w:t>
      </w:r>
      <w:r w:rsidR="00874E70">
        <w:rPr>
          <w:rFonts w:eastAsia="Times New Roman" w:cstheme="minorHAnsi"/>
        </w:rPr>
        <w:t xml:space="preserve">into SAGE </w:t>
      </w:r>
      <w:r w:rsidR="006F5BC3" w:rsidRPr="006F5BC3">
        <w:rPr>
          <w:rFonts w:eastAsia="Times New Roman" w:cstheme="minorHAnsi"/>
        </w:rPr>
        <w:t>the following at a minimum:</w:t>
      </w:r>
    </w:p>
    <w:p w14:paraId="24F210C4" w14:textId="5C2EC3DA" w:rsidR="006F5BC3" w:rsidRPr="006F5BC3" w:rsidRDefault="006F5BC3" w:rsidP="006F5BC3">
      <w:pPr>
        <w:pStyle w:val="ListParagraph"/>
        <w:numPr>
          <w:ilvl w:val="0"/>
          <w:numId w:val="16"/>
        </w:numPr>
        <w:spacing w:after="0" w:line="240" w:lineRule="auto"/>
        <w:contextualSpacing w:val="0"/>
        <w:rPr>
          <w:rFonts w:asciiTheme="minorHAnsi" w:hAnsiTheme="minorHAnsi" w:cstheme="minorHAnsi"/>
          <w:sz w:val="24"/>
          <w:szCs w:val="24"/>
        </w:rPr>
      </w:pPr>
      <w:r w:rsidRPr="006F5BC3">
        <w:rPr>
          <w:rFonts w:asciiTheme="minorHAnsi" w:hAnsiTheme="minorHAnsi" w:cstheme="minorHAnsi"/>
          <w:sz w:val="24"/>
          <w:szCs w:val="24"/>
        </w:rPr>
        <w:t>All activities performed</w:t>
      </w:r>
      <w:r w:rsidR="00A76517">
        <w:rPr>
          <w:rFonts w:asciiTheme="minorHAnsi" w:hAnsiTheme="minorHAnsi" w:cstheme="minorHAnsi"/>
          <w:sz w:val="24"/>
          <w:szCs w:val="24"/>
        </w:rPr>
        <w:t xml:space="preserve"> </w:t>
      </w:r>
      <w:r w:rsidRPr="006F5BC3">
        <w:rPr>
          <w:rFonts w:asciiTheme="minorHAnsi" w:hAnsiTheme="minorHAnsi" w:cstheme="minorHAnsi"/>
          <w:sz w:val="24"/>
          <w:szCs w:val="24"/>
        </w:rPr>
        <w:t>and outcomes</w:t>
      </w:r>
    </w:p>
    <w:p w14:paraId="61DCE928" w14:textId="77777777" w:rsidR="006F5BC3" w:rsidRPr="006F5BC3" w:rsidRDefault="006F5BC3" w:rsidP="006F5BC3">
      <w:pPr>
        <w:pStyle w:val="ListParagraph"/>
        <w:numPr>
          <w:ilvl w:val="0"/>
          <w:numId w:val="16"/>
        </w:numPr>
        <w:spacing w:after="0" w:line="240" w:lineRule="auto"/>
        <w:contextualSpacing w:val="0"/>
        <w:rPr>
          <w:rFonts w:asciiTheme="minorHAnsi" w:hAnsiTheme="minorHAnsi" w:cstheme="minorHAnsi"/>
          <w:sz w:val="24"/>
          <w:szCs w:val="24"/>
        </w:rPr>
      </w:pPr>
      <w:r w:rsidRPr="006F5BC3">
        <w:rPr>
          <w:rFonts w:asciiTheme="minorHAnsi" w:hAnsiTheme="minorHAnsi" w:cstheme="minorHAnsi"/>
          <w:sz w:val="24"/>
          <w:szCs w:val="24"/>
        </w:rPr>
        <w:t>Basic household demographic information (i.e., address, zip code, county of residence, household size, race or ethnicity and primary language.)</w:t>
      </w:r>
    </w:p>
    <w:p w14:paraId="72E97B45" w14:textId="77777777" w:rsidR="006F5BC3" w:rsidRPr="006F5BC3" w:rsidRDefault="006F5BC3" w:rsidP="006F5BC3">
      <w:pPr>
        <w:pStyle w:val="ListParagraph"/>
        <w:ind w:left="1440"/>
        <w:rPr>
          <w:rFonts w:asciiTheme="minorHAnsi" w:hAnsiTheme="minorHAnsi" w:cstheme="minorHAnsi"/>
          <w:sz w:val="24"/>
          <w:szCs w:val="24"/>
        </w:rPr>
      </w:pPr>
    </w:p>
    <w:p w14:paraId="022AFACF" w14:textId="6694E168" w:rsidR="006F5BC3" w:rsidRPr="006F5BC3" w:rsidRDefault="00A76517" w:rsidP="00A76517">
      <w:pPr>
        <w:rPr>
          <w:rFonts w:cstheme="minorHAnsi"/>
        </w:rPr>
      </w:pPr>
      <w:r>
        <w:rPr>
          <w:rFonts w:cstheme="minorHAnsi"/>
        </w:rPr>
        <w:t>4.</w:t>
      </w:r>
      <w:r w:rsidR="006F5BC3" w:rsidRPr="006F5BC3">
        <w:rPr>
          <w:rFonts w:cstheme="minorHAnsi"/>
        </w:rPr>
        <w:t>Grant recipients are required to participate in weekly virtual meetings with DCA to touch base about the progress of these activities.</w:t>
      </w:r>
    </w:p>
    <w:p w14:paraId="45E48AAD" w14:textId="77777777" w:rsidR="006F5BC3" w:rsidRPr="006F5BC3" w:rsidRDefault="006F5BC3" w:rsidP="006F5BC3">
      <w:pPr>
        <w:ind w:left="1440"/>
        <w:rPr>
          <w:rFonts w:eastAsia="Times New Roman" w:cstheme="minorHAnsi"/>
        </w:rPr>
      </w:pPr>
    </w:p>
    <w:p w14:paraId="6BA8E085" w14:textId="77777777" w:rsidR="006F5BC3" w:rsidRPr="00DC0C68" w:rsidRDefault="006F5BC3" w:rsidP="00901EEF">
      <w:pPr>
        <w:widowControl w:val="0"/>
        <w:numPr>
          <w:ilvl w:val="0"/>
          <w:numId w:val="27"/>
        </w:numPr>
        <w:tabs>
          <w:tab w:val="left" w:pos="720"/>
        </w:tabs>
        <w:autoSpaceDE w:val="0"/>
        <w:autoSpaceDN w:val="0"/>
        <w:adjustRightInd w:val="0"/>
        <w:rPr>
          <w:rFonts w:cstheme="minorHAnsi"/>
          <w:b/>
          <w:bCs/>
          <w:highlight w:val="yellow"/>
        </w:rPr>
      </w:pPr>
      <w:r w:rsidRPr="00DC0C68">
        <w:rPr>
          <w:rFonts w:cstheme="minorHAnsi"/>
          <w:b/>
          <w:bCs/>
          <w:highlight w:val="yellow"/>
        </w:rPr>
        <w:t>Technical Assistance Session:</w:t>
      </w:r>
    </w:p>
    <w:p w14:paraId="48BA3EB5" w14:textId="537287B9" w:rsidR="006F5BC3" w:rsidRPr="006F5BC3" w:rsidRDefault="006F5BC3" w:rsidP="006F5BC3">
      <w:pPr>
        <w:widowControl w:val="0"/>
        <w:tabs>
          <w:tab w:val="left" w:pos="720"/>
        </w:tabs>
        <w:autoSpaceDE w:val="0"/>
        <w:autoSpaceDN w:val="0"/>
        <w:adjustRightInd w:val="0"/>
        <w:ind w:left="720"/>
        <w:rPr>
          <w:rFonts w:cstheme="minorHAnsi"/>
          <w:bCs/>
        </w:rPr>
      </w:pPr>
      <w:r w:rsidRPr="006F5BC3">
        <w:rPr>
          <w:rFonts w:cstheme="minorHAnsi"/>
          <w:bCs/>
        </w:rPr>
        <w:t xml:space="preserve">Applicants MUST participate in the technical assistance webinar </w:t>
      </w:r>
      <w:r w:rsidR="000208E6">
        <w:rPr>
          <w:rFonts w:cstheme="minorHAnsi"/>
          <w:bCs/>
        </w:rPr>
        <w:t>that will be scheduled.</w:t>
      </w:r>
    </w:p>
    <w:p w14:paraId="2C049147" w14:textId="77777777" w:rsidR="006F5BC3" w:rsidRPr="006F5BC3" w:rsidRDefault="006F5BC3" w:rsidP="006F5BC3">
      <w:pPr>
        <w:widowControl w:val="0"/>
        <w:tabs>
          <w:tab w:val="left" w:pos="720"/>
        </w:tabs>
        <w:autoSpaceDE w:val="0"/>
        <w:autoSpaceDN w:val="0"/>
        <w:adjustRightInd w:val="0"/>
        <w:ind w:left="360"/>
        <w:rPr>
          <w:rFonts w:cstheme="minorHAnsi"/>
          <w:b/>
          <w:bCs/>
        </w:rPr>
      </w:pPr>
    </w:p>
    <w:p w14:paraId="46461D5F" w14:textId="00794E69" w:rsidR="006F5BC3" w:rsidRPr="006F5BC3" w:rsidRDefault="006F5BC3" w:rsidP="00901EEF">
      <w:pPr>
        <w:numPr>
          <w:ilvl w:val="0"/>
          <w:numId w:val="27"/>
        </w:numPr>
        <w:rPr>
          <w:rFonts w:eastAsia="Times New Roman" w:cstheme="minorHAnsi"/>
        </w:rPr>
      </w:pPr>
      <w:r w:rsidRPr="00DC0C68">
        <w:rPr>
          <w:rFonts w:eastAsia="Times New Roman" w:cstheme="minorHAnsi"/>
          <w:b/>
          <w:bCs/>
          <w:highlight w:val="yellow"/>
        </w:rPr>
        <w:t>Deadline:</w:t>
      </w:r>
      <w:r w:rsidRPr="006F5BC3">
        <w:rPr>
          <w:rFonts w:eastAsia="Times New Roman" w:cstheme="minorHAnsi"/>
          <w:b/>
          <w:bCs/>
        </w:rPr>
        <w:t xml:space="preserve"> </w:t>
      </w:r>
      <w:bookmarkStart w:id="1" w:name="9"/>
      <w:r w:rsidRPr="006F5BC3">
        <w:rPr>
          <w:rFonts w:eastAsia="Times New Roman" w:cstheme="minorHAnsi"/>
          <w:bCs/>
        </w:rPr>
        <w:t>Applications must be submitted</w:t>
      </w:r>
      <w:bookmarkEnd w:id="1"/>
      <w:r w:rsidRPr="006F5BC3">
        <w:rPr>
          <w:rFonts w:eastAsia="Times New Roman" w:cstheme="minorHAnsi"/>
          <w:bCs/>
        </w:rPr>
        <w:t xml:space="preserve"> by</w:t>
      </w:r>
      <w:r w:rsidRPr="006F5BC3">
        <w:rPr>
          <w:rFonts w:eastAsia="Times New Roman" w:cstheme="minorHAnsi"/>
          <w:b/>
          <w:bCs/>
        </w:rPr>
        <w:t xml:space="preserve"> </w:t>
      </w:r>
      <w:r w:rsidR="002B2D1F" w:rsidRPr="002B2D1F">
        <w:rPr>
          <w:rFonts w:eastAsia="Times New Roman" w:cstheme="minorHAnsi"/>
          <w:b/>
          <w:bCs/>
          <w:highlight w:val="yellow"/>
        </w:rPr>
        <w:t>November 30, 2021</w:t>
      </w:r>
      <w:r w:rsidRPr="006F5BC3">
        <w:rPr>
          <w:rFonts w:eastAsia="Times New Roman" w:cstheme="minorHAnsi"/>
          <w:b/>
          <w:bCs/>
        </w:rPr>
        <w:t>.</w:t>
      </w:r>
    </w:p>
    <w:p w14:paraId="0AE1916B" w14:textId="77777777" w:rsidR="006F5BC3" w:rsidRPr="006F5BC3" w:rsidRDefault="006F5BC3" w:rsidP="006F5BC3">
      <w:pPr>
        <w:ind w:left="720"/>
        <w:rPr>
          <w:rFonts w:eastAsia="Times New Roman" w:cstheme="minorHAnsi"/>
        </w:rPr>
      </w:pPr>
    </w:p>
    <w:p w14:paraId="0A94696D" w14:textId="408E0D8B" w:rsidR="006F5BC3" w:rsidRPr="006F5BC3" w:rsidRDefault="006F5BC3" w:rsidP="00901EEF">
      <w:pPr>
        <w:numPr>
          <w:ilvl w:val="0"/>
          <w:numId w:val="27"/>
        </w:numPr>
        <w:rPr>
          <w:rFonts w:eastAsia="Times New Roman" w:cstheme="minorHAnsi"/>
        </w:rPr>
      </w:pPr>
      <w:r w:rsidRPr="00DC0C68">
        <w:rPr>
          <w:rFonts w:cstheme="minorHAnsi"/>
          <w:b/>
          <w:bCs/>
          <w:highlight w:val="yellow"/>
        </w:rPr>
        <w:t>Date by which applicants shall be notified</w:t>
      </w:r>
      <w:r w:rsidRPr="006F5BC3">
        <w:rPr>
          <w:rFonts w:cstheme="minorHAnsi"/>
          <w:b/>
          <w:bCs/>
        </w:rPr>
        <w:t xml:space="preserve">: </w:t>
      </w:r>
      <w:r w:rsidRPr="006F5BC3">
        <w:rPr>
          <w:rFonts w:cstheme="minorHAnsi"/>
        </w:rPr>
        <w:t>On or about</w:t>
      </w:r>
      <w:r w:rsidR="002B2D1F">
        <w:rPr>
          <w:rFonts w:cstheme="minorHAnsi"/>
        </w:rPr>
        <w:t xml:space="preserve"> </w:t>
      </w:r>
      <w:r w:rsidR="002B2D1F" w:rsidRPr="002B2D1F">
        <w:rPr>
          <w:rFonts w:cstheme="minorHAnsi"/>
          <w:b/>
          <w:bCs/>
          <w:highlight w:val="yellow"/>
        </w:rPr>
        <w:t>December 10, 2021</w:t>
      </w:r>
      <w:r w:rsidR="002B2D1F">
        <w:rPr>
          <w:rFonts w:cstheme="minorHAnsi"/>
        </w:rPr>
        <w:t>.</w:t>
      </w:r>
    </w:p>
    <w:p w14:paraId="7A9D2CDF" w14:textId="77777777" w:rsidR="006F5BC3" w:rsidRPr="006F5BC3" w:rsidRDefault="006F5BC3" w:rsidP="006F5BC3">
      <w:pPr>
        <w:rPr>
          <w:rFonts w:eastAsia="Times New Roman" w:cstheme="minorHAnsi"/>
        </w:rPr>
      </w:pPr>
    </w:p>
    <w:p w14:paraId="7ACF62A4" w14:textId="60DA7948" w:rsidR="006F5BC3" w:rsidRPr="006F5BC3" w:rsidRDefault="006F5BC3" w:rsidP="006F5BC3">
      <w:pPr>
        <w:rPr>
          <w:rFonts w:cstheme="minorHAnsi"/>
        </w:rPr>
      </w:pPr>
      <w:r w:rsidRPr="006F5BC3">
        <w:rPr>
          <w:rFonts w:cstheme="minorHAnsi"/>
        </w:rPr>
        <w:t>Applicants with questions about this RFP may email D</w:t>
      </w:r>
      <w:r w:rsidR="00DC0C68">
        <w:rPr>
          <w:rFonts w:cstheme="minorHAnsi"/>
        </w:rPr>
        <w:t xml:space="preserve">ean </w:t>
      </w:r>
      <w:proofErr w:type="spellStart"/>
      <w:r w:rsidR="00DC0C68">
        <w:rPr>
          <w:rFonts w:cstheme="minorHAnsi"/>
        </w:rPr>
        <w:t>Dafis</w:t>
      </w:r>
      <w:proofErr w:type="spellEnd"/>
      <w:r w:rsidR="00DC0C68">
        <w:rPr>
          <w:rFonts w:cstheme="minorHAnsi"/>
        </w:rPr>
        <w:t xml:space="preserve"> in the Office of Eviction Prevention in the D</w:t>
      </w:r>
      <w:r w:rsidRPr="006F5BC3">
        <w:rPr>
          <w:rFonts w:cstheme="minorHAnsi"/>
        </w:rPr>
        <w:t xml:space="preserve">ivision of Housing and Community Resources </w:t>
      </w:r>
      <w:r w:rsidR="00901EEF">
        <w:rPr>
          <w:rFonts w:cstheme="minorHAnsi"/>
        </w:rPr>
        <w:t>at</w:t>
      </w:r>
      <w:r w:rsidRPr="006F5BC3">
        <w:rPr>
          <w:rFonts w:cstheme="minorHAnsi"/>
        </w:rPr>
        <w:t xml:space="preserve"> </w:t>
      </w:r>
      <w:r w:rsidR="00DC0C68" w:rsidRPr="00DC0C68">
        <w:rPr>
          <w:rFonts w:cstheme="minorHAnsi"/>
        </w:rPr>
        <w:t>dean</w:t>
      </w:r>
      <w:r w:rsidR="00DC0C68">
        <w:rPr>
          <w:rFonts w:cstheme="minorHAnsi"/>
        </w:rPr>
        <w:t>.dafis@dca.nj.gov</w:t>
      </w:r>
    </w:p>
    <w:p w14:paraId="5E0FF093" w14:textId="77777777" w:rsidR="006F5BC3" w:rsidRPr="006F5BC3" w:rsidRDefault="006F5BC3" w:rsidP="006F5BC3">
      <w:pPr>
        <w:rPr>
          <w:rFonts w:cstheme="minorHAnsi"/>
          <w:highlight w:val="yellow"/>
        </w:rPr>
      </w:pPr>
    </w:p>
    <w:p w14:paraId="3F9BFB99" w14:textId="77777777" w:rsidR="006F5BC3" w:rsidRPr="006F5BC3" w:rsidRDefault="006F5BC3" w:rsidP="006F5BC3">
      <w:pPr>
        <w:rPr>
          <w:rFonts w:cstheme="minorHAnsi"/>
          <w:highlight w:val="yellow"/>
        </w:rPr>
      </w:pPr>
    </w:p>
    <w:p w14:paraId="41E4B0F8" w14:textId="4ABD3B9B" w:rsidR="0071030A" w:rsidRPr="009070B1" w:rsidRDefault="0071030A" w:rsidP="009070B1">
      <w:pPr>
        <w:pStyle w:val="NormalWeb"/>
        <w:shd w:val="clear" w:color="auto" w:fill="FFFFFF"/>
        <w:spacing w:before="0" w:beforeAutospacing="0" w:after="0" w:afterAutospacing="0"/>
      </w:pPr>
    </w:p>
    <w:sectPr w:rsidR="0071030A" w:rsidRPr="00907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94F"/>
    <w:multiLevelType w:val="hybridMultilevel"/>
    <w:tmpl w:val="DA047D46"/>
    <w:lvl w:ilvl="0" w:tplc="690C5B66">
      <w:start w:val="9"/>
      <w:numFmt w:val="upperLetter"/>
      <w:lvlText w:val="%1."/>
      <w:lvlJc w:val="left"/>
      <w:pPr>
        <w:ind w:left="360" w:hanging="360"/>
      </w:pPr>
      <w:rPr>
        <w:rFonts w:cs="Calibri"/>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08E08AA"/>
    <w:multiLevelType w:val="hybridMultilevel"/>
    <w:tmpl w:val="81C24CC0"/>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2" w15:restartNumberingAfterBreak="0">
    <w:nsid w:val="03A63330"/>
    <w:multiLevelType w:val="hybridMultilevel"/>
    <w:tmpl w:val="9272CA04"/>
    <w:lvl w:ilvl="0" w:tplc="45A05F32">
      <w:start w:val="1"/>
      <w:numFmt w:val="decimal"/>
      <w:lvlText w:val="%1."/>
      <w:lvlJc w:val="left"/>
      <w:pPr>
        <w:ind w:left="1164" w:hanging="444"/>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6A447C"/>
    <w:multiLevelType w:val="hybridMultilevel"/>
    <w:tmpl w:val="89C4CD98"/>
    <w:lvl w:ilvl="0" w:tplc="695454B2">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37E32"/>
    <w:multiLevelType w:val="hybridMultilevel"/>
    <w:tmpl w:val="0D8AA860"/>
    <w:lvl w:ilvl="0" w:tplc="04090001">
      <w:start w:val="1"/>
      <w:numFmt w:val="bullet"/>
      <w:lvlText w:val=""/>
      <w:lvlJc w:val="left"/>
      <w:pPr>
        <w:ind w:left="1800" w:hanging="360"/>
      </w:pPr>
      <w:rPr>
        <w:rFonts w:ascii="Symbol" w:hAnsi="Symbol" w:hint="default"/>
        <w:b w:val="0"/>
        <w:i w:val="0"/>
        <w:color w:val="auto"/>
        <w:sz w:val="22"/>
      </w:rPr>
    </w:lvl>
    <w:lvl w:ilvl="1" w:tplc="82F2DC12">
      <w:start w:val="1"/>
      <w:numFmt w:val="decimal"/>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FB83499"/>
    <w:multiLevelType w:val="hybridMultilevel"/>
    <w:tmpl w:val="353C8CFC"/>
    <w:lvl w:ilvl="0" w:tplc="E2547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D1194"/>
    <w:multiLevelType w:val="hybridMultilevel"/>
    <w:tmpl w:val="597EBFAC"/>
    <w:lvl w:ilvl="0" w:tplc="A0B25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C28"/>
    <w:multiLevelType w:val="hybridMultilevel"/>
    <w:tmpl w:val="545CA236"/>
    <w:lvl w:ilvl="0" w:tplc="AFAAADD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40B5E"/>
    <w:multiLevelType w:val="hybridMultilevel"/>
    <w:tmpl w:val="9B3CBB60"/>
    <w:lvl w:ilvl="0" w:tplc="F2B8230A">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203D"/>
    <w:multiLevelType w:val="hybridMultilevel"/>
    <w:tmpl w:val="9452B046"/>
    <w:lvl w:ilvl="0" w:tplc="5DA4D694">
      <w:start w:val="1"/>
      <w:numFmt w:val="upperLetter"/>
      <w:lvlText w:val="%1."/>
      <w:lvlJc w:val="left"/>
      <w:pPr>
        <w:ind w:left="388" w:hanging="360"/>
      </w:pPr>
      <w:rPr>
        <w:rFonts w:hint="default"/>
        <w:b/>
        <w:sz w:val="24"/>
      </w:rPr>
    </w:lvl>
    <w:lvl w:ilvl="1" w:tplc="04090019">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0" w15:restartNumberingAfterBreak="0">
    <w:nsid w:val="2A63551D"/>
    <w:multiLevelType w:val="hybridMultilevel"/>
    <w:tmpl w:val="BDF4AA16"/>
    <w:lvl w:ilvl="0" w:tplc="6EE81526">
      <w:start w:val="1"/>
      <w:numFmt w:val="lowerLetter"/>
      <w:lvlText w:val="%1.)"/>
      <w:lvlJc w:val="left"/>
      <w:pPr>
        <w:ind w:left="360" w:hanging="360"/>
      </w:pPr>
      <w:rPr>
        <w:rFonts w:hint="default"/>
        <w:b/>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263163"/>
    <w:multiLevelType w:val="hybridMultilevel"/>
    <w:tmpl w:val="AB78CA74"/>
    <w:lvl w:ilvl="0" w:tplc="7A9E7CD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4172C"/>
    <w:multiLevelType w:val="hybridMultilevel"/>
    <w:tmpl w:val="53A0B87E"/>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3" w15:restartNumberingAfterBreak="0">
    <w:nsid w:val="43816500"/>
    <w:multiLevelType w:val="hybridMultilevel"/>
    <w:tmpl w:val="1F207408"/>
    <w:lvl w:ilvl="0" w:tplc="D1901760">
      <w:start w:val="8"/>
      <w:numFmt w:val="upperLetter"/>
      <w:lvlText w:val="%1."/>
      <w:lvlJc w:val="left"/>
      <w:pPr>
        <w:ind w:left="720" w:hanging="360"/>
      </w:pPr>
      <w:rPr>
        <w:rFonts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5E7A"/>
    <w:multiLevelType w:val="hybridMultilevel"/>
    <w:tmpl w:val="0CE8A530"/>
    <w:lvl w:ilvl="0" w:tplc="270C76C0">
      <w:start w:val="5"/>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52F3F7B"/>
    <w:multiLevelType w:val="hybridMultilevel"/>
    <w:tmpl w:val="456CD3AE"/>
    <w:lvl w:ilvl="0" w:tplc="226AA520">
      <w:start w:val="5"/>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93E71"/>
    <w:multiLevelType w:val="hybridMultilevel"/>
    <w:tmpl w:val="DC86939E"/>
    <w:lvl w:ilvl="0" w:tplc="6A363A60">
      <w:start w:val="8"/>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62AA4"/>
    <w:multiLevelType w:val="hybridMultilevel"/>
    <w:tmpl w:val="B71C251C"/>
    <w:lvl w:ilvl="0" w:tplc="33746464">
      <w:start w:val="3"/>
      <w:numFmt w:val="upperLetter"/>
      <w:lvlText w:val="%1."/>
      <w:lvlJc w:val="left"/>
      <w:pPr>
        <w:ind w:left="450" w:hanging="360"/>
      </w:pPr>
      <w:rPr>
        <w:rFonts w:eastAsiaTheme="minorHAnsi"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8" w15:restartNumberingAfterBreak="0">
    <w:nsid w:val="660E7F53"/>
    <w:multiLevelType w:val="hybridMultilevel"/>
    <w:tmpl w:val="BD0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465DC"/>
    <w:multiLevelType w:val="hybridMultilevel"/>
    <w:tmpl w:val="2D989D7C"/>
    <w:lvl w:ilvl="0" w:tplc="732A7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D3785A"/>
    <w:multiLevelType w:val="hybridMultilevel"/>
    <w:tmpl w:val="57501706"/>
    <w:lvl w:ilvl="0" w:tplc="2A8E0E7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93E98"/>
    <w:multiLevelType w:val="hybridMultilevel"/>
    <w:tmpl w:val="385E01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BFD1C3A"/>
    <w:multiLevelType w:val="hybridMultilevel"/>
    <w:tmpl w:val="13E818DE"/>
    <w:lvl w:ilvl="0" w:tplc="4E521704">
      <w:start w:val="15"/>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9B01BB"/>
    <w:multiLevelType w:val="hybridMultilevel"/>
    <w:tmpl w:val="9452B046"/>
    <w:lvl w:ilvl="0" w:tplc="FFFFFFFF">
      <w:start w:val="1"/>
      <w:numFmt w:val="upperLetter"/>
      <w:lvlText w:val="%1."/>
      <w:lvlJc w:val="left"/>
      <w:pPr>
        <w:ind w:left="388" w:hanging="360"/>
      </w:pPr>
      <w:rPr>
        <w:rFonts w:hint="default"/>
        <w:b/>
        <w:sz w:val="24"/>
      </w:rPr>
    </w:lvl>
    <w:lvl w:ilvl="1" w:tplc="FFFFFFFF">
      <w:start w:val="1"/>
      <w:numFmt w:val="lowerLetter"/>
      <w:lvlText w:val="%2."/>
      <w:lvlJc w:val="left"/>
      <w:pPr>
        <w:ind w:left="1108" w:hanging="360"/>
      </w:pPr>
    </w:lvl>
    <w:lvl w:ilvl="2" w:tplc="FFFFFFFF" w:tentative="1">
      <w:start w:val="1"/>
      <w:numFmt w:val="lowerRoman"/>
      <w:lvlText w:val="%3."/>
      <w:lvlJc w:val="right"/>
      <w:pPr>
        <w:ind w:left="1828" w:hanging="180"/>
      </w:pPr>
    </w:lvl>
    <w:lvl w:ilvl="3" w:tplc="FFFFFFFF" w:tentative="1">
      <w:start w:val="1"/>
      <w:numFmt w:val="decimal"/>
      <w:lvlText w:val="%4."/>
      <w:lvlJc w:val="left"/>
      <w:pPr>
        <w:ind w:left="2548" w:hanging="360"/>
      </w:pPr>
    </w:lvl>
    <w:lvl w:ilvl="4" w:tplc="FFFFFFFF" w:tentative="1">
      <w:start w:val="1"/>
      <w:numFmt w:val="lowerLetter"/>
      <w:lvlText w:val="%5."/>
      <w:lvlJc w:val="left"/>
      <w:pPr>
        <w:ind w:left="3268" w:hanging="360"/>
      </w:pPr>
    </w:lvl>
    <w:lvl w:ilvl="5" w:tplc="FFFFFFFF" w:tentative="1">
      <w:start w:val="1"/>
      <w:numFmt w:val="lowerRoman"/>
      <w:lvlText w:val="%6."/>
      <w:lvlJc w:val="right"/>
      <w:pPr>
        <w:ind w:left="3988" w:hanging="180"/>
      </w:pPr>
    </w:lvl>
    <w:lvl w:ilvl="6" w:tplc="FFFFFFFF" w:tentative="1">
      <w:start w:val="1"/>
      <w:numFmt w:val="decimal"/>
      <w:lvlText w:val="%7."/>
      <w:lvlJc w:val="left"/>
      <w:pPr>
        <w:ind w:left="4708" w:hanging="360"/>
      </w:pPr>
    </w:lvl>
    <w:lvl w:ilvl="7" w:tplc="FFFFFFFF" w:tentative="1">
      <w:start w:val="1"/>
      <w:numFmt w:val="lowerLetter"/>
      <w:lvlText w:val="%8."/>
      <w:lvlJc w:val="left"/>
      <w:pPr>
        <w:ind w:left="5428" w:hanging="360"/>
      </w:pPr>
    </w:lvl>
    <w:lvl w:ilvl="8" w:tplc="FFFFFFFF" w:tentative="1">
      <w:start w:val="1"/>
      <w:numFmt w:val="lowerRoman"/>
      <w:lvlText w:val="%9."/>
      <w:lvlJc w:val="right"/>
      <w:pPr>
        <w:ind w:left="6148" w:hanging="180"/>
      </w:pPr>
    </w:lvl>
  </w:abstractNum>
  <w:abstractNum w:abstractNumId="24" w15:restartNumberingAfterBreak="0">
    <w:nsid w:val="708276F0"/>
    <w:multiLevelType w:val="hybridMultilevel"/>
    <w:tmpl w:val="36B0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C7C1F"/>
    <w:multiLevelType w:val="hybridMultilevel"/>
    <w:tmpl w:val="F76C83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7C2219B"/>
    <w:multiLevelType w:val="hybridMultilevel"/>
    <w:tmpl w:val="9B9E8A44"/>
    <w:lvl w:ilvl="0" w:tplc="83C6DCF8">
      <w:start w:val="1"/>
      <w:numFmt w:val="decimal"/>
      <w:lvlText w:val="%1."/>
      <w:lvlJc w:val="left"/>
      <w:pPr>
        <w:ind w:left="748" w:hanging="360"/>
      </w:pPr>
      <w:rPr>
        <w:rFonts w:hint="default"/>
        <w:b w:val="0"/>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num w:numId="1">
    <w:abstractNumId w:val="12"/>
  </w:num>
  <w:num w:numId="2">
    <w:abstractNumId w:val="1"/>
  </w:num>
  <w:num w:numId="3">
    <w:abstractNumId w:val="10"/>
  </w:num>
  <w:num w:numId="4">
    <w:abstractNumId w:val="19"/>
  </w:num>
  <w:num w:numId="5">
    <w:abstractNumId w:val="6"/>
  </w:num>
  <w:num w:numId="6">
    <w:abstractNumId w:val="5"/>
  </w:num>
  <w:num w:numId="7">
    <w:abstractNumId w:val="9"/>
  </w:num>
  <w:num w:numId="8">
    <w:abstractNumId w:val="18"/>
  </w:num>
  <w:num w:numId="9">
    <w:abstractNumId w:val="24"/>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4"/>
  </w:num>
  <w:num w:numId="19">
    <w:abstractNumId w:val="11"/>
  </w:num>
  <w:num w:numId="20">
    <w:abstractNumId w:val="15"/>
  </w:num>
  <w:num w:numId="21">
    <w:abstractNumId w:val="23"/>
  </w:num>
  <w:num w:numId="22">
    <w:abstractNumId w:val="7"/>
  </w:num>
  <w:num w:numId="23">
    <w:abstractNumId w:val="3"/>
  </w:num>
  <w:num w:numId="24">
    <w:abstractNumId w:val="20"/>
  </w:num>
  <w:num w:numId="25">
    <w:abstractNumId w:val="16"/>
  </w:num>
  <w:num w:numId="26">
    <w:abstractNumId w:val="1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0A"/>
    <w:rsid w:val="00004A91"/>
    <w:rsid w:val="000208E6"/>
    <w:rsid w:val="000556C3"/>
    <w:rsid w:val="0016142B"/>
    <w:rsid w:val="00167344"/>
    <w:rsid w:val="0019480A"/>
    <w:rsid w:val="002631A7"/>
    <w:rsid w:val="002749E5"/>
    <w:rsid w:val="002B2D1F"/>
    <w:rsid w:val="0040693E"/>
    <w:rsid w:val="00441D74"/>
    <w:rsid w:val="0044653B"/>
    <w:rsid w:val="004C373C"/>
    <w:rsid w:val="004D2C78"/>
    <w:rsid w:val="004E47AD"/>
    <w:rsid w:val="00583205"/>
    <w:rsid w:val="005F77CB"/>
    <w:rsid w:val="006F5BC3"/>
    <w:rsid w:val="0071030A"/>
    <w:rsid w:val="00730129"/>
    <w:rsid w:val="007622EA"/>
    <w:rsid w:val="007D688E"/>
    <w:rsid w:val="008338E9"/>
    <w:rsid w:val="00874E70"/>
    <w:rsid w:val="00901EEF"/>
    <w:rsid w:val="009064DC"/>
    <w:rsid w:val="009070B1"/>
    <w:rsid w:val="00974E1C"/>
    <w:rsid w:val="0097652A"/>
    <w:rsid w:val="00A05A5F"/>
    <w:rsid w:val="00A51F6C"/>
    <w:rsid w:val="00A76517"/>
    <w:rsid w:val="00A93702"/>
    <w:rsid w:val="00AF070C"/>
    <w:rsid w:val="00B12260"/>
    <w:rsid w:val="00B13AC3"/>
    <w:rsid w:val="00BC6172"/>
    <w:rsid w:val="00C432BC"/>
    <w:rsid w:val="00C75A59"/>
    <w:rsid w:val="00DB347A"/>
    <w:rsid w:val="00DC0C68"/>
    <w:rsid w:val="00E628FB"/>
    <w:rsid w:val="00EB5FEE"/>
    <w:rsid w:val="00F6528E"/>
    <w:rsid w:val="00F9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B044F4"/>
  <w15:chartTrackingRefBased/>
  <w15:docId w15:val="{648BA1B9-9CBB-B845-A14C-0037DD11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30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432BC"/>
    <w:pPr>
      <w:spacing w:after="160" w:line="259" w:lineRule="auto"/>
      <w:ind w:left="720"/>
      <w:contextualSpacing/>
    </w:pPr>
    <w:rPr>
      <w:rFonts w:ascii="Calibri" w:eastAsia="Calibri" w:hAnsi="Calibri" w:cs="Calibri"/>
      <w:color w:val="000000"/>
      <w:sz w:val="22"/>
      <w:szCs w:val="22"/>
    </w:rPr>
  </w:style>
  <w:style w:type="table" w:styleId="TableGrid">
    <w:name w:val="Table Grid"/>
    <w:basedOn w:val="TableNormal"/>
    <w:uiPriority w:val="39"/>
    <w:rsid w:val="00C432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2260"/>
    <w:rPr>
      <w:color w:val="0000FF"/>
      <w:u w:val="single"/>
    </w:rPr>
  </w:style>
  <w:style w:type="character" w:styleId="FollowedHyperlink">
    <w:name w:val="FollowedHyperlink"/>
    <w:basedOn w:val="DefaultParagraphFont"/>
    <w:uiPriority w:val="99"/>
    <w:semiHidden/>
    <w:unhideWhenUsed/>
    <w:rsid w:val="00B12260"/>
    <w:rPr>
      <w:color w:val="954F72" w:themeColor="followedHyperlink"/>
      <w:u w:val="single"/>
    </w:rPr>
  </w:style>
  <w:style w:type="paragraph" w:customStyle="1" w:styleId="Default">
    <w:name w:val="Default"/>
    <w:rsid w:val="006F5BC3"/>
    <w:pPr>
      <w:autoSpaceDE w:val="0"/>
      <w:autoSpaceDN w:val="0"/>
      <w:adjustRightInd w:val="0"/>
    </w:pPr>
    <w:rPr>
      <w:rFonts w:ascii="Arial" w:eastAsia="Calibri" w:hAnsi="Arial" w:cs="Arial"/>
      <w:color w:val="000000"/>
    </w:rPr>
  </w:style>
  <w:style w:type="character" w:customStyle="1" w:styleId="textstandard1">
    <w:name w:val="textstandard1"/>
    <w:rsid w:val="006F5BC3"/>
    <w:rPr>
      <w:rFonts w:ascii="Verdana" w:hAnsi="Verdana" w:hint="default"/>
      <w:i w:val="0"/>
      <w:iCs w:val="0"/>
      <w:smallCap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734">
      <w:bodyDiv w:val="1"/>
      <w:marLeft w:val="0"/>
      <w:marRight w:val="0"/>
      <w:marTop w:val="0"/>
      <w:marBottom w:val="0"/>
      <w:divBdr>
        <w:top w:val="none" w:sz="0" w:space="0" w:color="auto"/>
        <w:left w:val="none" w:sz="0" w:space="0" w:color="auto"/>
        <w:bottom w:val="none" w:sz="0" w:space="0" w:color="auto"/>
        <w:right w:val="none" w:sz="0" w:space="0" w:color="auto"/>
      </w:divBdr>
    </w:div>
    <w:div w:id="465321787">
      <w:bodyDiv w:val="1"/>
      <w:marLeft w:val="0"/>
      <w:marRight w:val="0"/>
      <w:marTop w:val="0"/>
      <w:marBottom w:val="0"/>
      <w:divBdr>
        <w:top w:val="none" w:sz="0" w:space="0" w:color="auto"/>
        <w:left w:val="none" w:sz="0" w:space="0" w:color="auto"/>
        <w:bottom w:val="none" w:sz="0" w:space="0" w:color="auto"/>
        <w:right w:val="none" w:sz="0" w:space="0" w:color="auto"/>
      </w:divBdr>
    </w:div>
    <w:div w:id="1258826178">
      <w:bodyDiv w:val="1"/>
      <w:marLeft w:val="0"/>
      <w:marRight w:val="0"/>
      <w:marTop w:val="0"/>
      <w:marBottom w:val="0"/>
      <w:divBdr>
        <w:top w:val="none" w:sz="0" w:space="0" w:color="auto"/>
        <w:left w:val="none" w:sz="0" w:space="0" w:color="auto"/>
        <w:bottom w:val="none" w:sz="0" w:space="0" w:color="auto"/>
        <w:right w:val="none" w:sz="0" w:space="0" w:color="auto"/>
      </w:divBdr>
    </w:div>
    <w:div w:id="1311714377">
      <w:bodyDiv w:val="1"/>
      <w:marLeft w:val="0"/>
      <w:marRight w:val="0"/>
      <w:marTop w:val="0"/>
      <w:marBottom w:val="0"/>
      <w:divBdr>
        <w:top w:val="none" w:sz="0" w:space="0" w:color="auto"/>
        <w:left w:val="none" w:sz="0" w:space="0" w:color="auto"/>
        <w:bottom w:val="none" w:sz="0" w:space="0" w:color="auto"/>
        <w:right w:val="none" w:sz="0" w:space="0" w:color="auto"/>
      </w:divBdr>
    </w:div>
    <w:div w:id="1565489516">
      <w:bodyDiv w:val="1"/>
      <w:marLeft w:val="0"/>
      <w:marRight w:val="0"/>
      <w:marTop w:val="0"/>
      <w:marBottom w:val="0"/>
      <w:divBdr>
        <w:top w:val="none" w:sz="0" w:space="0" w:color="auto"/>
        <w:left w:val="none" w:sz="0" w:space="0" w:color="auto"/>
        <w:bottom w:val="none" w:sz="0" w:space="0" w:color="auto"/>
        <w:right w:val="none" w:sz="0" w:space="0" w:color="auto"/>
      </w:divBdr>
    </w:div>
    <w:div w:id="1584486415">
      <w:bodyDiv w:val="1"/>
      <w:marLeft w:val="0"/>
      <w:marRight w:val="0"/>
      <w:marTop w:val="0"/>
      <w:marBottom w:val="0"/>
      <w:divBdr>
        <w:top w:val="none" w:sz="0" w:space="0" w:color="auto"/>
        <w:left w:val="none" w:sz="0" w:space="0" w:color="auto"/>
        <w:bottom w:val="none" w:sz="0" w:space="0" w:color="auto"/>
        <w:right w:val="none" w:sz="0" w:space="0" w:color="auto"/>
      </w:divBdr>
    </w:div>
    <w:div w:id="1682774844">
      <w:bodyDiv w:val="1"/>
      <w:marLeft w:val="0"/>
      <w:marRight w:val="0"/>
      <w:marTop w:val="0"/>
      <w:marBottom w:val="0"/>
      <w:divBdr>
        <w:top w:val="none" w:sz="0" w:space="0" w:color="auto"/>
        <w:left w:val="none" w:sz="0" w:space="0" w:color="auto"/>
        <w:bottom w:val="none" w:sz="0" w:space="0" w:color="auto"/>
        <w:right w:val="none" w:sz="0" w:space="0" w:color="auto"/>
      </w:divBdr>
    </w:div>
    <w:div w:id="20948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consumeraffairs.state.nj.us/public-charity-search-results/" TargetMode="External"/><Relationship Id="rId3" Type="http://schemas.openxmlformats.org/officeDocument/2006/relationships/settings" Target="settings.xml"/><Relationship Id="rId7" Type="http://schemas.openxmlformats.org/officeDocument/2006/relationships/hyperlink" Target="http://www.state.nj.us/cgi-bin/treas/revenue/debarsearch.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e.nj.us/treasury/purchase/vendor.shtml" TargetMode="External"/><Relationship Id="rId5" Type="http://schemas.openxmlformats.org/officeDocument/2006/relationships/hyperlink" Target="http://www.sam.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Dafis</dc:creator>
  <cp:keywords/>
  <dc:description/>
  <cp:lastModifiedBy>Dean Dafis</cp:lastModifiedBy>
  <cp:revision>2</cp:revision>
  <dcterms:created xsi:type="dcterms:W3CDTF">2021-10-31T22:50:00Z</dcterms:created>
  <dcterms:modified xsi:type="dcterms:W3CDTF">2021-10-31T22:50:00Z</dcterms:modified>
</cp:coreProperties>
</file>