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622450" w:displacedByCustomXml="next"/>
    <w:bookmarkEnd w:id="0" w:displacedByCustomXml="next"/>
    <w:sdt>
      <w:sdtPr>
        <w:rPr>
          <w:rFonts w:eastAsiaTheme="minorEastAsia"/>
          <w:color w:val="4F81BD" w:themeColor="accent1"/>
        </w:rPr>
        <w:id w:val="-1913614795"/>
        <w:docPartObj>
          <w:docPartGallery w:val="Cover Pages"/>
          <w:docPartUnique/>
        </w:docPartObj>
      </w:sdtPr>
      <w:sdtEndPr>
        <w:rPr>
          <w:rFonts w:ascii="Times New Roman"/>
          <w:b/>
          <w:color w:val="auto"/>
          <w:spacing w:val="-1"/>
          <w:sz w:val="36"/>
        </w:rPr>
      </w:sdtEndPr>
      <w:sdtContent>
        <w:p w14:paraId="4BBFF66D" w14:textId="77777777" w:rsidR="00AA537B" w:rsidRDefault="00AA537B" w:rsidP="00AA537B">
          <w:pPr>
            <w:spacing w:before="49"/>
            <w:ind w:left="107" w:right="105"/>
            <w:jc w:val="center"/>
            <w:rPr>
              <w:rFonts w:eastAsiaTheme="minorEastAsia"/>
              <w:color w:val="4F81BD" w:themeColor="accent1"/>
            </w:rPr>
          </w:pPr>
        </w:p>
        <w:p w14:paraId="093DEE60" w14:textId="77777777" w:rsidR="00AA537B" w:rsidRDefault="00AA537B" w:rsidP="00AA537B">
          <w:pPr>
            <w:spacing w:before="49"/>
            <w:ind w:left="107" w:right="105"/>
            <w:jc w:val="center"/>
            <w:rPr>
              <w:rFonts w:eastAsiaTheme="minorEastAsia"/>
              <w:color w:val="4F81BD" w:themeColor="accent1"/>
            </w:rPr>
          </w:pPr>
        </w:p>
        <w:p w14:paraId="64D87764" w14:textId="1E5DA2DE" w:rsidR="00B518EC" w:rsidRDefault="00B518EC" w:rsidP="00AA537B">
          <w:pPr>
            <w:spacing w:before="49"/>
            <w:ind w:left="107" w:right="105"/>
            <w:jc w:val="center"/>
            <w:rPr>
              <w:rFonts w:ascii="Times New Roman"/>
              <w:b/>
              <w:spacing w:val="-1"/>
              <w:sz w:val="40"/>
            </w:rPr>
          </w:pPr>
          <w:r>
            <w:rPr>
              <w:rFonts w:ascii="Times New Roman"/>
              <w:b/>
              <w:spacing w:val="-1"/>
              <w:sz w:val="40"/>
            </w:rPr>
            <w:t xml:space="preserve">STATE </w:t>
          </w:r>
          <w:r>
            <w:rPr>
              <w:rFonts w:ascii="Times New Roman"/>
              <w:b/>
              <w:sz w:val="40"/>
            </w:rPr>
            <w:t>OF</w:t>
          </w:r>
          <w:r>
            <w:rPr>
              <w:rFonts w:ascii="Times New Roman"/>
              <w:b/>
              <w:spacing w:val="-2"/>
              <w:sz w:val="40"/>
            </w:rPr>
            <w:t xml:space="preserve"> </w:t>
          </w:r>
          <w:r>
            <w:rPr>
              <w:rFonts w:ascii="Times New Roman"/>
              <w:b/>
              <w:spacing w:val="-1"/>
              <w:sz w:val="40"/>
            </w:rPr>
            <w:t>NEW</w:t>
          </w:r>
          <w:r>
            <w:rPr>
              <w:rFonts w:ascii="Times New Roman"/>
              <w:b/>
              <w:sz w:val="40"/>
            </w:rPr>
            <w:t xml:space="preserve"> </w:t>
          </w:r>
          <w:r>
            <w:rPr>
              <w:rFonts w:ascii="Times New Roman"/>
              <w:b/>
              <w:spacing w:val="-1"/>
              <w:sz w:val="40"/>
            </w:rPr>
            <w:t>JERSEY</w:t>
          </w:r>
        </w:p>
        <w:p w14:paraId="5F691297" w14:textId="77777777" w:rsidR="00B518EC" w:rsidRDefault="00B518EC" w:rsidP="00AA537B">
          <w:pPr>
            <w:pStyle w:val="Heading1"/>
            <w:ind w:left="1170" w:right="1042"/>
            <w:jc w:val="center"/>
            <w:rPr>
              <w:b w:val="0"/>
              <w:bCs w:val="0"/>
            </w:rPr>
          </w:pPr>
          <w:bookmarkStart w:id="1" w:name="_Toc113629370"/>
          <w:r>
            <w:rPr>
              <w:spacing w:val="-1"/>
            </w:rPr>
            <w:t xml:space="preserve">DEPARTMENT </w:t>
          </w:r>
          <w:r>
            <w:t>OF</w:t>
          </w:r>
          <w:r>
            <w:rPr>
              <w:spacing w:val="-2"/>
            </w:rPr>
            <w:t xml:space="preserve"> COMMUNITY</w:t>
          </w:r>
          <w:r>
            <w:rPr>
              <w:spacing w:val="1"/>
            </w:rPr>
            <w:t xml:space="preserve"> </w:t>
          </w:r>
          <w:r>
            <w:rPr>
              <w:spacing w:val="-2"/>
            </w:rPr>
            <w:t>AFFAIRS</w:t>
          </w:r>
          <w:bookmarkEnd w:id="1"/>
        </w:p>
        <w:p w14:paraId="5CFB0DD6" w14:textId="51B3D024" w:rsidR="00B518EC" w:rsidRDefault="00B518EC" w:rsidP="00AA537B">
          <w:pPr>
            <w:spacing w:before="49"/>
            <w:ind w:left="107" w:right="105"/>
            <w:jc w:val="center"/>
            <w:rPr>
              <w:rFonts w:ascii="Times New Roman"/>
              <w:b/>
              <w:spacing w:val="-1"/>
              <w:sz w:val="40"/>
            </w:rPr>
          </w:pPr>
          <w:r>
            <w:rPr>
              <w:rFonts w:ascii="Times New Roman"/>
              <w:b/>
              <w:spacing w:val="-1"/>
              <w:sz w:val="40"/>
            </w:rPr>
            <w:t>Disaster Recovery &amp; Mitigation</w:t>
          </w:r>
        </w:p>
        <w:p w14:paraId="264EA28F" w14:textId="77777777" w:rsidR="00B518EC" w:rsidRDefault="00B518EC" w:rsidP="00EA361A">
          <w:pPr>
            <w:spacing w:before="11"/>
            <w:jc w:val="center"/>
            <w:rPr>
              <w:rFonts w:ascii="Times New Roman" w:eastAsia="Times New Roman" w:hAnsi="Times New Roman" w:cs="Times New Roman"/>
              <w:b/>
              <w:bCs/>
              <w:sz w:val="35"/>
              <w:szCs w:val="35"/>
            </w:rPr>
          </w:pPr>
        </w:p>
        <w:p w14:paraId="31BF1D4B" w14:textId="64060263" w:rsidR="00B518EC" w:rsidRDefault="009E363C" w:rsidP="00AA537B">
          <w:pPr>
            <w:ind w:right="1042"/>
            <w:rPr>
              <w:rFonts w:ascii="Times New Roman"/>
              <w:spacing w:val="-1"/>
              <w:sz w:val="32"/>
              <w:szCs w:val="32"/>
            </w:rPr>
          </w:pPr>
          <w:r>
            <w:rPr>
              <w:rFonts w:ascii="Times New Roman"/>
              <w:spacing w:val="-1"/>
              <w:sz w:val="32"/>
              <w:szCs w:val="32"/>
            </w:rPr>
            <w:t xml:space="preserve"> </w:t>
          </w:r>
          <w:r w:rsidR="00AA537B">
            <w:rPr>
              <w:rFonts w:ascii="Times New Roman"/>
              <w:spacing w:val="-1"/>
              <w:sz w:val="32"/>
              <w:szCs w:val="32"/>
            </w:rPr>
            <w:t xml:space="preserve">         </w:t>
          </w:r>
          <w:r w:rsidR="00B518EC">
            <w:rPr>
              <w:rFonts w:ascii="Times New Roman"/>
              <w:spacing w:val="-1"/>
              <w:sz w:val="32"/>
              <w:szCs w:val="32"/>
            </w:rPr>
            <w:t>Governor</w:t>
          </w:r>
          <w:r w:rsidR="00B518EC" w:rsidRPr="00280947">
            <w:rPr>
              <w:rFonts w:ascii="Times New Roman"/>
              <w:sz w:val="32"/>
              <w:szCs w:val="32"/>
            </w:rPr>
            <w:t xml:space="preserve"> </w:t>
          </w:r>
          <w:r w:rsidR="00B518EC" w:rsidRPr="00280947">
            <w:rPr>
              <w:rFonts w:ascii="Times New Roman"/>
              <w:spacing w:val="-2"/>
              <w:sz w:val="32"/>
              <w:szCs w:val="32"/>
            </w:rPr>
            <w:t>Philip</w:t>
          </w:r>
          <w:r w:rsidR="00B518EC" w:rsidRPr="00280947">
            <w:rPr>
              <w:rFonts w:ascii="Times New Roman"/>
              <w:spacing w:val="2"/>
              <w:sz w:val="32"/>
              <w:szCs w:val="32"/>
            </w:rPr>
            <w:t xml:space="preserve"> </w:t>
          </w:r>
          <w:r w:rsidR="00B518EC" w:rsidRPr="00280947">
            <w:rPr>
              <w:rFonts w:ascii="Times New Roman"/>
              <w:spacing w:val="-1"/>
              <w:sz w:val="32"/>
              <w:szCs w:val="32"/>
            </w:rPr>
            <w:t>Murphy</w:t>
          </w:r>
          <w:r w:rsidR="00B518EC">
            <w:rPr>
              <w:rFonts w:ascii="Times New Roman"/>
              <w:spacing w:val="-1"/>
              <w:sz w:val="32"/>
              <w:szCs w:val="32"/>
            </w:rPr>
            <w:t xml:space="preserve">                 </w:t>
          </w:r>
          <w:r>
            <w:rPr>
              <w:rFonts w:ascii="Times New Roman"/>
              <w:spacing w:val="-1"/>
              <w:sz w:val="32"/>
              <w:szCs w:val="32"/>
            </w:rPr>
            <w:t xml:space="preserve"> </w:t>
          </w:r>
          <w:r w:rsidR="00B518EC">
            <w:rPr>
              <w:rFonts w:ascii="Times New Roman"/>
              <w:spacing w:val="-1"/>
              <w:sz w:val="32"/>
              <w:szCs w:val="32"/>
            </w:rPr>
            <w:t xml:space="preserve">Lt. </w:t>
          </w:r>
          <w:r w:rsidR="00B518EC" w:rsidRPr="00280947">
            <w:rPr>
              <w:rFonts w:ascii="Times New Roman"/>
              <w:spacing w:val="-2"/>
              <w:sz w:val="32"/>
              <w:szCs w:val="32"/>
            </w:rPr>
            <w:t>Governor</w:t>
          </w:r>
          <w:r w:rsidR="00B518EC" w:rsidRPr="00280947">
            <w:rPr>
              <w:rFonts w:ascii="Times New Roman"/>
              <w:spacing w:val="-1"/>
              <w:sz w:val="40"/>
            </w:rPr>
            <w:t xml:space="preserve"> </w:t>
          </w:r>
          <w:r w:rsidR="00B518EC" w:rsidRPr="00280947">
            <w:rPr>
              <w:rFonts w:ascii="Times New Roman"/>
              <w:spacing w:val="-2"/>
              <w:sz w:val="32"/>
              <w:szCs w:val="32"/>
            </w:rPr>
            <w:t>Sheila</w:t>
          </w:r>
          <w:r w:rsidR="00B518EC" w:rsidRPr="00280947">
            <w:rPr>
              <w:rFonts w:ascii="Times New Roman"/>
              <w:sz w:val="32"/>
              <w:szCs w:val="32"/>
            </w:rPr>
            <w:t xml:space="preserve"> Y.</w:t>
          </w:r>
          <w:r w:rsidR="00B518EC" w:rsidRPr="00280947">
            <w:rPr>
              <w:rFonts w:ascii="Times New Roman"/>
              <w:spacing w:val="-1"/>
              <w:sz w:val="32"/>
              <w:szCs w:val="32"/>
            </w:rPr>
            <w:t xml:space="preserve"> Oliver</w:t>
          </w:r>
        </w:p>
        <w:p w14:paraId="0BD39BD1" w14:textId="484769CC" w:rsidR="00B518EC" w:rsidRDefault="00B518EC" w:rsidP="00B518EC">
          <w:pPr>
            <w:spacing w:before="11"/>
            <w:rPr>
              <w:rFonts w:ascii="Times New Roman" w:eastAsia="Times New Roman" w:hAnsi="Times New Roman" w:cs="Times New Roman"/>
              <w:b/>
              <w:bCs/>
              <w:sz w:val="35"/>
              <w:szCs w:val="35"/>
            </w:rPr>
          </w:pPr>
        </w:p>
        <w:p w14:paraId="23D04F0C" w14:textId="2846ED54" w:rsidR="00720214" w:rsidRDefault="00720214" w:rsidP="00B518EC">
          <w:pPr>
            <w:spacing w:before="11"/>
            <w:rPr>
              <w:rFonts w:ascii="Times New Roman" w:eastAsia="Times New Roman" w:hAnsi="Times New Roman" w:cs="Times New Roman"/>
              <w:b/>
              <w:bCs/>
              <w:sz w:val="35"/>
              <w:szCs w:val="35"/>
            </w:rPr>
          </w:pPr>
        </w:p>
        <w:p w14:paraId="500D6509" w14:textId="53375885" w:rsidR="00B518EC" w:rsidRDefault="00B518EC" w:rsidP="00AA537B">
          <w:pPr>
            <w:pStyle w:val="Heading1"/>
            <w:tabs>
              <w:tab w:val="left" w:pos="8010"/>
            </w:tabs>
            <w:spacing w:before="21"/>
            <w:ind w:left="1800" w:right="130"/>
            <w:rPr>
              <w:b w:val="0"/>
              <w:bCs w:val="0"/>
            </w:rPr>
          </w:pPr>
          <w:bookmarkStart w:id="2" w:name="_Toc113629371"/>
          <w:r>
            <w:rPr>
              <w:spacing w:val="-1"/>
              <w:u w:val="thick" w:color="000000"/>
            </w:rPr>
            <w:t>AGENCY REQUEST FOR</w:t>
          </w:r>
          <w:r>
            <w:rPr>
              <w:spacing w:val="-4"/>
              <w:u w:val="thick" w:color="000000"/>
            </w:rPr>
            <w:t xml:space="preserve"> </w:t>
          </w:r>
          <w:r>
            <w:rPr>
              <w:spacing w:val="-1"/>
              <w:u w:val="thick" w:color="000000"/>
            </w:rPr>
            <w:t>QUOTE</w:t>
          </w:r>
          <w:bookmarkEnd w:id="2"/>
        </w:p>
        <w:p w14:paraId="2CE9E862" w14:textId="77777777" w:rsidR="00B518EC" w:rsidRDefault="00B518EC" w:rsidP="00B518EC">
          <w:pPr>
            <w:spacing w:before="8"/>
            <w:rPr>
              <w:rFonts w:ascii="Times New Roman" w:eastAsia="Times New Roman" w:hAnsi="Times New Roman" w:cs="Times New Roman"/>
              <w:b/>
              <w:bCs/>
              <w:sz w:val="27"/>
              <w:szCs w:val="27"/>
            </w:rPr>
          </w:pPr>
        </w:p>
        <w:p w14:paraId="2484B079" w14:textId="77777777" w:rsidR="00B518EC" w:rsidRDefault="00B518EC" w:rsidP="00B518EC">
          <w:pPr>
            <w:spacing w:before="8"/>
            <w:rPr>
              <w:rFonts w:ascii="Times New Roman" w:eastAsia="Times New Roman" w:hAnsi="Times New Roman" w:cs="Times New Roman"/>
              <w:b/>
              <w:bCs/>
              <w:sz w:val="27"/>
              <w:szCs w:val="27"/>
            </w:rPr>
          </w:pPr>
        </w:p>
        <w:p w14:paraId="00066BB5" w14:textId="2EBE6352" w:rsidR="00B518EC" w:rsidRDefault="00B518EC" w:rsidP="00AA537B">
          <w:pPr>
            <w:spacing w:before="49"/>
            <w:ind w:left="803" w:right="105"/>
            <w:rPr>
              <w:rFonts w:ascii="Times New Roman"/>
              <w:b/>
              <w:spacing w:val="-1"/>
              <w:sz w:val="40"/>
            </w:rPr>
          </w:pPr>
          <w:r>
            <w:rPr>
              <w:rFonts w:ascii="Times New Roman"/>
              <w:b/>
              <w:spacing w:val="-1"/>
              <w:sz w:val="40"/>
            </w:rPr>
            <w:t xml:space="preserve">Request for Quote (RFQ) for </w:t>
          </w:r>
          <w:r w:rsidR="006B11BD">
            <w:rPr>
              <w:rFonts w:ascii="Times New Roman"/>
              <w:b/>
              <w:spacing w:val="-1"/>
              <w:sz w:val="40"/>
            </w:rPr>
            <w:t xml:space="preserve">Grant Management </w:t>
          </w:r>
          <w:r w:rsidR="00AA537B">
            <w:rPr>
              <w:rFonts w:ascii="Times New Roman"/>
              <w:b/>
              <w:spacing w:val="-1"/>
              <w:sz w:val="40"/>
            </w:rPr>
            <w:t xml:space="preserve">     </w:t>
          </w:r>
        </w:p>
        <w:p w14:paraId="115EC198" w14:textId="4B50E396" w:rsidR="00B518EC" w:rsidRDefault="00AA537B" w:rsidP="00AA537B">
          <w:pPr>
            <w:jc w:val="center"/>
            <w:rPr>
              <w:rFonts w:ascii="Times New Roman"/>
              <w:b/>
              <w:spacing w:val="-1"/>
              <w:sz w:val="40"/>
            </w:rPr>
          </w:pPr>
          <w:r>
            <w:rPr>
              <w:rFonts w:ascii="Times New Roman"/>
              <w:b/>
              <w:spacing w:val="-1"/>
              <w:sz w:val="40"/>
            </w:rPr>
            <w:t>Consulting Services</w:t>
          </w:r>
        </w:p>
        <w:p w14:paraId="7937CEDA" w14:textId="77777777" w:rsidR="00AA537B" w:rsidRDefault="00AA537B" w:rsidP="00AA537B">
          <w:pPr>
            <w:jc w:val="center"/>
            <w:rPr>
              <w:rFonts w:ascii="Times New Roman" w:eastAsia="Times New Roman" w:hAnsi="Times New Roman" w:cs="Times New Roman"/>
              <w:sz w:val="32"/>
              <w:szCs w:val="32"/>
            </w:rPr>
          </w:pPr>
        </w:p>
        <w:p w14:paraId="2ABBABC2" w14:textId="7C83DE29" w:rsidR="001A76FB" w:rsidRDefault="001A76FB" w:rsidP="00AA537B">
          <w:pPr>
            <w:widowControl/>
            <w:spacing w:line="259" w:lineRule="auto"/>
            <w:jc w:val="center"/>
            <w:rPr>
              <w:rFonts w:ascii="Times New Roman" w:eastAsia="Calibri" w:hAnsi="Times New Roman" w:cs="Times New Roman"/>
              <w:b/>
              <w:bCs/>
              <w:sz w:val="36"/>
              <w:szCs w:val="36"/>
            </w:rPr>
          </w:pPr>
          <w:r w:rsidRPr="00A52F2D">
            <w:rPr>
              <w:rFonts w:ascii="Times New Roman" w:eastAsia="Calibri" w:hAnsi="Times New Roman" w:cs="Times New Roman"/>
              <w:b/>
              <w:bCs/>
              <w:sz w:val="36"/>
              <w:szCs w:val="36"/>
            </w:rPr>
            <w:t>Coronavirus Local Fiscal Recovery Fund</w:t>
          </w:r>
        </w:p>
        <w:p w14:paraId="69EEBC69" w14:textId="06BEE92E" w:rsidR="00AA537B" w:rsidRDefault="00AA537B" w:rsidP="00AA537B">
          <w:pPr>
            <w:widowControl/>
            <w:spacing w:line="259" w:lineRule="auto"/>
            <w:jc w:val="center"/>
            <w:rPr>
              <w:rFonts w:ascii="Times New Roman" w:eastAsia="Calibri" w:hAnsi="Times New Roman" w:cs="Times New Roman"/>
              <w:b/>
              <w:bCs/>
              <w:sz w:val="36"/>
              <w:szCs w:val="36"/>
            </w:rPr>
          </w:pPr>
        </w:p>
        <w:p w14:paraId="650445CD" w14:textId="72A0409E" w:rsidR="00AA537B" w:rsidRDefault="00AA537B" w:rsidP="00AA537B">
          <w:pPr>
            <w:widowControl/>
            <w:spacing w:line="259" w:lineRule="auto"/>
            <w:jc w:val="center"/>
            <w:rPr>
              <w:rFonts w:ascii="Times New Roman" w:eastAsia="Calibri" w:hAnsi="Times New Roman" w:cs="Times New Roman"/>
              <w:b/>
              <w:bCs/>
              <w:sz w:val="36"/>
              <w:szCs w:val="36"/>
            </w:rPr>
          </w:pPr>
        </w:p>
        <w:p w14:paraId="67C698FC" w14:textId="6BD5AC8F" w:rsidR="00AA537B" w:rsidRPr="00A52F2D" w:rsidRDefault="00AA537B" w:rsidP="00AA537B">
          <w:pPr>
            <w:widowControl/>
            <w:spacing w:line="259" w:lineRule="auto"/>
            <w:jc w:val="center"/>
            <w:rPr>
              <w:rFonts w:ascii="Times New Roman" w:eastAsia="Calibri" w:hAnsi="Times New Roman" w:cs="Times New Roman"/>
              <w:b/>
              <w:bCs/>
              <w:sz w:val="36"/>
              <w:szCs w:val="36"/>
            </w:rPr>
          </w:pPr>
          <w:r w:rsidRPr="00182D80">
            <w:rPr>
              <w:noProof/>
            </w:rPr>
            <w:drawing>
              <wp:anchor distT="0" distB="0" distL="114300" distR="114300" simplePos="0" relativeHeight="251661312" behindDoc="0" locked="0" layoutInCell="1" allowOverlap="1" wp14:anchorId="5741F364" wp14:editId="065C7555">
                <wp:simplePos x="0" y="0"/>
                <wp:positionH relativeFrom="page">
                  <wp:align>center</wp:align>
                </wp:positionH>
                <wp:positionV relativeFrom="margin">
                  <wp:posOffset>4950006</wp:posOffset>
                </wp:positionV>
                <wp:extent cx="2651125" cy="1635760"/>
                <wp:effectExtent l="0" t="0" r="0" b="2540"/>
                <wp:wrapSquare wrapText="bothSides"/>
                <wp:docPr id="4" name="object 3">
                  <a:extLst xmlns:a="http://schemas.openxmlformats.org/drawingml/2006/main">
                    <a:ext uri="{FF2B5EF4-FFF2-40B4-BE49-F238E27FC236}">
                      <a16:creationId xmlns:a16="http://schemas.microsoft.com/office/drawing/2014/main" id="{E79AA801-FC78-494F-9CFC-7094AB3FC2E6}"/>
                    </a:ext>
                  </a:extLst>
                </wp:docPr>
                <wp:cNvGraphicFramePr/>
                <a:graphic xmlns:a="http://schemas.openxmlformats.org/drawingml/2006/main">
                  <a:graphicData uri="http://schemas.openxmlformats.org/drawingml/2006/picture">
                    <pic:pic xmlns:pic="http://schemas.openxmlformats.org/drawingml/2006/picture">
                      <pic:nvPicPr>
                        <pic:cNvPr id="4" name="object 3">
                          <a:extLst>
                            <a:ext uri="{FF2B5EF4-FFF2-40B4-BE49-F238E27FC236}">
                              <a16:creationId xmlns:a16="http://schemas.microsoft.com/office/drawing/2014/main" id="{E79AA801-FC78-494F-9CFC-7094AB3FC2E6}"/>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1125" cy="1635760"/>
                        </a:xfrm>
                        <a:prstGeom prst="rect">
                          <a:avLst/>
                        </a:prstGeom>
                      </pic:spPr>
                    </pic:pic>
                  </a:graphicData>
                </a:graphic>
                <wp14:sizeRelH relativeFrom="margin">
                  <wp14:pctWidth>0</wp14:pctWidth>
                </wp14:sizeRelH>
                <wp14:sizeRelV relativeFrom="margin">
                  <wp14:pctHeight>0</wp14:pctHeight>
                </wp14:sizeRelV>
              </wp:anchor>
            </w:drawing>
          </w:r>
        </w:p>
        <w:p w14:paraId="7B359897" w14:textId="097D52A3" w:rsidR="00B518EC" w:rsidRDefault="00B518EC" w:rsidP="00B518EC">
          <w:pPr>
            <w:spacing w:before="11"/>
            <w:rPr>
              <w:rFonts w:ascii="Times New Roman" w:eastAsia="Times New Roman" w:hAnsi="Times New Roman" w:cs="Times New Roman"/>
              <w:b/>
              <w:bCs/>
              <w:sz w:val="35"/>
              <w:szCs w:val="35"/>
            </w:rPr>
          </w:pPr>
        </w:p>
        <w:p w14:paraId="27D7FCFA" w14:textId="475FFC0A" w:rsidR="00AA537B" w:rsidRDefault="00AA537B" w:rsidP="00B518EC">
          <w:pPr>
            <w:spacing w:before="11"/>
            <w:rPr>
              <w:rFonts w:ascii="Times New Roman" w:eastAsia="Times New Roman" w:hAnsi="Times New Roman" w:cs="Times New Roman"/>
              <w:b/>
              <w:bCs/>
              <w:sz w:val="35"/>
              <w:szCs w:val="35"/>
            </w:rPr>
          </w:pPr>
        </w:p>
        <w:p w14:paraId="4854E938" w14:textId="77777777" w:rsidR="00AA537B" w:rsidRDefault="00AA537B" w:rsidP="00B518EC">
          <w:pPr>
            <w:spacing w:before="11"/>
            <w:rPr>
              <w:rFonts w:ascii="Times New Roman" w:eastAsia="Times New Roman" w:hAnsi="Times New Roman" w:cs="Times New Roman"/>
              <w:b/>
              <w:bCs/>
              <w:sz w:val="35"/>
              <w:szCs w:val="35"/>
            </w:rPr>
          </w:pPr>
        </w:p>
        <w:p w14:paraId="1EF5663D" w14:textId="77777777" w:rsidR="00AA537B" w:rsidRDefault="00AA537B" w:rsidP="00B518EC">
          <w:pPr>
            <w:spacing w:before="11"/>
            <w:rPr>
              <w:rFonts w:ascii="Times New Roman" w:eastAsia="Times New Roman" w:hAnsi="Times New Roman" w:cs="Times New Roman"/>
              <w:b/>
              <w:bCs/>
              <w:sz w:val="35"/>
              <w:szCs w:val="35"/>
            </w:rPr>
          </w:pPr>
        </w:p>
        <w:p w14:paraId="522BE570" w14:textId="0AB4963C" w:rsidR="00B518EC" w:rsidRDefault="00B518EC" w:rsidP="00B518EC">
          <w:pPr>
            <w:rPr>
              <w:rFonts w:ascii="Times New Roman" w:eastAsia="Times New Roman" w:hAnsi="Times New Roman" w:cs="Times New Roman"/>
              <w:sz w:val="20"/>
              <w:szCs w:val="20"/>
            </w:rPr>
          </w:pPr>
        </w:p>
        <w:p w14:paraId="790DE8CE" w14:textId="689A20F9" w:rsidR="00B518EC" w:rsidRDefault="00B518EC" w:rsidP="00B518EC">
          <w:pPr>
            <w:rPr>
              <w:rFonts w:ascii="Times New Roman" w:eastAsia="Times New Roman" w:hAnsi="Times New Roman" w:cs="Times New Roman"/>
              <w:sz w:val="20"/>
              <w:szCs w:val="20"/>
            </w:rPr>
          </w:pPr>
        </w:p>
        <w:p w14:paraId="25A90EFD" w14:textId="297C9130" w:rsidR="00B518EC" w:rsidRDefault="00B518EC" w:rsidP="00DD0930">
          <w:pPr>
            <w:jc w:val="center"/>
            <w:rPr>
              <w:rFonts w:ascii="Times New Roman" w:eastAsia="Times New Roman" w:hAnsi="Times New Roman" w:cs="Times New Roman"/>
              <w:sz w:val="20"/>
              <w:szCs w:val="20"/>
            </w:rPr>
          </w:pPr>
        </w:p>
        <w:p w14:paraId="61B0C5F7" w14:textId="2CCDBCED" w:rsidR="00B518EC" w:rsidRDefault="00B518EC" w:rsidP="00B518EC">
          <w:pPr>
            <w:rPr>
              <w:rFonts w:ascii="Times New Roman" w:eastAsia="Times New Roman" w:hAnsi="Times New Roman" w:cs="Times New Roman"/>
              <w:sz w:val="20"/>
              <w:szCs w:val="20"/>
            </w:rPr>
          </w:pPr>
        </w:p>
        <w:p w14:paraId="55A78E90" w14:textId="37F2E104" w:rsidR="00B518EC" w:rsidRDefault="00B518EC" w:rsidP="00B518EC">
          <w:pPr>
            <w:spacing w:before="11"/>
            <w:rPr>
              <w:rFonts w:ascii="Times New Roman" w:eastAsia="Times New Roman" w:hAnsi="Times New Roman" w:cs="Times New Roman"/>
              <w:sz w:val="19"/>
              <w:szCs w:val="19"/>
            </w:rPr>
          </w:pPr>
        </w:p>
        <w:p w14:paraId="797C5CD5" w14:textId="77777777" w:rsidR="00EA361A" w:rsidRDefault="00EA361A" w:rsidP="00DD0930">
          <w:pPr>
            <w:pStyle w:val="Heading2"/>
            <w:spacing w:before="0"/>
            <w:ind w:left="1043" w:right="729" w:firstLine="0"/>
            <w:jc w:val="center"/>
          </w:pPr>
        </w:p>
        <w:p w14:paraId="787168B4" w14:textId="77777777" w:rsidR="00EA361A" w:rsidRDefault="00EA361A" w:rsidP="00DD0930">
          <w:pPr>
            <w:pStyle w:val="Heading2"/>
            <w:spacing w:before="0"/>
            <w:ind w:left="1043" w:right="729" w:firstLine="0"/>
            <w:jc w:val="center"/>
          </w:pPr>
        </w:p>
        <w:p w14:paraId="3FBCF436" w14:textId="77777777" w:rsidR="00F44773" w:rsidRDefault="00AA537B" w:rsidP="00AA537B">
          <w:pPr>
            <w:pStyle w:val="Heading2"/>
            <w:tabs>
              <w:tab w:val="left" w:pos="4050"/>
              <w:tab w:val="left" w:pos="4140"/>
            </w:tabs>
            <w:spacing w:before="0"/>
            <w:ind w:left="1043" w:right="729" w:firstLine="0"/>
          </w:pPr>
          <w:r>
            <w:t xml:space="preserve">                                   </w:t>
          </w:r>
        </w:p>
        <w:p w14:paraId="4B743B08" w14:textId="4EF19DFF" w:rsidR="00B518EC" w:rsidRDefault="00F44773" w:rsidP="00AA537B">
          <w:pPr>
            <w:pStyle w:val="Heading2"/>
            <w:tabs>
              <w:tab w:val="left" w:pos="4050"/>
              <w:tab w:val="left" w:pos="4140"/>
            </w:tabs>
            <w:spacing w:before="0"/>
            <w:ind w:left="1043" w:right="729" w:firstLine="0"/>
            <w:rPr>
              <w:b w:val="0"/>
              <w:bCs w:val="0"/>
            </w:rPr>
          </w:pPr>
          <w:r>
            <w:tab/>
          </w:r>
          <w:bookmarkStart w:id="3" w:name="_Toc113629372"/>
          <w:r w:rsidR="00A52F2D">
            <w:t>September</w:t>
          </w:r>
          <w:r w:rsidR="00B518EC">
            <w:t xml:space="preserve"> 2022</w:t>
          </w:r>
          <w:bookmarkEnd w:id="3"/>
        </w:p>
        <w:p w14:paraId="41773E79" w14:textId="5C4D72AB" w:rsidR="00B518EC" w:rsidRDefault="00B518EC" w:rsidP="00C44823">
          <w:pPr>
            <w:pStyle w:val="NoSpacing"/>
            <w:spacing w:before="480"/>
            <w:jc w:val="center"/>
            <w:rPr>
              <w:rFonts w:ascii="Times New Roman"/>
              <w:b/>
              <w:spacing w:val="-1"/>
              <w:sz w:val="36"/>
            </w:rPr>
          </w:pPr>
          <w:r>
            <w:rPr>
              <w:noProof/>
              <w:color w:val="4F81BD" w:themeColor="accent1"/>
            </w:rPr>
            <mc:AlternateContent>
              <mc:Choice Requires="wps">
                <w:drawing>
                  <wp:anchor distT="0" distB="0" distL="114300" distR="114300" simplePos="0" relativeHeight="251659264" behindDoc="0" locked="0" layoutInCell="1" allowOverlap="1" wp14:anchorId="47976DFB" wp14:editId="1762FEC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1C08D83" w14:textId="7C53E8FD" w:rsidR="00B518EC" w:rsidRDefault="00C44823">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1301B3C2" w14:textId="3019DAE0" w:rsidR="00B518EC" w:rsidRDefault="0047717E">
                                <w:pPr>
                                  <w:pStyle w:val="NoSpacing"/>
                                  <w:jc w:val="center"/>
                                  <w:rPr>
                                    <w:color w:val="4F81BD" w:themeColor="accent1"/>
                                  </w:rPr>
                                </w:pPr>
                                <w:sdt>
                                  <w:sdtPr>
                                    <w:rPr>
                                      <w:caps/>
                                      <w:color w:val="4F81BD"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C44823">
                                      <w:rPr>
                                        <w:caps/>
                                        <w:color w:val="4F81BD" w:themeColor="accent1"/>
                                      </w:rPr>
                                      <w:t xml:space="preserve">     </w:t>
                                    </w:r>
                                  </w:sdtContent>
                                </w:sdt>
                              </w:p>
                              <w:p w14:paraId="4359D2CC" w14:textId="5FB0318A" w:rsidR="00B518EC" w:rsidRDefault="0047717E">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44823">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7976DFB"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1C08D83" w14:textId="7C53E8FD" w:rsidR="00B518EC" w:rsidRDefault="00C44823">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1301B3C2" w14:textId="3019DAE0" w:rsidR="00B518EC" w:rsidRDefault="0047717E">
                          <w:pPr>
                            <w:pStyle w:val="NoSpacing"/>
                            <w:jc w:val="center"/>
                            <w:rPr>
                              <w:color w:val="4F81BD" w:themeColor="accent1"/>
                            </w:rPr>
                          </w:pPr>
                          <w:sdt>
                            <w:sdtPr>
                              <w:rPr>
                                <w:caps/>
                                <w:color w:val="4F81BD"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C44823">
                                <w:rPr>
                                  <w:caps/>
                                  <w:color w:val="4F81BD" w:themeColor="accent1"/>
                                </w:rPr>
                                <w:t xml:space="preserve">     </w:t>
                              </w:r>
                            </w:sdtContent>
                          </w:sdt>
                        </w:p>
                        <w:p w14:paraId="4359D2CC" w14:textId="5FB0318A" w:rsidR="00B518EC" w:rsidRDefault="0047717E">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44823">
                                <w:rPr>
                                  <w:color w:val="4F81BD" w:themeColor="accent1"/>
                                </w:rPr>
                                <w:t xml:space="preserve">     </w:t>
                              </w:r>
                            </w:sdtContent>
                          </w:sdt>
                        </w:p>
                      </w:txbxContent>
                    </v:textbox>
                    <w10:wrap anchorx="margin" anchory="page"/>
                  </v:shape>
                </w:pict>
              </mc:Fallback>
            </mc:AlternateContent>
          </w:r>
        </w:p>
      </w:sdtContent>
    </w:sdt>
    <w:p w14:paraId="2932BD8D" w14:textId="77777777" w:rsidR="00F44773" w:rsidRDefault="00F44773">
      <w:pPr>
        <w:spacing w:before="53" w:line="414" w:lineRule="exact"/>
        <w:ind w:right="61"/>
        <w:jc w:val="center"/>
        <w:rPr>
          <w:rFonts w:ascii="Times New Roman"/>
          <w:b/>
          <w:spacing w:val="-1"/>
          <w:sz w:val="36"/>
        </w:rPr>
      </w:pPr>
    </w:p>
    <w:p w14:paraId="1D9D4D23" w14:textId="3969C18B" w:rsidR="001633CF" w:rsidRDefault="001C2885">
      <w:pPr>
        <w:spacing w:before="53" w:line="414" w:lineRule="exact"/>
        <w:ind w:right="61"/>
        <w:jc w:val="center"/>
        <w:rPr>
          <w:rFonts w:ascii="Times New Roman" w:eastAsia="Times New Roman" w:hAnsi="Times New Roman" w:cs="Times New Roman"/>
          <w:sz w:val="36"/>
          <w:szCs w:val="36"/>
        </w:rPr>
      </w:pPr>
      <w:r>
        <w:rPr>
          <w:rFonts w:ascii="Times New Roman"/>
          <w:b/>
          <w:spacing w:val="-1"/>
          <w:sz w:val="36"/>
        </w:rPr>
        <w:t>TABLE</w:t>
      </w:r>
      <w:r>
        <w:rPr>
          <w:rFonts w:ascii="Times New Roman"/>
          <w:b/>
          <w:spacing w:val="-7"/>
          <w:sz w:val="36"/>
        </w:rPr>
        <w:t xml:space="preserve"> </w:t>
      </w:r>
      <w:r>
        <w:rPr>
          <w:rFonts w:ascii="Times New Roman"/>
          <w:b/>
          <w:sz w:val="36"/>
        </w:rPr>
        <w:t>OF</w:t>
      </w:r>
      <w:r>
        <w:rPr>
          <w:rFonts w:ascii="Times New Roman"/>
          <w:b/>
          <w:spacing w:val="-6"/>
          <w:sz w:val="36"/>
        </w:rPr>
        <w:t xml:space="preserve"> </w:t>
      </w:r>
      <w:r>
        <w:rPr>
          <w:rFonts w:ascii="Times New Roman"/>
          <w:b/>
          <w:spacing w:val="-1"/>
          <w:sz w:val="36"/>
        </w:rPr>
        <w:t>CONTENTS</w:t>
      </w:r>
    </w:p>
    <w:p w14:paraId="36A50677" w14:textId="77777777" w:rsidR="001633CF" w:rsidRDefault="001C2885">
      <w:pPr>
        <w:tabs>
          <w:tab w:val="left" w:pos="9359"/>
        </w:tabs>
        <w:spacing w:line="322" w:lineRule="exact"/>
        <w:jc w:val="center"/>
        <w:rPr>
          <w:rFonts w:ascii="Times New Roman" w:eastAsia="Times New Roman" w:hAnsi="Times New Roman" w:cs="Times New Roman"/>
          <w:sz w:val="28"/>
          <w:szCs w:val="28"/>
        </w:rPr>
      </w:pPr>
      <w:r>
        <w:rPr>
          <w:rFonts w:ascii="Times New Roman"/>
          <w:b/>
          <w:spacing w:val="-1"/>
          <w:sz w:val="28"/>
        </w:rPr>
        <w:t>SECTION</w:t>
      </w:r>
      <w:r>
        <w:rPr>
          <w:rFonts w:ascii="Times New Roman"/>
          <w:b/>
          <w:spacing w:val="-1"/>
          <w:sz w:val="28"/>
        </w:rPr>
        <w:tab/>
        <w:t>PAGE</w:t>
      </w:r>
    </w:p>
    <w:p w14:paraId="73F5D965" w14:textId="54DA11C8" w:rsidR="001633CF" w:rsidRDefault="00AE4509">
      <w:pPr>
        <w:spacing w:line="30" w:lineRule="atLeast"/>
        <w:ind w:left="11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6192BCE8" wp14:editId="5F04C3D8">
                <wp:extent cx="6499860" cy="19685"/>
                <wp:effectExtent l="9525" t="6985" r="5715" b="1905"/>
                <wp:docPr id="19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19685"/>
                          <a:chOff x="0" y="0"/>
                          <a:chExt cx="10236" cy="31"/>
                        </a:xfrm>
                      </wpg:grpSpPr>
                      <wpg:grpSp>
                        <wpg:cNvPr id="198" name="Group 193"/>
                        <wpg:cNvGrpSpPr>
                          <a:grpSpLocks/>
                        </wpg:cNvGrpSpPr>
                        <wpg:grpSpPr bwMode="auto">
                          <a:xfrm>
                            <a:off x="15" y="15"/>
                            <a:ext cx="10205" cy="2"/>
                            <a:chOff x="15" y="15"/>
                            <a:chExt cx="10205" cy="2"/>
                          </a:xfrm>
                        </wpg:grpSpPr>
                        <wps:wsp>
                          <wps:cNvPr id="199" name="Freeform 194"/>
                          <wps:cNvSpPr>
                            <a:spLocks/>
                          </wps:cNvSpPr>
                          <wps:spPr bwMode="auto">
                            <a:xfrm>
                              <a:off x="15" y="15"/>
                              <a:ext cx="10205" cy="2"/>
                            </a:xfrm>
                            <a:custGeom>
                              <a:avLst/>
                              <a:gdLst>
                                <a:gd name="T0" fmla="+- 0 15 15"/>
                                <a:gd name="T1" fmla="*/ T0 w 10205"/>
                                <a:gd name="T2" fmla="+- 0 10220 15"/>
                                <a:gd name="T3" fmla="*/ T2 w 10205"/>
                              </a:gdLst>
                              <a:ahLst/>
                              <a:cxnLst>
                                <a:cxn ang="0">
                                  <a:pos x="T1" y="0"/>
                                </a:cxn>
                                <a:cxn ang="0">
                                  <a:pos x="T3" y="0"/>
                                </a:cxn>
                              </a:cxnLst>
                              <a:rect l="0" t="0" r="r" b="b"/>
                              <a:pathLst>
                                <a:path w="10205">
                                  <a:moveTo>
                                    <a:pt x="0" y="0"/>
                                  </a:moveTo>
                                  <a:lnTo>
                                    <a:pt x="1020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E8B248" id="Group 192" o:spid="_x0000_s1026" style="width:511.8pt;height:1.55pt;mso-position-horizontal-relative:char;mso-position-vertical-relative:line" coordsize="102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">
                <v:group id="Group 193" o:spid="_x0000_s1027" style="position:absolute;left:15;top:15;width:10205;height:2" coordorigin="15,15"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4" o:spid="_x0000_s1028" style="position:absolute;left:15;top:15;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" path="m,l10205,e" filled="f" strokeweight="1.54pt">
                    <v:path arrowok="t" o:connecttype="custom" o:connectlocs="0,0;10205,0" o:connectangles="0,0"/>
                  </v:shape>
                </v:group>
                <w10:anchorlock/>
              </v:group>
            </w:pict>
          </mc:Fallback>
        </mc:AlternateContent>
      </w:r>
    </w:p>
    <w:p w14:paraId="39A1F38C" w14:textId="77777777" w:rsidR="001633CF" w:rsidRDefault="001633CF">
      <w:pPr>
        <w:rPr>
          <w:rFonts w:ascii="Times New Roman" w:eastAsia="Times New Roman" w:hAnsi="Times New Roman" w:cs="Times New Roman"/>
          <w:b/>
          <w:bCs/>
          <w:sz w:val="20"/>
          <w:szCs w:val="20"/>
        </w:rPr>
      </w:pPr>
    </w:p>
    <w:sdt>
      <w:sdtPr>
        <w:rPr>
          <w:rFonts w:asciiTheme="minorHAnsi" w:eastAsiaTheme="minorHAnsi" w:hAnsiTheme="minorHAnsi" w:cstheme="minorBidi"/>
          <w:color w:val="auto"/>
          <w:sz w:val="22"/>
          <w:szCs w:val="22"/>
        </w:rPr>
        <w:id w:val="1521433513"/>
        <w:docPartObj>
          <w:docPartGallery w:val="Table of Contents"/>
          <w:docPartUnique/>
        </w:docPartObj>
      </w:sdtPr>
      <w:sdtEndPr>
        <w:rPr>
          <w:b/>
          <w:bCs/>
          <w:noProof/>
        </w:rPr>
      </w:sdtEndPr>
      <w:sdtContent>
        <w:p w14:paraId="36137E7D" w14:textId="685C2534" w:rsidR="00473258" w:rsidRDefault="00473258">
          <w:pPr>
            <w:pStyle w:val="TOCHeading"/>
          </w:pPr>
        </w:p>
        <w:p w14:paraId="00C08537" w14:textId="2799B95D" w:rsidR="00F44773" w:rsidRDefault="00473258">
          <w:pPr>
            <w:pStyle w:val="TOC1"/>
            <w:tabs>
              <w:tab w:val="right" w:leader="dot" w:pos="10250"/>
            </w:tabs>
            <w:rPr>
              <w:rFonts w:asciiTheme="minorHAnsi" w:eastAsiaTheme="minorEastAsia" w:hAnsiTheme="minorHAnsi"/>
              <w:b w:val="0"/>
              <w:bCs w:val="0"/>
              <w:noProof/>
              <w:sz w:val="22"/>
              <w:szCs w:val="22"/>
            </w:rPr>
          </w:pPr>
          <w:r>
            <w:fldChar w:fldCharType="begin"/>
          </w:r>
          <w:r>
            <w:instrText xml:space="preserve"> TOC \o "1-3" \h \z \u </w:instrText>
          </w:r>
          <w:r>
            <w:fldChar w:fldCharType="separate"/>
          </w:r>
          <w:hyperlink w:anchor="_Toc113629370" w:history="1">
            <w:r w:rsidR="00F44773" w:rsidRPr="00C1128B">
              <w:rPr>
                <w:rStyle w:val="Hyperlink"/>
                <w:noProof/>
                <w:spacing w:val="-1"/>
              </w:rPr>
              <w:t xml:space="preserve">DEPARTMENT </w:t>
            </w:r>
            <w:r w:rsidR="00F44773" w:rsidRPr="00C1128B">
              <w:rPr>
                <w:rStyle w:val="Hyperlink"/>
                <w:noProof/>
              </w:rPr>
              <w:t>OF</w:t>
            </w:r>
            <w:r w:rsidR="00F44773" w:rsidRPr="00C1128B">
              <w:rPr>
                <w:rStyle w:val="Hyperlink"/>
                <w:noProof/>
                <w:spacing w:val="-2"/>
              </w:rPr>
              <w:t xml:space="preserve"> COMMUNITY</w:t>
            </w:r>
            <w:r w:rsidR="00F44773" w:rsidRPr="00C1128B">
              <w:rPr>
                <w:rStyle w:val="Hyperlink"/>
                <w:noProof/>
                <w:spacing w:val="1"/>
              </w:rPr>
              <w:t xml:space="preserve"> </w:t>
            </w:r>
            <w:r w:rsidR="00F44773" w:rsidRPr="00C1128B">
              <w:rPr>
                <w:rStyle w:val="Hyperlink"/>
                <w:noProof/>
                <w:spacing w:val="-2"/>
              </w:rPr>
              <w:t>AFFAIRS</w:t>
            </w:r>
            <w:r w:rsidR="00F44773">
              <w:rPr>
                <w:noProof/>
                <w:webHidden/>
              </w:rPr>
              <w:tab/>
            </w:r>
            <w:r w:rsidR="00F44773">
              <w:rPr>
                <w:noProof/>
                <w:webHidden/>
              </w:rPr>
              <w:fldChar w:fldCharType="begin"/>
            </w:r>
            <w:r w:rsidR="00F44773">
              <w:rPr>
                <w:noProof/>
                <w:webHidden/>
              </w:rPr>
              <w:instrText xml:space="preserve"> PAGEREF _Toc113629370 \h </w:instrText>
            </w:r>
            <w:r w:rsidR="00F44773">
              <w:rPr>
                <w:noProof/>
                <w:webHidden/>
              </w:rPr>
            </w:r>
            <w:r w:rsidR="00F44773">
              <w:rPr>
                <w:noProof/>
                <w:webHidden/>
              </w:rPr>
              <w:fldChar w:fldCharType="separate"/>
            </w:r>
            <w:r w:rsidR="00F44773">
              <w:rPr>
                <w:noProof/>
                <w:webHidden/>
              </w:rPr>
              <w:t>1</w:t>
            </w:r>
            <w:r w:rsidR="00F44773">
              <w:rPr>
                <w:noProof/>
                <w:webHidden/>
              </w:rPr>
              <w:fldChar w:fldCharType="end"/>
            </w:r>
          </w:hyperlink>
        </w:p>
        <w:p w14:paraId="74C34B98" w14:textId="3AC738D7" w:rsidR="00F44773" w:rsidRDefault="0047717E">
          <w:pPr>
            <w:pStyle w:val="TOC1"/>
            <w:tabs>
              <w:tab w:val="right" w:leader="dot" w:pos="10250"/>
            </w:tabs>
            <w:rPr>
              <w:rFonts w:asciiTheme="minorHAnsi" w:eastAsiaTheme="minorEastAsia" w:hAnsiTheme="minorHAnsi"/>
              <w:b w:val="0"/>
              <w:bCs w:val="0"/>
              <w:noProof/>
              <w:sz w:val="22"/>
              <w:szCs w:val="22"/>
            </w:rPr>
          </w:pPr>
          <w:hyperlink w:anchor="_Toc113629371" w:history="1">
            <w:r w:rsidR="00F44773" w:rsidRPr="00C1128B">
              <w:rPr>
                <w:rStyle w:val="Hyperlink"/>
                <w:noProof/>
                <w:spacing w:val="-1"/>
              </w:rPr>
              <w:t>AGENCY REQUEST FOR</w:t>
            </w:r>
            <w:r w:rsidR="00F44773" w:rsidRPr="00C1128B">
              <w:rPr>
                <w:rStyle w:val="Hyperlink"/>
                <w:noProof/>
                <w:spacing w:val="-4"/>
              </w:rPr>
              <w:t xml:space="preserve"> </w:t>
            </w:r>
            <w:r w:rsidR="00F44773" w:rsidRPr="00C1128B">
              <w:rPr>
                <w:rStyle w:val="Hyperlink"/>
                <w:noProof/>
                <w:spacing w:val="-1"/>
              </w:rPr>
              <w:t>QUOTE</w:t>
            </w:r>
            <w:r w:rsidR="00F44773">
              <w:rPr>
                <w:noProof/>
                <w:webHidden/>
              </w:rPr>
              <w:tab/>
            </w:r>
            <w:r w:rsidR="00F44773">
              <w:rPr>
                <w:noProof/>
                <w:webHidden/>
              </w:rPr>
              <w:fldChar w:fldCharType="begin"/>
            </w:r>
            <w:r w:rsidR="00F44773">
              <w:rPr>
                <w:noProof/>
                <w:webHidden/>
              </w:rPr>
              <w:instrText xml:space="preserve"> PAGEREF _Toc113629371 \h </w:instrText>
            </w:r>
            <w:r w:rsidR="00F44773">
              <w:rPr>
                <w:noProof/>
                <w:webHidden/>
              </w:rPr>
            </w:r>
            <w:r w:rsidR="00F44773">
              <w:rPr>
                <w:noProof/>
                <w:webHidden/>
              </w:rPr>
              <w:fldChar w:fldCharType="separate"/>
            </w:r>
            <w:r w:rsidR="00F44773">
              <w:rPr>
                <w:noProof/>
                <w:webHidden/>
              </w:rPr>
              <w:t>1</w:t>
            </w:r>
            <w:r w:rsidR="00F44773">
              <w:rPr>
                <w:noProof/>
                <w:webHidden/>
              </w:rPr>
              <w:fldChar w:fldCharType="end"/>
            </w:r>
          </w:hyperlink>
        </w:p>
        <w:p w14:paraId="03380467" w14:textId="2CA5AC8D" w:rsidR="00F44773" w:rsidRDefault="0047717E">
          <w:pPr>
            <w:pStyle w:val="TOC2"/>
            <w:tabs>
              <w:tab w:val="right" w:leader="dot" w:pos="10250"/>
            </w:tabs>
            <w:rPr>
              <w:rFonts w:asciiTheme="minorHAnsi" w:eastAsiaTheme="minorEastAsia" w:hAnsiTheme="minorHAnsi"/>
              <w:noProof/>
              <w:sz w:val="22"/>
              <w:szCs w:val="22"/>
            </w:rPr>
          </w:pPr>
          <w:hyperlink w:anchor="_Toc113629372" w:history="1">
            <w:r w:rsidR="00F44773" w:rsidRPr="00C1128B">
              <w:rPr>
                <w:rStyle w:val="Hyperlink"/>
                <w:noProof/>
              </w:rPr>
              <w:t>September 2022</w:t>
            </w:r>
            <w:r w:rsidR="00F44773">
              <w:rPr>
                <w:noProof/>
                <w:webHidden/>
              </w:rPr>
              <w:tab/>
            </w:r>
            <w:r w:rsidR="00F44773">
              <w:rPr>
                <w:noProof/>
                <w:webHidden/>
              </w:rPr>
              <w:fldChar w:fldCharType="begin"/>
            </w:r>
            <w:r w:rsidR="00F44773">
              <w:rPr>
                <w:noProof/>
                <w:webHidden/>
              </w:rPr>
              <w:instrText xml:space="preserve"> PAGEREF _Toc113629372 \h </w:instrText>
            </w:r>
            <w:r w:rsidR="00F44773">
              <w:rPr>
                <w:noProof/>
                <w:webHidden/>
              </w:rPr>
            </w:r>
            <w:r w:rsidR="00F44773">
              <w:rPr>
                <w:noProof/>
                <w:webHidden/>
              </w:rPr>
              <w:fldChar w:fldCharType="separate"/>
            </w:r>
            <w:r w:rsidR="00F44773">
              <w:rPr>
                <w:noProof/>
                <w:webHidden/>
              </w:rPr>
              <w:t>1</w:t>
            </w:r>
            <w:r w:rsidR="00F44773">
              <w:rPr>
                <w:noProof/>
                <w:webHidden/>
              </w:rPr>
              <w:fldChar w:fldCharType="end"/>
            </w:r>
          </w:hyperlink>
        </w:p>
        <w:p w14:paraId="170D9DF1" w14:textId="1024FA34" w:rsidR="00F44773" w:rsidRDefault="0047717E">
          <w:pPr>
            <w:pStyle w:val="TOC1"/>
            <w:tabs>
              <w:tab w:val="right" w:leader="dot" w:pos="10250"/>
            </w:tabs>
            <w:rPr>
              <w:rFonts w:asciiTheme="minorHAnsi" w:eastAsiaTheme="minorEastAsia" w:hAnsiTheme="minorHAnsi"/>
              <w:b w:val="0"/>
              <w:bCs w:val="0"/>
              <w:noProof/>
              <w:sz w:val="22"/>
              <w:szCs w:val="22"/>
            </w:rPr>
          </w:pPr>
          <w:hyperlink w:anchor="_Toc113629373" w:history="1">
            <w:r w:rsidR="00F44773" w:rsidRPr="00C1128B">
              <w:rPr>
                <w:rStyle w:val="Hyperlink"/>
                <w:rFonts w:eastAsia="Calibri"/>
                <w:noProof/>
              </w:rPr>
              <w:t>§1.0 Purpose and Intent</w:t>
            </w:r>
            <w:r w:rsidR="00F44773">
              <w:rPr>
                <w:noProof/>
                <w:webHidden/>
              </w:rPr>
              <w:tab/>
            </w:r>
            <w:r w:rsidR="00F44773">
              <w:rPr>
                <w:noProof/>
                <w:webHidden/>
              </w:rPr>
              <w:fldChar w:fldCharType="begin"/>
            </w:r>
            <w:r w:rsidR="00F44773">
              <w:rPr>
                <w:noProof/>
                <w:webHidden/>
              </w:rPr>
              <w:instrText xml:space="preserve"> PAGEREF _Toc113629373 \h </w:instrText>
            </w:r>
            <w:r w:rsidR="00F44773">
              <w:rPr>
                <w:noProof/>
                <w:webHidden/>
              </w:rPr>
            </w:r>
            <w:r w:rsidR="00F44773">
              <w:rPr>
                <w:noProof/>
                <w:webHidden/>
              </w:rPr>
              <w:fldChar w:fldCharType="separate"/>
            </w:r>
            <w:r w:rsidR="00F44773">
              <w:rPr>
                <w:noProof/>
                <w:webHidden/>
              </w:rPr>
              <w:t>3</w:t>
            </w:r>
            <w:r w:rsidR="00F44773">
              <w:rPr>
                <w:noProof/>
                <w:webHidden/>
              </w:rPr>
              <w:fldChar w:fldCharType="end"/>
            </w:r>
          </w:hyperlink>
        </w:p>
        <w:p w14:paraId="0070D4B7" w14:textId="798BA17F" w:rsidR="00F44773" w:rsidRDefault="0047717E">
          <w:pPr>
            <w:pStyle w:val="TOC1"/>
            <w:tabs>
              <w:tab w:val="right" w:leader="dot" w:pos="10250"/>
            </w:tabs>
            <w:rPr>
              <w:rFonts w:asciiTheme="minorHAnsi" w:eastAsiaTheme="minorEastAsia" w:hAnsiTheme="minorHAnsi"/>
              <w:b w:val="0"/>
              <w:bCs w:val="0"/>
              <w:noProof/>
              <w:sz w:val="22"/>
              <w:szCs w:val="22"/>
            </w:rPr>
          </w:pPr>
          <w:hyperlink w:anchor="_Toc113629374" w:history="1">
            <w:r w:rsidR="00F44773" w:rsidRPr="00C1128B">
              <w:rPr>
                <w:rStyle w:val="Hyperlink"/>
                <w:rFonts w:eastAsia="Calibri"/>
                <w:noProof/>
              </w:rPr>
              <w:t>§2.0 Scope of Work</w:t>
            </w:r>
            <w:r w:rsidR="00F44773">
              <w:rPr>
                <w:noProof/>
                <w:webHidden/>
              </w:rPr>
              <w:tab/>
            </w:r>
            <w:r w:rsidR="00F44773">
              <w:rPr>
                <w:noProof/>
                <w:webHidden/>
              </w:rPr>
              <w:fldChar w:fldCharType="begin"/>
            </w:r>
            <w:r w:rsidR="00F44773">
              <w:rPr>
                <w:noProof/>
                <w:webHidden/>
              </w:rPr>
              <w:instrText xml:space="preserve"> PAGEREF _Toc113629374 \h </w:instrText>
            </w:r>
            <w:r w:rsidR="00F44773">
              <w:rPr>
                <w:noProof/>
                <w:webHidden/>
              </w:rPr>
            </w:r>
            <w:r w:rsidR="00F44773">
              <w:rPr>
                <w:noProof/>
                <w:webHidden/>
              </w:rPr>
              <w:fldChar w:fldCharType="separate"/>
            </w:r>
            <w:r w:rsidR="00F44773">
              <w:rPr>
                <w:noProof/>
                <w:webHidden/>
              </w:rPr>
              <w:t>3</w:t>
            </w:r>
            <w:r w:rsidR="00F44773">
              <w:rPr>
                <w:noProof/>
                <w:webHidden/>
              </w:rPr>
              <w:fldChar w:fldCharType="end"/>
            </w:r>
          </w:hyperlink>
        </w:p>
        <w:p w14:paraId="039D1067" w14:textId="04FB5FF6" w:rsidR="00F44773" w:rsidRDefault="0047717E">
          <w:pPr>
            <w:pStyle w:val="TOC1"/>
            <w:tabs>
              <w:tab w:val="right" w:leader="dot" w:pos="10250"/>
            </w:tabs>
            <w:rPr>
              <w:rFonts w:asciiTheme="minorHAnsi" w:eastAsiaTheme="minorEastAsia" w:hAnsiTheme="minorHAnsi"/>
              <w:b w:val="0"/>
              <w:bCs w:val="0"/>
              <w:noProof/>
              <w:sz w:val="22"/>
              <w:szCs w:val="22"/>
            </w:rPr>
          </w:pPr>
          <w:hyperlink w:anchor="_Toc113629375" w:history="1">
            <w:r w:rsidR="00F44773" w:rsidRPr="00C1128B">
              <w:rPr>
                <w:rStyle w:val="Hyperlink"/>
                <w:rFonts w:eastAsia="Calibri"/>
                <w:noProof/>
              </w:rPr>
              <w:t>§3.0 Contract Terms and Payment</w:t>
            </w:r>
            <w:r w:rsidR="00F44773">
              <w:rPr>
                <w:noProof/>
                <w:webHidden/>
              </w:rPr>
              <w:tab/>
            </w:r>
            <w:r w:rsidR="00F44773">
              <w:rPr>
                <w:noProof/>
                <w:webHidden/>
              </w:rPr>
              <w:fldChar w:fldCharType="begin"/>
            </w:r>
            <w:r w:rsidR="00F44773">
              <w:rPr>
                <w:noProof/>
                <w:webHidden/>
              </w:rPr>
              <w:instrText xml:space="preserve"> PAGEREF _Toc113629375 \h </w:instrText>
            </w:r>
            <w:r w:rsidR="00F44773">
              <w:rPr>
                <w:noProof/>
                <w:webHidden/>
              </w:rPr>
            </w:r>
            <w:r w:rsidR="00F44773">
              <w:rPr>
                <w:noProof/>
                <w:webHidden/>
              </w:rPr>
              <w:fldChar w:fldCharType="separate"/>
            </w:r>
            <w:r w:rsidR="00F44773">
              <w:rPr>
                <w:noProof/>
                <w:webHidden/>
              </w:rPr>
              <w:t>4</w:t>
            </w:r>
            <w:r w:rsidR="00F44773">
              <w:rPr>
                <w:noProof/>
                <w:webHidden/>
              </w:rPr>
              <w:fldChar w:fldCharType="end"/>
            </w:r>
          </w:hyperlink>
        </w:p>
        <w:p w14:paraId="3B8B016E" w14:textId="34BB9767" w:rsidR="00F44773" w:rsidRDefault="0047717E">
          <w:pPr>
            <w:pStyle w:val="TOC2"/>
            <w:tabs>
              <w:tab w:val="right" w:leader="dot" w:pos="10250"/>
            </w:tabs>
            <w:rPr>
              <w:rFonts w:asciiTheme="minorHAnsi" w:eastAsiaTheme="minorEastAsia" w:hAnsiTheme="minorHAnsi"/>
              <w:noProof/>
              <w:sz w:val="22"/>
              <w:szCs w:val="22"/>
            </w:rPr>
          </w:pPr>
          <w:hyperlink w:anchor="_Toc113629376" w:history="1">
            <w:r w:rsidR="00F44773" w:rsidRPr="00C1128B">
              <w:rPr>
                <w:rStyle w:val="Hyperlink"/>
                <w:rFonts w:eastAsia="Calibri"/>
                <w:noProof/>
              </w:rPr>
              <w:t>§3.1 Contract Deliverables</w:t>
            </w:r>
            <w:r w:rsidR="00F44773">
              <w:rPr>
                <w:noProof/>
                <w:webHidden/>
              </w:rPr>
              <w:tab/>
            </w:r>
            <w:r w:rsidR="00F44773">
              <w:rPr>
                <w:noProof/>
                <w:webHidden/>
              </w:rPr>
              <w:fldChar w:fldCharType="begin"/>
            </w:r>
            <w:r w:rsidR="00F44773">
              <w:rPr>
                <w:noProof/>
                <w:webHidden/>
              </w:rPr>
              <w:instrText xml:space="preserve"> PAGEREF _Toc113629376 \h </w:instrText>
            </w:r>
            <w:r w:rsidR="00F44773">
              <w:rPr>
                <w:noProof/>
                <w:webHidden/>
              </w:rPr>
            </w:r>
            <w:r w:rsidR="00F44773">
              <w:rPr>
                <w:noProof/>
                <w:webHidden/>
              </w:rPr>
              <w:fldChar w:fldCharType="separate"/>
            </w:r>
            <w:r w:rsidR="00F44773">
              <w:rPr>
                <w:noProof/>
                <w:webHidden/>
              </w:rPr>
              <w:t>4</w:t>
            </w:r>
            <w:r w:rsidR="00F44773">
              <w:rPr>
                <w:noProof/>
                <w:webHidden/>
              </w:rPr>
              <w:fldChar w:fldCharType="end"/>
            </w:r>
          </w:hyperlink>
        </w:p>
        <w:p w14:paraId="5EC2BF45" w14:textId="10FB417E" w:rsidR="00F44773" w:rsidRDefault="0047717E">
          <w:pPr>
            <w:pStyle w:val="TOC2"/>
            <w:tabs>
              <w:tab w:val="right" w:leader="dot" w:pos="10250"/>
            </w:tabs>
            <w:rPr>
              <w:rFonts w:asciiTheme="minorHAnsi" w:eastAsiaTheme="minorEastAsia" w:hAnsiTheme="minorHAnsi"/>
              <w:noProof/>
              <w:sz w:val="22"/>
              <w:szCs w:val="22"/>
            </w:rPr>
          </w:pPr>
          <w:hyperlink w:anchor="_Toc113629377" w:history="1">
            <w:r w:rsidR="00F44773" w:rsidRPr="00C1128B">
              <w:rPr>
                <w:rStyle w:val="Hyperlink"/>
                <w:rFonts w:eastAsia="Calibri"/>
                <w:noProof/>
              </w:rPr>
              <w:t>§3.2 Contract Term/Extensions/Transition</w:t>
            </w:r>
            <w:r w:rsidR="00F44773">
              <w:rPr>
                <w:noProof/>
                <w:webHidden/>
              </w:rPr>
              <w:tab/>
            </w:r>
            <w:r w:rsidR="00F44773">
              <w:rPr>
                <w:noProof/>
                <w:webHidden/>
              </w:rPr>
              <w:fldChar w:fldCharType="begin"/>
            </w:r>
            <w:r w:rsidR="00F44773">
              <w:rPr>
                <w:noProof/>
                <w:webHidden/>
              </w:rPr>
              <w:instrText xml:space="preserve"> PAGEREF _Toc113629377 \h </w:instrText>
            </w:r>
            <w:r w:rsidR="00F44773">
              <w:rPr>
                <w:noProof/>
                <w:webHidden/>
              </w:rPr>
            </w:r>
            <w:r w:rsidR="00F44773">
              <w:rPr>
                <w:noProof/>
                <w:webHidden/>
              </w:rPr>
              <w:fldChar w:fldCharType="separate"/>
            </w:r>
            <w:r w:rsidR="00F44773">
              <w:rPr>
                <w:noProof/>
                <w:webHidden/>
              </w:rPr>
              <w:t>4</w:t>
            </w:r>
            <w:r w:rsidR="00F44773">
              <w:rPr>
                <w:noProof/>
                <w:webHidden/>
              </w:rPr>
              <w:fldChar w:fldCharType="end"/>
            </w:r>
          </w:hyperlink>
        </w:p>
        <w:p w14:paraId="7030A0A4" w14:textId="594A9FE3" w:rsidR="00F44773" w:rsidRDefault="0047717E">
          <w:pPr>
            <w:pStyle w:val="TOC2"/>
            <w:tabs>
              <w:tab w:val="right" w:leader="dot" w:pos="10250"/>
            </w:tabs>
            <w:rPr>
              <w:rFonts w:asciiTheme="minorHAnsi" w:eastAsiaTheme="minorEastAsia" w:hAnsiTheme="minorHAnsi"/>
              <w:noProof/>
              <w:sz w:val="22"/>
              <w:szCs w:val="22"/>
            </w:rPr>
          </w:pPr>
          <w:hyperlink w:anchor="_Toc113629378" w:history="1">
            <w:r w:rsidR="00F44773" w:rsidRPr="00C1128B">
              <w:rPr>
                <w:rStyle w:val="Hyperlink"/>
                <w:rFonts w:eastAsia="Calibri"/>
                <w:noProof/>
              </w:rPr>
              <w:t>§3.3 Task Orders</w:t>
            </w:r>
            <w:r w:rsidR="00F44773">
              <w:rPr>
                <w:noProof/>
                <w:webHidden/>
              </w:rPr>
              <w:tab/>
            </w:r>
            <w:r w:rsidR="00F44773">
              <w:rPr>
                <w:noProof/>
                <w:webHidden/>
              </w:rPr>
              <w:fldChar w:fldCharType="begin"/>
            </w:r>
            <w:r w:rsidR="00F44773">
              <w:rPr>
                <w:noProof/>
                <w:webHidden/>
              </w:rPr>
              <w:instrText xml:space="preserve"> PAGEREF _Toc113629378 \h </w:instrText>
            </w:r>
            <w:r w:rsidR="00F44773">
              <w:rPr>
                <w:noProof/>
                <w:webHidden/>
              </w:rPr>
            </w:r>
            <w:r w:rsidR="00F44773">
              <w:rPr>
                <w:noProof/>
                <w:webHidden/>
              </w:rPr>
              <w:fldChar w:fldCharType="separate"/>
            </w:r>
            <w:r w:rsidR="00F44773">
              <w:rPr>
                <w:noProof/>
                <w:webHidden/>
              </w:rPr>
              <w:t>4</w:t>
            </w:r>
            <w:r w:rsidR="00F44773">
              <w:rPr>
                <w:noProof/>
                <w:webHidden/>
              </w:rPr>
              <w:fldChar w:fldCharType="end"/>
            </w:r>
          </w:hyperlink>
        </w:p>
        <w:p w14:paraId="148FA6F8" w14:textId="5C42F8EB" w:rsidR="00F44773" w:rsidRDefault="0047717E">
          <w:pPr>
            <w:pStyle w:val="TOC2"/>
            <w:tabs>
              <w:tab w:val="right" w:leader="dot" w:pos="10250"/>
            </w:tabs>
            <w:rPr>
              <w:rFonts w:asciiTheme="minorHAnsi" w:eastAsiaTheme="minorEastAsia" w:hAnsiTheme="minorHAnsi"/>
              <w:noProof/>
              <w:sz w:val="22"/>
              <w:szCs w:val="22"/>
            </w:rPr>
          </w:pPr>
          <w:hyperlink w:anchor="_Toc113629379" w:history="1">
            <w:r w:rsidR="00F44773" w:rsidRPr="00C1128B">
              <w:rPr>
                <w:rStyle w:val="Hyperlink"/>
                <w:rFonts w:eastAsia="Calibri"/>
                <w:noProof/>
              </w:rPr>
              <w:t>§3.4 Payment</w:t>
            </w:r>
            <w:r w:rsidR="00F44773">
              <w:rPr>
                <w:noProof/>
                <w:webHidden/>
              </w:rPr>
              <w:tab/>
            </w:r>
            <w:r w:rsidR="00F44773">
              <w:rPr>
                <w:noProof/>
                <w:webHidden/>
              </w:rPr>
              <w:fldChar w:fldCharType="begin"/>
            </w:r>
            <w:r w:rsidR="00F44773">
              <w:rPr>
                <w:noProof/>
                <w:webHidden/>
              </w:rPr>
              <w:instrText xml:space="preserve"> PAGEREF _Toc113629379 \h </w:instrText>
            </w:r>
            <w:r w:rsidR="00F44773">
              <w:rPr>
                <w:noProof/>
                <w:webHidden/>
              </w:rPr>
            </w:r>
            <w:r w:rsidR="00F44773">
              <w:rPr>
                <w:noProof/>
                <w:webHidden/>
              </w:rPr>
              <w:fldChar w:fldCharType="separate"/>
            </w:r>
            <w:r w:rsidR="00F44773">
              <w:rPr>
                <w:noProof/>
                <w:webHidden/>
              </w:rPr>
              <w:t>4</w:t>
            </w:r>
            <w:r w:rsidR="00F44773">
              <w:rPr>
                <w:noProof/>
                <w:webHidden/>
              </w:rPr>
              <w:fldChar w:fldCharType="end"/>
            </w:r>
          </w:hyperlink>
        </w:p>
        <w:p w14:paraId="66054771" w14:textId="034004C5" w:rsidR="00F44773" w:rsidRDefault="0047717E">
          <w:pPr>
            <w:pStyle w:val="TOC1"/>
            <w:tabs>
              <w:tab w:val="right" w:leader="dot" w:pos="10250"/>
            </w:tabs>
            <w:rPr>
              <w:rFonts w:asciiTheme="minorHAnsi" w:eastAsiaTheme="minorEastAsia" w:hAnsiTheme="minorHAnsi"/>
              <w:b w:val="0"/>
              <w:bCs w:val="0"/>
              <w:noProof/>
              <w:sz w:val="22"/>
              <w:szCs w:val="22"/>
            </w:rPr>
          </w:pPr>
          <w:hyperlink w:anchor="_Toc113629380" w:history="1">
            <w:r w:rsidR="00F44773" w:rsidRPr="00C1128B">
              <w:rPr>
                <w:rStyle w:val="Hyperlink"/>
                <w:rFonts w:eastAsia="Calibri"/>
                <w:noProof/>
              </w:rPr>
              <w:t>§4.0 Bidding Process</w:t>
            </w:r>
            <w:r w:rsidR="00F44773">
              <w:rPr>
                <w:noProof/>
                <w:webHidden/>
              </w:rPr>
              <w:tab/>
            </w:r>
            <w:r w:rsidR="00F44773">
              <w:rPr>
                <w:noProof/>
                <w:webHidden/>
              </w:rPr>
              <w:fldChar w:fldCharType="begin"/>
            </w:r>
            <w:r w:rsidR="00F44773">
              <w:rPr>
                <w:noProof/>
                <w:webHidden/>
              </w:rPr>
              <w:instrText xml:space="preserve"> PAGEREF _Toc113629380 \h </w:instrText>
            </w:r>
            <w:r w:rsidR="00F44773">
              <w:rPr>
                <w:noProof/>
                <w:webHidden/>
              </w:rPr>
            </w:r>
            <w:r w:rsidR="00F44773">
              <w:rPr>
                <w:noProof/>
                <w:webHidden/>
              </w:rPr>
              <w:fldChar w:fldCharType="separate"/>
            </w:r>
            <w:r w:rsidR="00F44773">
              <w:rPr>
                <w:noProof/>
                <w:webHidden/>
              </w:rPr>
              <w:t>5</w:t>
            </w:r>
            <w:r w:rsidR="00F44773">
              <w:rPr>
                <w:noProof/>
                <w:webHidden/>
              </w:rPr>
              <w:fldChar w:fldCharType="end"/>
            </w:r>
          </w:hyperlink>
        </w:p>
        <w:p w14:paraId="7392A199" w14:textId="596F3E6E" w:rsidR="00F44773" w:rsidRDefault="0047717E">
          <w:pPr>
            <w:pStyle w:val="TOC2"/>
            <w:tabs>
              <w:tab w:val="right" w:leader="dot" w:pos="10250"/>
            </w:tabs>
            <w:rPr>
              <w:rFonts w:asciiTheme="minorHAnsi" w:eastAsiaTheme="minorEastAsia" w:hAnsiTheme="minorHAnsi"/>
              <w:noProof/>
              <w:sz w:val="22"/>
              <w:szCs w:val="22"/>
            </w:rPr>
          </w:pPr>
          <w:hyperlink w:anchor="_Toc113629381" w:history="1">
            <w:r w:rsidR="00F44773" w:rsidRPr="00C1128B">
              <w:rPr>
                <w:rStyle w:val="Hyperlink"/>
                <w:rFonts w:eastAsia="Calibri"/>
                <w:noProof/>
              </w:rPr>
              <w:t>§4.1 Question and Answer Period</w:t>
            </w:r>
            <w:r w:rsidR="00F44773">
              <w:rPr>
                <w:noProof/>
                <w:webHidden/>
              </w:rPr>
              <w:tab/>
            </w:r>
            <w:r w:rsidR="00F44773">
              <w:rPr>
                <w:noProof/>
                <w:webHidden/>
              </w:rPr>
              <w:fldChar w:fldCharType="begin"/>
            </w:r>
            <w:r w:rsidR="00F44773">
              <w:rPr>
                <w:noProof/>
                <w:webHidden/>
              </w:rPr>
              <w:instrText xml:space="preserve"> PAGEREF _Toc113629381 \h </w:instrText>
            </w:r>
            <w:r w:rsidR="00F44773">
              <w:rPr>
                <w:noProof/>
                <w:webHidden/>
              </w:rPr>
            </w:r>
            <w:r w:rsidR="00F44773">
              <w:rPr>
                <w:noProof/>
                <w:webHidden/>
              </w:rPr>
              <w:fldChar w:fldCharType="separate"/>
            </w:r>
            <w:r w:rsidR="00F44773">
              <w:rPr>
                <w:noProof/>
                <w:webHidden/>
              </w:rPr>
              <w:t>5</w:t>
            </w:r>
            <w:r w:rsidR="00F44773">
              <w:rPr>
                <w:noProof/>
                <w:webHidden/>
              </w:rPr>
              <w:fldChar w:fldCharType="end"/>
            </w:r>
          </w:hyperlink>
        </w:p>
        <w:p w14:paraId="5B4E6BD5" w14:textId="405C6DC3" w:rsidR="00F44773" w:rsidRDefault="0047717E">
          <w:pPr>
            <w:pStyle w:val="TOC2"/>
            <w:tabs>
              <w:tab w:val="right" w:leader="dot" w:pos="10250"/>
            </w:tabs>
            <w:rPr>
              <w:rFonts w:asciiTheme="minorHAnsi" w:eastAsiaTheme="minorEastAsia" w:hAnsiTheme="minorHAnsi"/>
              <w:noProof/>
              <w:sz w:val="22"/>
              <w:szCs w:val="22"/>
            </w:rPr>
          </w:pPr>
          <w:hyperlink w:anchor="_Toc113629382" w:history="1">
            <w:r w:rsidR="00F44773" w:rsidRPr="00C1128B">
              <w:rPr>
                <w:rStyle w:val="Hyperlink"/>
                <w:rFonts w:eastAsia="Calibri"/>
                <w:noProof/>
              </w:rPr>
              <w:t>§4.2 Contents of Quote</w:t>
            </w:r>
            <w:r w:rsidR="00F44773">
              <w:rPr>
                <w:noProof/>
                <w:webHidden/>
              </w:rPr>
              <w:tab/>
            </w:r>
            <w:r w:rsidR="00F44773">
              <w:rPr>
                <w:noProof/>
                <w:webHidden/>
              </w:rPr>
              <w:fldChar w:fldCharType="begin"/>
            </w:r>
            <w:r w:rsidR="00F44773">
              <w:rPr>
                <w:noProof/>
                <w:webHidden/>
              </w:rPr>
              <w:instrText xml:space="preserve"> PAGEREF _Toc113629382 \h </w:instrText>
            </w:r>
            <w:r w:rsidR="00F44773">
              <w:rPr>
                <w:noProof/>
                <w:webHidden/>
              </w:rPr>
            </w:r>
            <w:r w:rsidR="00F44773">
              <w:rPr>
                <w:noProof/>
                <w:webHidden/>
              </w:rPr>
              <w:fldChar w:fldCharType="separate"/>
            </w:r>
            <w:r w:rsidR="00F44773">
              <w:rPr>
                <w:noProof/>
                <w:webHidden/>
              </w:rPr>
              <w:t>5</w:t>
            </w:r>
            <w:r w:rsidR="00F44773">
              <w:rPr>
                <w:noProof/>
                <w:webHidden/>
              </w:rPr>
              <w:fldChar w:fldCharType="end"/>
            </w:r>
          </w:hyperlink>
        </w:p>
        <w:p w14:paraId="6A8BB0F4" w14:textId="3D5E6DDC" w:rsidR="00F44773" w:rsidRDefault="0047717E">
          <w:pPr>
            <w:pStyle w:val="TOC2"/>
            <w:tabs>
              <w:tab w:val="right" w:leader="dot" w:pos="10250"/>
            </w:tabs>
            <w:rPr>
              <w:rFonts w:asciiTheme="minorHAnsi" w:eastAsiaTheme="minorEastAsia" w:hAnsiTheme="minorHAnsi"/>
              <w:noProof/>
              <w:sz w:val="22"/>
              <w:szCs w:val="22"/>
            </w:rPr>
          </w:pPr>
          <w:hyperlink w:anchor="_Toc113629383" w:history="1">
            <w:r w:rsidR="00F44773" w:rsidRPr="00C1128B">
              <w:rPr>
                <w:rStyle w:val="Hyperlink"/>
                <w:rFonts w:eastAsia="Calibri"/>
                <w:noProof/>
              </w:rPr>
              <w:t>§4.3 Instructions for Quote Submission</w:t>
            </w:r>
            <w:r w:rsidR="00F44773">
              <w:rPr>
                <w:noProof/>
                <w:webHidden/>
              </w:rPr>
              <w:tab/>
            </w:r>
            <w:r w:rsidR="00F44773">
              <w:rPr>
                <w:noProof/>
                <w:webHidden/>
              </w:rPr>
              <w:fldChar w:fldCharType="begin"/>
            </w:r>
            <w:r w:rsidR="00F44773">
              <w:rPr>
                <w:noProof/>
                <w:webHidden/>
              </w:rPr>
              <w:instrText xml:space="preserve"> PAGEREF _Toc113629383 \h </w:instrText>
            </w:r>
            <w:r w:rsidR="00F44773">
              <w:rPr>
                <w:noProof/>
                <w:webHidden/>
              </w:rPr>
            </w:r>
            <w:r w:rsidR="00F44773">
              <w:rPr>
                <w:noProof/>
                <w:webHidden/>
              </w:rPr>
              <w:fldChar w:fldCharType="separate"/>
            </w:r>
            <w:r w:rsidR="00F44773">
              <w:rPr>
                <w:noProof/>
                <w:webHidden/>
              </w:rPr>
              <w:t>6</w:t>
            </w:r>
            <w:r w:rsidR="00F44773">
              <w:rPr>
                <w:noProof/>
                <w:webHidden/>
              </w:rPr>
              <w:fldChar w:fldCharType="end"/>
            </w:r>
          </w:hyperlink>
        </w:p>
        <w:p w14:paraId="0C107409" w14:textId="18714E1C" w:rsidR="00F44773" w:rsidRDefault="0047717E">
          <w:pPr>
            <w:pStyle w:val="TOC1"/>
            <w:tabs>
              <w:tab w:val="right" w:leader="dot" w:pos="10250"/>
            </w:tabs>
            <w:rPr>
              <w:rFonts w:asciiTheme="minorHAnsi" w:eastAsiaTheme="minorEastAsia" w:hAnsiTheme="minorHAnsi"/>
              <w:b w:val="0"/>
              <w:bCs w:val="0"/>
              <w:noProof/>
              <w:sz w:val="22"/>
              <w:szCs w:val="22"/>
            </w:rPr>
          </w:pPr>
          <w:hyperlink w:anchor="_Toc113629384" w:history="1">
            <w:r w:rsidR="00F44773" w:rsidRPr="00C1128B">
              <w:rPr>
                <w:rStyle w:val="Hyperlink"/>
                <w:rFonts w:eastAsia="Calibri"/>
                <w:noProof/>
              </w:rPr>
              <w:t>§5.0 Award Methodology</w:t>
            </w:r>
            <w:r w:rsidR="00F44773">
              <w:rPr>
                <w:noProof/>
                <w:webHidden/>
              </w:rPr>
              <w:tab/>
            </w:r>
            <w:r w:rsidR="00F44773">
              <w:rPr>
                <w:noProof/>
                <w:webHidden/>
              </w:rPr>
              <w:fldChar w:fldCharType="begin"/>
            </w:r>
            <w:r w:rsidR="00F44773">
              <w:rPr>
                <w:noProof/>
                <w:webHidden/>
              </w:rPr>
              <w:instrText xml:space="preserve"> PAGEREF _Toc113629384 \h </w:instrText>
            </w:r>
            <w:r w:rsidR="00F44773">
              <w:rPr>
                <w:noProof/>
                <w:webHidden/>
              </w:rPr>
            </w:r>
            <w:r w:rsidR="00F44773">
              <w:rPr>
                <w:noProof/>
                <w:webHidden/>
              </w:rPr>
              <w:fldChar w:fldCharType="separate"/>
            </w:r>
            <w:r w:rsidR="00F44773">
              <w:rPr>
                <w:noProof/>
                <w:webHidden/>
              </w:rPr>
              <w:t>7</w:t>
            </w:r>
            <w:r w:rsidR="00F44773">
              <w:rPr>
                <w:noProof/>
                <w:webHidden/>
              </w:rPr>
              <w:fldChar w:fldCharType="end"/>
            </w:r>
          </w:hyperlink>
        </w:p>
        <w:p w14:paraId="6E402641" w14:textId="6826D83C" w:rsidR="00F44773" w:rsidRDefault="0047717E">
          <w:pPr>
            <w:pStyle w:val="TOC2"/>
            <w:tabs>
              <w:tab w:val="right" w:leader="dot" w:pos="10250"/>
            </w:tabs>
            <w:rPr>
              <w:rFonts w:asciiTheme="minorHAnsi" w:eastAsiaTheme="minorEastAsia" w:hAnsiTheme="minorHAnsi"/>
              <w:noProof/>
              <w:sz w:val="22"/>
              <w:szCs w:val="22"/>
            </w:rPr>
          </w:pPr>
          <w:hyperlink w:anchor="_Toc113629385" w:history="1">
            <w:r w:rsidR="00F44773" w:rsidRPr="00C1128B">
              <w:rPr>
                <w:rStyle w:val="Hyperlink"/>
                <w:rFonts w:eastAsia="Calibri"/>
                <w:noProof/>
              </w:rPr>
              <w:t>§5.1 Evaluation Process</w:t>
            </w:r>
            <w:r w:rsidR="00F44773">
              <w:rPr>
                <w:noProof/>
                <w:webHidden/>
              </w:rPr>
              <w:tab/>
            </w:r>
            <w:r w:rsidR="00F44773">
              <w:rPr>
                <w:noProof/>
                <w:webHidden/>
              </w:rPr>
              <w:fldChar w:fldCharType="begin"/>
            </w:r>
            <w:r w:rsidR="00F44773">
              <w:rPr>
                <w:noProof/>
                <w:webHidden/>
              </w:rPr>
              <w:instrText xml:space="preserve"> PAGEREF _Toc113629385 \h </w:instrText>
            </w:r>
            <w:r w:rsidR="00F44773">
              <w:rPr>
                <w:noProof/>
                <w:webHidden/>
              </w:rPr>
            </w:r>
            <w:r w:rsidR="00F44773">
              <w:rPr>
                <w:noProof/>
                <w:webHidden/>
              </w:rPr>
              <w:fldChar w:fldCharType="separate"/>
            </w:r>
            <w:r w:rsidR="00F44773">
              <w:rPr>
                <w:noProof/>
                <w:webHidden/>
              </w:rPr>
              <w:t>7</w:t>
            </w:r>
            <w:r w:rsidR="00F44773">
              <w:rPr>
                <w:noProof/>
                <w:webHidden/>
              </w:rPr>
              <w:fldChar w:fldCharType="end"/>
            </w:r>
          </w:hyperlink>
        </w:p>
        <w:p w14:paraId="2E08732A" w14:textId="39A0191F" w:rsidR="00F44773" w:rsidRDefault="0047717E">
          <w:pPr>
            <w:pStyle w:val="TOC2"/>
            <w:tabs>
              <w:tab w:val="right" w:leader="dot" w:pos="10250"/>
            </w:tabs>
            <w:rPr>
              <w:rFonts w:asciiTheme="minorHAnsi" w:eastAsiaTheme="minorEastAsia" w:hAnsiTheme="minorHAnsi"/>
              <w:noProof/>
              <w:sz w:val="22"/>
              <w:szCs w:val="22"/>
            </w:rPr>
          </w:pPr>
          <w:hyperlink w:anchor="_Toc113629386" w:history="1">
            <w:r w:rsidR="00F44773" w:rsidRPr="00C1128B">
              <w:rPr>
                <w:rStyle w:val="Hyperlink"/>
                <w:rFonts w:eastAsia="Calibri"/>
                <w:noProof/>
              </w:rPr>
              <w:t>§5.2 Right to Waive</w:t>
            </w:r>
            <w:r w:rsidR="00F44773">
              <w:rPr>
                <w:noProof/>
                <w:webHidden/>
              </w:rPr>
              <w:tab/>
            </w:r>
            <w:r w:rsidR="00F44773">
              <w:rPr>
                <w:noProof/>
                <w:webHidden/>
              </w:rPr>
              <w:fldChar w:fldCharType="begin"/>
            </w:r>
            <w:r w:rsidR="00F44773">
              <w:rPr>
                <w:noProof/>
                <w:webHidden/>
              </w:rPr>
              <w:instrText xml:space="preserve"> PAGEREF _Toc113629386 \h </w:instrText>
            </w:r>
            <w:r w:rsidR="00F44773">
              <w:rPr>
                <w:noProof/>
                <w:webHidden/>
              </w:rPr>
            </w:r>
            <w:r w:rsidR="00F44773">
              <w:rPr>
                <w:noProof/>
                <w:webHidden/>
              </w:rPr>
              <w:fldChar w:fldCharType="separate"/>
            </w:r>
            <w:r w:rsidR="00F44773">
              <w:rPr>
                <w:noProof/>
                <w:webHidden/>
              </w:rPr>
              <w:t>7</w:t>
            </w:r>
            <w:r w:rsidR="00F44773">
              <w:rPr>
                <w:noProof/>
                <w:webHidden/>
              </w:rPr>
              <w:fldChar w:fldCharType="end"/>
            </w:r>
          </w:hyperlink>
        </w:p>
        <w:p w14:paraId="1536ED4C" w14:textId="02D2CE95" w:rsidR="00F44773" w:rsidRDefault="0047717E">
          <w:pPr>
            <w:pStyle w:val="TOC2"/>
            <w:tabs>
              <w:tab w:val="right" w:leader="dot" w:pos="10250"/>
            </w:tabs>
            <w:rPr>
              <w:rFonts w:asciiTheme="minorHAnsi" w:eastAsiaTheme="minorEastAsia" w:hAnsiTheme="minorHAnsi"/>
              <w:noProof/>
              <w:sz w:val="22"/>
              <w:szCs w:val="22"/>
            </w:rPr>
          </w:pPr>
          <w:hyperlink w:anchor="_Toc113629387" w:history="1">
            <w:r w:rsidR="00F44773" w:rsidRPr="00C1128B">
              <w:rPr>
                <w:rStyle w:val="Hyperlink"/>
                <w:rFonts w:eastAsia="Calibri"/>
                <w:noProof/>
              </w:rPr>
              <w:t>§5.3 Executive Order Number 166</w:t>
            </w:r>
            <w:r w:rsidR="00F44773">
              <w:rPr>
                <w:noProof/>
                <w:webHidden/>
              </w:rPr>
              <w:tab/>
            </w:r>
            <w:r w:rsidR="00F44773">
              <w:rPr>
                <w:noProof/>
                <w:webHidden/>
              </w:rPr>
              <w:fldChar w:fldCharType="begin"/>
            </w:r>
            <w:r w:rsidR="00F44773">
              <w:rPr>
                <w:noProof/>
                <w:webHidden/>
              </w:rPr>
              <w:instrText xml:space="preserve"> PAGEREF _Toc113629387 \h </w:instrText>
            </w:r>
            <w:r w:rsidR="00F44773">
              <w:rPr>
                <w:noProof/>
                <w:webHidden/>
              </w:rPr>
            </w:r>
            <w:r w:rsidR="00F44773">
              <w:rPr>
                <w:noProof/>
                <w:webHidden/>
              </w:rPr>
              <w:fldChar w:fldCharType="separate"/>
            </w:r>
            <w:r w:rsidR="00F44773">
              <w:rPr>
                <w:noProof/>
                <w:webHidden/>
              </w:rPr>
              <w:t>7</w:t>
            </w:r>
            <w:r w:rsidR="00F44773">
              <w:rPr>
                <w:noProof/>
                <w:webHidden/>
              </w:rPr>
              <w:fldChar w:fldCharType="end"/>
            </w:r>
          </w:hyperlink>
        </w:p>
        <w:p w14:paraId="24E8491E" w14:textId="773A4AAE" w:rsidR="00473258" w:rsidRDefault="00473258">
          <w:r>
            <w:rPr>
              <w:b/>
              <w:bCs/>
              <w:noProof/>
            </w:rPr>
            <w:fldChar w:fldCharType="end"/>
          </w:r>
        </w:p>
      </w:sdtContent>
    </w:sdt>
    <w:p w14:paraId="10C64AF9" w14:textId="495E18F9" w:rsidR="001633CF" w:rsidRPr="002F0005" w:rsidRDefault="001633CF" w:rsidP="002F0005">
      <w:pPr>
        <w:pStyle w:val="TOC1"/>
        <w:tabs>
          <w:tab w:val="left" w:pos="1000"/>
          <w:tab w:val="right" w:leader="dot" w:pos="10082"/>
        </w:tabs>
        <w:ind w:left="159" w:right="55" w:firstLine="0"/>
        <w:jc w:val="center"/>
        <w:rPr>
          <w:b w:val="0"/>
          <w:bCs w:val="0"/>
        </w:rPr>
        <w:sectPr w:rsidR="001633CF" w:rsidRPr="002F0005" w:rsidSect="00EA361A">
          <w:headerReference w:type="even" r:id="rId12"/>
          <w:headerReference w:type="default" r:id="rId13"/>
          <w:footerReference w:type="even" r:id="rId14"/>
          <w:footerReference w:type="default" r:id="rId15"/>
          <w:headerReference w:type="first" r:id="rId16"/>
          <w:footerReference w:type="first" r:id="rId17"/>
          <w:pgSz w:w="12240" w:h="15840"/>
          <w:pgMar w:top="660" w:right="900" w:bottom="1580" w:left="1080" w:header="806" w:footer="720" w:gutter="0"/>
          <w:pgNumType w:start="1"/>
          <w:cols w:space="720"/>
          <w:titlePg/>
          <w:docGrid w:linePitch="299"/>
        </w:sectPr>
      </w:pPr>
    </w:p>
    <w:p w14:paraId="1D039CA2" w14:textId="617B684E" w:rsidR="00A97A02" w:rsidRPr="006016E4" w:rsidRDefault="00382480" w:rsidP="00114941">
      <w:pPr>
        <w:widowControl/>
        <w:spacing w:line="259" w:lineRule="auto"/>
        <w:jc w:val="center"/>
        <w:rPr>
          <w:rFonts w:ascii="Times New Roman" w:eastAsia="Calibri" w:hAnsi="Times New Roman" w:cs="Times New Roman"/>
          <w:b/>
          <w:bCs/>
          <w:sz w:val="32"/>
          <w:szCs w:val="32"/>
        </w:rPr>
      </w:pPr>
      <w:r w:rsidRPr="006016E4">
        <w:rPr>
          <w:rFonts w:ascii="Times New Roman" w:eastAsia="Calibri" w:hAnsi="Times New Roman" w:cs="Times New Roman"/>
          <w:b/>
          <w:bCs/>
          <w:sz w:val="32"/>
          <w:szCs w:val="32"/>
        </w:rPr>
        <w:lastRenderedPageBreak/>
        <w:t>Request for Quote</w:t>
      </w:r>
      <w:r w:rsidR="00A97A02" w:rsidRPr="006016E4">
        <w:rPr>
          <w:rFonts w:ascii="Times New Roman" w:eastAsia="Calibri" w:hAnsi="Times New Roman" w:cs="Times New Roman"/>
          <w:b/>
          <w:bCs/>
          <w:sz w:val="32"/>
          <w:szCs w:val="32"/>
        </w:rPr>
        <w:t xml:space="preserve"> for</w:t>
      </w:r>
      <w:r w:rsidR="00E17DCF" w:rsidRPr="006016E4">
        <w:rPr>
          <w:rFonts w:ascii="Times New Roman" w:eastAsia="Calibri" w:hAnsi="Times New Roman" w:cs="Times New Roman"/>
          <w:b/>
          <w:bCs/>
          <w:sz w:val="32"/>
          <w:szCs w:val="32"/>
        </w:rPr>
        <w:t xml:space="preserve"> </w:t>
      </w:r>
      <w:r w:rsidR="0050144B">
        <w:rPr>
          <w:rFonts w:ascii="Times New Roman" w:eastAsia="Calibri" w:hAnsi="Times New Roman" w:cs="Times New Roman"/>
          <w:b/>
          <w:bCs/>
          <w:sz w:val="32"/>
          <w:szCs w:val="32"/>
        </w:rPr>
        <w:t xml:space="preserve">Grant </w:t>
      </w:r>
      <w:r w:rsidR="00A369F1">
        <w:rPr>
          <w:rFonts w:ascii="Times New Roman" w:eastAsia="Calibri" w:hAnsi="Times New Roman" w:cs="Times New Roman"/>
          <w:b/>
          <w:bCs/>
          <w:sz w:val="32"/>
          <w:szCs w:val="32"/>
        </w:rPr>
        <w:t>M</w:t>
      </w:r>
      <w:r w:rsidR="0050144B">
        <w:rPr>
          <w:rFonts w:ascii="Times New Roman" w:eastAsia="Calibri" w:hAnsi="Times New Roman" w:cs="Times New Roman"/>
          <w:b/>
          <w:bCs/>
          <w:sz w:val="32"/>
          <w:szCs w:val="32"/>
        </w:rPr>
        <w:t>anagement Consulting Services</w:t>
      </w:r>
    </w:p>
    <w:p w14:paraId="1606C4A2" w14:textId="310A6B8B" w:rsidR="00114941" w:rsidRPr="006016E4" w:rsidRDefault="007323D1" w:rsidP="00114941">
      <w:pPr>
        <w:widowControl/>
        <w:spacing w:line="259" w:lineRule="auto"/>
        <w:jc w:val="center"/>
        <w:rPr>
          <w:rFonts w:ascii="Times New Roman" w:eastAsia="Calibri" w:hAnsi="Times New Roman" w:cs="Times New Roman"/>
          <w:b/>
          <w:bCs/>
          <w:sz w:val="32"/>
          <w:szCs w:val="32"/>
        </w:rPr>
      </w:pPr>
      <w:r w:rsidRPr="006016E4">
        <w:rPr>
          <w:rFonts w:ascii="Times New Roman" w:eastAsia="Calibri" w:hAnsi="Times New Roman" w:cs="Times New Roman"/>
          <w:b/>
          <w:bCs/>
          <w:sz w:val="32"/>
          <w:szCs w:val="32"/>
        </w:rPr>
        <w:t xml:space="preserve">Coronavirus </w:t>
      </w:r>
      <w:r w:rsidR="00D13331" w:rsidRPr="006016E4">
        <w:rPr>
          <w:rFonts w:ascii="Times New Roman" w:eastAsia="Calibri" w:hAnsi="Times New Roman" w:cs="Times New Roman"/>
          <w:b/>
          <w:bCs/>
          <w:sz w:val="32"/>
          <w:szCs w:val="32"/>
        </w:rPr>
        <w:t>Local Fiscal Recovery Fund</w:t>
      </w:r>
    </w:p>
    <w:p w14:paraId="1CB243D6" w14:textId="77777777" w:rsidR="00114941" w:rsidRPr="004F6DCB" w:rsidRDefault="00114941" w:rsidP="00114941">
      <w:pPr>
        <w:widowControl/>
        <w:spacing w:line="259" w:lineRule="auto"/>
        <w:jc w:val="center"/>
        <w:rPr>
          <w:rFonts w:ascii="Calibri" w:eastAsia="Calibri" w:hAnsi="Calibri" w:cs="Times New Roman"/>
          <w:b/>
          <w:bCs/>
          <w:sz w:val="28"/>
          <w:szCs w:val="28"/>
        </w:rPr>
      </w:pPr>
    </w:p>
    <w:p w14:paraId="469620EA" w14:textId="7870777F" w:rsidR="00776095" w:rsidRPr="00473258" w:rsidRDefault="00114941" w:rsidP="000F64D0">
      <w:pPr>
        <w:pStyle w:val="Heading1"/>
        <w:spacing w:after="240"/>
        <w:ind w:left="0"/>
        <w:rPr>
          <w:rFonts w:eastAsia="Calibri"/>
          <w:sz w:val="32"/>
          <w:szCs w:val="32"/>
        </w:rPr>
      </w:pPr>
      <w:bookmarkStart w:id="4" w:name="_Toc113629373"/>
      <w:r w:rsidRPr="00473258">
        <w:rPr>
          <w:rFonts w:eastAsia="Calibri"/>
          <w:sz w:val="32"/>
          <w:szCs w:val="32"/>
        </w:rPr>
        <w:t>§1.</w:t>
      </w:r>
      <w:r w:rsidR="00D13331">
        <w:rPr>
          <w:rFonts w:eastAsia="Calibri"/>
          <w:sz w:val="32"/>
          <w:szCs w:val="32"/>
        </w:rPr>
        <w:t>0</w:t>
      </w:r>
      <w:r w:rsidR="000F64D0">
        <w:rPr>
          <w:rFonts w:eastAsia="Calibri"/>
          <w:sz w:val="32"/>
          <w:szCs w:val="32"/>
        </w:rPr>
        <w:t xml:space="preserve"> </w:t>
      </w:r>
      <w:r w:rsidRPr="00473258">
        <w:rPr>
          <w:rFonts w:eastAsia="Calibri"/>
          <w:sz w:val="32"/>
          <w:szCs w:val="32"/>
        </w:rPr>
        <w:t>Purpose and Intent</w:t>
      </w:r>
      <w:bookmarkEnd w:id="4"/>
    </w:p>
    <w:p w14:paraId="5A480C68" w14:textId="79569A98" w:rsidR="00D13331" w:rsidRDefault="007808B5" w:rsidP="00D13331">
      <w:pPr>
        <w:widowControl/>
        <w:spacing w:after="160" w:line="259" w:lineRule="auto"/>
        <w:jc w:val="both"/>
        <w:rPr>
          <w:rFonts w:ascii="Calibri" w:eastAsia="Calibri" w:hAnsi="Calibri" w:cs="Times New Roman"/>
        </w:rPr>
      </w:pPr>
      <w:r>
        <w:t>This Request for Quote (RFQ) is issued by the Department of Community Affairs, Division of Disaster Recovery and Mitigation</w:t>
      </w:r>
      <w:r w:rsidR="00124160">
        <w:t xml:space="preserve"> (“Department”)</w:t>
      </w:r>
      <w:r>
        <w:t xml:space="preserve">.  The purpose of this RFQ is to solicit quotes from qualified </w:t>
      </w:r>
      <w:r w:rsidR="00A369F1">
        <w:t xml:space="preserve">Bidders </w:t>
      </w:r>
      <w:r>
        <w:t>to provide grant management consulting services to counties and municipalities concerning the American Rescue Plan</w:t>
      </w:r>
      <w:r w:rsidR="0031445A">
        <w:t xml:space="preserve"> Act</w:t>
      </w:r>
      <w:r>
        <w:t xml:space="preserve">’s Coronavirus Local Fiscal Recovery Fund as described in Section 2.0 Scope of Work.  </w:t>
      </w:r>
      <w:r w:rsidR="00A369F1">
        <w:t xml:space="preserve">The Department </w:t>
      </w:r>
      <w:r w:rsidR="00B13EB7">
        <w:t xml:space="preserve">will indicate in </w:t>
      </w:r>
      <w:r w:rsidR="00EC6B90">
        <w:t>each</w:t>
      </w:r>
      <w:r w:rsidR="00B13EB7">
        <w:t xml:space="preserve"> specific Task Order whether </w:t>
      </w:r>
      <w:r w:rsidR="00A369F1">
        <w:t xml:space="preserve">the </w:t>
      </w:r>
      <w:r w:rsidR="007371EF">
        <w:t xml:space="preserve">Contractor(s) awarded </w:t>
      </w:r>
      <w:r w:rsidR="00FA06B2">
        <w:t xml:space="preserve">the Contract will be able to complete their </w:t>
      </w:r>
      <w:r w:rsidR="009B77A5">
        <w:t>engagements</w:t>
      </w:r>
      <w:r w:rsidR="00FA06B2">
        <w:t xml:space="preserve"> </w:t>
      </w:r>
      <w:r w:rsidR="003901F1">
        <w:t xml:space="preserve">in-person or </w:t>
      </w:r>
      <w:r w:rsidR="00FA06B2">
        <w:t>remotely.</w:t>
      </w:r>
    </w:p>
    <w:p w14:paraId="1C1EFF63" w14:textId="77777777" w:rsidR="003F715E" w:rsidRDefault="003F715E" w:rsidP="000F64D0">
      <w:pPr>
        <w:pStyle w:val="Heading1"/>
        <w:spacing w:after="240"/>
        <w:ind w:left="0"/>
        <w:rPr>
          <w:rFonts w:eastAsia="Calibri"/>
          <w:sz w:val="32"/>
          <w:szCs w:val="32"/>
        </w:rPr>
      </w:pPr>
    </w:p>
    <w:p w14:paraId="5EE7A9F2" w14:textId="04611994" w:rsidR="00776095" w:rsidRDefault="00114941" w:rsidP="000F64D0">
      <w:pPr>
        <w:pStyle w:val="Heading1"/>
        <w:spacing w:after="240"/>
        <w:ind w:left="0"/>
        <w:rPr>
          <w:rFonts w:eastAsia="Calibri"/>
          <w:sz w:val="32"/>
          <w:szCs w:val="32"/>
        </w:rPr>
      </w:pPr>
      <w:bookmarkStart w:id="5" w:name="_Toc113629374"/>
      <w:r w:rsidRPr="00473258">
        <w:rPr>
          <w:rFonts w:eastAsia="Calibri"/>
          <w:sz w:val="32"/>
          <w:szCs w:val="32"/>
        </w:rPr>
        <w:t xml:space="preserve">§2.0 </w:t>
      </w:r>
      <w:r w:rsidR="000F64D0">
        <w:rPr>
          <w:rFonts w:eastAsia="Calibri"/>
          <w:sz w:val="32"/>
          <w:szCs w:val="32"/>
        </w:rPr>
        <w:t xml:space="preserve">Scope of </w:t>
      </w:r>
      <w:r w:rsidR="00DB02B3">
        <w:rPr>
          <w:rFonts w:eastAsia="Calibri"/>
          <w:sz w:val="32"/>
          <w:szCs w:val="32"/>
        </w:rPr>
        <w:t>Work</w:t>
      </w:r>
      <w:bookmarkEnd w:id="5"/>
    </w:p>
    <w:p w14:paraId="64916F6A" w14:textId="0F4064B9" w:rsidR="009B77A5" w:rsidRDefault="006258B5" w:rsidP="00FC2F74">
      <w:pPr>
        <w:pStyle w:val="CommentText"/>
        <w:jc w:val="both"/>
        <w:rPr>
          <w:sz w:val="22"/>
          <w:szCs w:val="22"/>
        </w:rPr>
      </w:pPr>
      <w:r w:rsidRPr="00562755">
        <w:rPr>
          <w:sz w:val="22"/>
          <w:szCs w:val="22"/>
        </w:rPr>
        <w:t>Contractor(s) shall, under the direction of the Governor’s Disaster Recovery Office (“GDRO”), provide grant management consulting services to counties and municipalities that have been awarded disaster recovery funding through the American Rescue Plan</w:t>
      </w:r>
      <w:r w:rsidR="000E02CA" w:rsidRPr="00562755">
        <w:rPr>
          <w:sz w:val="22"/>
          <w:szCs w:val="22"/>
        </w:rPr>
        <w:t xml:space="preserve"> Act</w:t>
      </w:r>
      <w:r w:rsidRPr="00562755">
        <w:rPr>
          <w:sz w:val="22"/>
          <w:szCs w:val="22"/>
        </w:rPr>
        <w:t xml:space="preserve">’s Local Fiscal Recovery Fund (“LFRF”).  The Contractor(s) shall be directed through Task Orders </w:t>
      </w:r>
      <w:r w:rsidRPr="00505159">
        <w:rPr>
          <w:sz w:val="22"/>
          <w:szCs w:val="22"/>
        </w:rPr>
        <w:t xml:space="preserve">issued by GDRO that specify the scope of </w:t>
      </w:r>
      <w:r w:rsidR="00DB02B3">
        <w:rPr>
          <w:sz w:val="22"/>
          <w:szCs w:val="22"/>
        </w:rPr>
        <w:t>work</w:t>
      </w:r>
      <w:r w:rsidRPr="00505159">
        <w:rPr>
          <w:sz w:val="22"/>
          <w:szCs w:val="22"/>
        </w:rPr>
        <w:t xml:space="preserve"> and deliverables</w:t>
      </w:r>
      <w:r w:rsidR="00931312">
        <w:rPr>
          <w:sz w:val="22"/>
          <w:szCs w:val="22"/>
        </w:rPr>
        <w:t xml:space="preserve"> </w:t>
      </w:r>
      <w:r w:rsidR="009B77A5" w:rsidRPr="00505159">
        <w:rPr>
          <w:sz w:val="22"/>
          <w:szCs w:val="22"/>
        </w:rPr>
        <w:t>required of each assigned engagement.</w:t>
      </w:r>
    </w:p>
    <w:p w14:paraId="64CA22F2" w14:textId="77777777" w:rsidR="006258B5" w:rsidRDefault="006258B5" w:rsidP="00421304">
      <w:pPr>
        <w:ind w:firstLine="720"/>
        <w:jc w:val="both"/>
      </w:pPr>
    </w:p>
    <w:p w14:paraId="12B2EC15" w14:textId="6BA02370" w:rsidR="00D736DB" w:rsidRDefault="00D736DB" w:rsidP="00FC2F74">
      <w:pPr>
        <w:jc w:val="both"/>
      </w:pPr>
      <w:r w:rsidRPr="00596101">
        <w:t>Counties and municipalities may request State assistance via an internet portal.  County and municipal requests for assistance will be managed by GDRO</w:t>
      </w:r>
      <w:r w:rsidR="00127CA4" w:rsidRPr="00596101">
        <w:t>.</w:t>
      </w:r>
    </w:p>
    <w:p w14:paraId="48490011" w14:textId="77777777" w:rsidR="00871229" w:rsidRDefault="00871229" w:rsidP="00D736DB">
      <w:pPr>
        <w:ind w:firstLine="720"/>
        <w:jc w:val="both"/>
      </w:pPr>
    </w:p>
    <w:p w14:paraId="7FC6B094" w14:textId="33F3513D" w:rsidR="004A3D3A" w:rsidRDefault="006258B5" w:rsidP="00FC2F74">
      <w:pPr>
        <w:autoSpaceDE w:val="0"/>
        <w:autoSpaceDN w:val="0"/>
        <w:adjustRightInd w:val="0"/>
        <w:jc w:val="both"/>
      </w:pPr>
      <w:r>
        <w:t>The Contractor(s) shall consult with and assist counties and municipalities that request assistance</w:t>
      </w:r>
      <w:r w:rsidR="005A68B8">
        <w:t xml:space="preserve"> through </w:t>
      </w:r>
      <w:r w:rsidR="009D4591">
        <w:t>the</w:t>
      </w:r>
      <w:r w:rsidR="00F54BE6">
        <w:t xml:space="preserve"> </w:t>
      </w:r>
      <w:r w:rsidR="00127CA4">
        <w:t>GDRO</w:t>
      </w:r>
      <w:r>
        <w:t xml:space="preserve"> in evaluating options for recovery programs, which may include general assistance with development of policies and programs relating to various recovery initiatives, such as economic recovery, individual assistance, small business assistance, healthcare support, emergency services and preparedness, </w:t>
      </w:r>
      <w:r w:rsidR="00D86C46">
        <w:t xml:space="preserve">procurement, </w:t>
      </w:r>
      <w:r>
        <w:t xml:space="preserve">or other program areas allowable under the U.S. Department of Treasury regulations.  </w:t>
      </w:r>
      <w:r w:rsidR="006C3654">
        <w:t>Bidders must</w:t>
      </w:r>
      <w:r w:rsidR="00D86C46">
        <w:t xml:space="preserve"> therefore </w:t>
      </w:r>
      <w:r w:rsidR="00675DD0">
        <w:t xml:space="preserve">demonstrate significant experience in interpreting and applying </w:t>
      </w:r>
      <w:r w:rsidR="008028A6">
        <w:t xml:space="preserve">federal </w:t>
      </w:r>
      <w:r w:rsidR="00675DD0">
        <w:t xml:space="preserve">regulations </w:t>
      </w:r>
      <w:r w:rsidR="009F0005">
        <w:t xml:space="preserve">such as the Uniform </w:t>
      </w:r>
      <w:r w:rsidR="00657934">
        <w:t xml:space="preserve">Administrative </w:t>
      </w:r>
      <w:r w:rsidR="00905CB6">
        <w:t>Requirements, Cost Principles and Audit Requirements for Federal Awards</w:t>
      </w:r>
      <w:r w:rsidR="009B77A5">
        <w:t xml:space="preserve"> </w:t>
      </w:r>
      <w:r w:rsidR="009F0005">
        <w:t xml:space="preserve">(2 CF.R. </w:t>
      </w:r>
      <w:r w:rsidR="00657934">
        <w:t xml:space="preserve">Part </w:t>
      </w:r>
      <w:r w:rsidR="009F0005">
        <w:t>200)</w:t>
      </w:r>
      <w:r w:rsidR="00657934" w:rsidRPr="009B77A5">
        <w:rPr>
          <w:rFonts w:eastAsiaTheme="minorEastAsia"/>
          <w:color w:val="000000"/>
          <w:sz w:val="23"/>
          <w:szCs w:val="23"/>
        </w:rPr>
        <w:t xml:space="preserve"> </w:t>
      </w:r>
    </w:p>
    <w:p w14:paraId="26169133" w14:textId="77777777" w:rsidR="00D736DB" w:rsidRDefault="00D736DB" w:rsidP="00421304">
      <w:pPr>
        <w:ind w:firstLine="720"/>
        <w:jc w:val="both"/>
      </w:pPr>
    </w:p>
    <w:p w14:paraId="5CA4080F" w14:textId="6E12164A" w:rsidR="00EB4E81" w:rsidRDefault="006258B5" w:rsidP="006A793E">
      <w:pPr>
        <w:jc w:val="both"/>
      </w:pPr>
      <w:r>
        <w:t xml:space="preserve">Contractor(s) shall provide advice and assistance during or after the </w:t>
      </w:r>
      <w:r w:rsidR="00E96F45">
        <w:t xml:space="preserve">development </w:t>
      </w:r>
      <w:r>
        <w:t>of recovery programs to ensure counties and municipalities have a system of internal controls to ensure eligible costs are reviewed adequately, documentation is collected and maintained properly, and that program funding and expenditures are not duplicative with other State and local programs</w:t>
      </w:r>
      <w:r w:rsidR="007B4E61">
        <w:t>, as reported by the local government entity</w:t>
      </w:r>
      <w:r>
        <w:t xml:space="preserve">.  </w:t>
      </w:r>
    </w:p>
    <w:p w14:paraId="7D2CF7D8" w14:textId="77777777" w:rsidR="00EB4E81" w:rsidRDefault="00EB4E81" w:rsidP="00421304">
      <w:pPr>
        <w:ind w:firstLine="720"/>
        <w:jc w:val="both"/>
      </w:pPr>
    </w:p>
    <w:p w14:paraId="108D03D9" w14:textId="412D0A63" w:rsidR="006258B5" w:rsidRDefault="006258B5" w:rsidP="006A793E">
      <w:pPr>
        <w:jc w:val="both"/>
      </w:pPr>
      <w:r>
        <w:t xml:space="preserve">Additionally, the Contractor(s) shall advise on how local programs can be most efficiently leveraged in responding to and recovering from COVID-19 with special attention provided to the unique needs of local communities.  In doing so, the Contractor(s) shall also advise on the potential budget impacts of LFRF programs.  </w:t>
      </w:r>
    </w:p>
    <w:p w14:paraId="77F4479C" w14:textId="77777777" w:rsidR="00EB4E81" w:rsidRDefault="00EB4E81" w:rsidP="00421304">
      <w:pPr>
        <w:ind w:firstLine="720"/>
        <w:jc w:val="both"/>
      </w:pPr>
    </w:p>
    <w:p w14:paraId="0CD95CA6" w14:textId="6675B754" w:rsidR="006258B5" w:rsidRDefault="006258B5" w:rsidP="006A793E">
      <w:pPr>
        <w:jc w:val="both"/>
      </w:pPr>
      <w:r>
        <w:t xml:space="preserve">Contractor(s) may be tasked with performing additional </w:t>
      </w:r>
      <w:r w:rsidR="00DB02B3">
        <w:t>services</w:t>
      </w:r>
      <w:r>
        <w:t xml:space="preserve"> as it relates to the need to implement a </w:t>
      </w:r>
      <w:r>
        <w:lastRenderedPageBreak/>
        <w:t>compliance and monitoring program to ensure conformance with federal and state guidance. Contractor(s) shall adhere to the State’s Standard Contract Terms and Conditions and all applicable federal and state statutes, regulations, and policies.</w:t>
      </w:r>
    </w:p>
    <w:p w14:paraId="5E579CA2" w14:textId="77777777" w:rsidR="00EB4E81" w:rsidRDefault="00EB4E81" w:rsidP="00421304">
      <w:pPr>
        <w:ind w:firstLine="720"/>
        <w:jc w:val="both"/>
      </w:pPr>
    </w:p>
    <w:p w14:paraId="09C4045B" w14:textId="1B5B3B53" w:rsidR="006258B5" w:rsidRDefault="006258B5" w:rsidP="006A793E">
      <w:pPr>
        <w:jc w:val="both"/>
      </w:pPr>
      <w:r>
        <w:t xml:space="preserve">GDRO may award this contract to up to four </w:t>
      </w:r>
      <w:r w:rsidR="00EA0345">
        <w:t>C</w:t>
      </w:r>
      <w:r>
        <w:t xml:space="preserve">ontractors.  </w:t>
      </w:r>
      <w:r w:rsidR="007E02A1">
        <w:t xml:space="preserve">The State will </w:t>
      </w:r>
      <w:r w:rsidR="00A308DE">
        <w:t xml:space="preserve">conduct </w:t>
      </w:r>
      <w:proofErr w:type="gramStart"/>
      <w:r w:rsidR="00A308DE">
        <w:t>mini-bids</w:t>
      </w:r>
      <w:proofErr w:type="gramEnd"/>
      <w:r w:rsidR="00A308DE">
        <w:t xml:space="preserve"> to </w:t>
      </w:r>
      <w:r w:rsidR="00365183">
        <w:t>award</w:t>
      </w:r>
      <w:r w:rsidR="00A308DE">
        <w:t xml:space="preserve"> </w:t>
      </w:r>
      <w:r w:rsidR="00365183">
        <w:t>specific engagements</w:t>
      </w:r>
      <w:r w:rsidR="00DC2D0A">
        <w:t xml:space="preserve"> based on price and other factors</w:t>
      </w:r>
      <w:r w:rsidR="00365183">
        <w:t xml:space="preserve"> to </w:t>
      </w:r>
      <w:r w:rsidR="00A308DE">
        <w:t>Contractor</w:t>
      </w:r>
      <w:r w:rsidR="00253BB0">
        <w:t xml:space="preserve">s </w:t>
      </w:r>
      <w:r w:rsidR="00C722CF">
        <w:t>as the</w:t>
      </w:r>
      <w:r w:rsidR="00726A0E">
        <w:t>y</w:t>
      </w:r>
      <w:r w:rsidR="00253BB0">
        <w:t xml:space="preserve"> arise</w:t>
      </w:r>
      <w:r>
        <w:t xml:space="preserve">.  </w:t>
      </w:r>
      <w:r w:rsidR="00726A0E">
        <w:t>Contractors will adhere to the labor rates quoted in their proposals with hours varying according to the nature of the engagement</w:t>
      </w:r>
      <w:r w:rsidR="009A277A">
        <w:t xml:space="preserve">, which will constitute the not-to-exceed total for that </w:t>
      </w:r>
      <w:proofErr w:type="gramStart"/>
      <w:r w:rsidR="009A277A">
        <w:t xml:space="preserve">particular </w:t>
      </w:r>
      <w:r w:rsidR="00E54BCD">
        <w:t>T</w:t>
      </w:r>
      <w:r w:rsidR="009A277A">
        <w:t>ask</w:t>
      </w:r>
      <w:proofErr w:type="gramEnd"/>
      <w:r w:rsidR="009A277A">
        <w:t xml:space="preserve"> </w:t>
      </w:r>
      <w:r w:rsidR="00E54BCD">
        <w:t>O</w:t>
      </w:r>
      <w:r w:rsidR="009A277A">
        <w:t>rder</w:t>
      </w:r>
      <w:r w:rsidR="00726A0E">
        <w:t>.</w:t>
      </w:r>
      <w:r w:rsidR="003A60EA">
        <w:t xml:space="preserve"> </w:t>
      </w:r>
    </w:p>
    <w:p w14:paraId="5899F2B5" w14:textId="77777777" w:rsidR="000F64D0" w:rsidRPr="00473258" w:rsidRDefault="000F64D0" w:rsidP="000F64D0">
      <w:pPr>
        <w:pStyle w:val="Heading1"/>
        <w:spacing w:after="240"/>
        <w:ind w:left="0"/>
        <w:rPr>
          <w:rFonts w:eastAsia="Calibri"/>
          <w:sz w:val="32"/>
          <w:szCs w:val="32"/>
        </w:rPr>
      </w:pPr>
    </w:p>
    <w:p w14:paraId="1A157051" w14:textId="03070120" w:rsidR="00836A7C" w:rsidRDefault="00836A7C" w:rsidP="00126A22">
      <w:pPr>
        <w:pStyle w:val="Heading1"/>
        <w:ind w:left="0"/>
        <w:rPr>
          <w:rFonts w:eastAsia="Calibri"/>
          <w:sz w:val="32"/>
          <w:szCs w:val="32"/>
        </w:rPr>
      </w:pPr>
      <w:bookmarkStart w:id="6" w:name="_Toc113629375"/>
      <w:bookmarkStart w:id="7" w:name="_Hlk48636177"/>
      <w:r w:rsidRPr="00473258">
        <w:rPr>
          <w:rFonts w:eastAsia="Calibri"/>
          <w:sz w:val="32"/>
          <w:szCs w:val="32"/>
        </w:rPr>
        <w:t>§</w:t>
      </w:r>
      <w:r w:rsidR="000F64D0">
        <w:rPr>
          <w:rFonts w:eastAsia="Calibri"/>
          <w:sz w:val="32"/>
          <w:szCs w:val="32"/>
        </w:rPr>
        <w:t>3</w:t>
      </w:r>
      <w:r w:rsidRPr="00473258">
        <w:rPr>
          <w:rFonts w:eastAsia="Calibri"/>
          <w:sz w:val="32"/>
          <w:szCs w:val="32"/>
        </w:rPr>
        <w:t>.0 Contract Terms and Payment</w:t>
      </w:r>
      <w:bookmarkEnd w:id="6"/>
      <w:r w:rsidRPr="00473258">
        <w:rPr>
          <w:rFonts w:eastAsia="Calibri"/>
          <w:sz w:val="32"/>
          <w:szCs w:val="32"/>
        </w:rPr>
        <w:t xml:space="preserve"> </w:t>
      </w:r>
    </w:p>
    <w:p w14:paraId="5062C0D1" w14:textId="77777777" w:rsidR="004F6DCB" w:rsidRDefault="004F6DCB" w:rsidP="00473258">
      <w:pPr>
        <w:pStyle w:val="Heading1"/>
        <w:rPr>
          <w:rFonts w:eastAsia="Calibri"/>
          <w:sz w:val="32"/>
          <w:szCs w:val="32"/>
        </w:rPr>
      </w:pPr>
    </w:p>
    <w:p w14:paraId="11E44C29" w14:textId="0B826A48" w:rsidR="00114941" w:rsidRPr="00473258" w:rsidRDefault="00114941" w:rsidP="007D3733">
      <w:pPr>
        <w:pStyle w:val="Heading2"/>
        <w:spacing w:after="240"/>
        <w:rPr>
          <w:rFonts w:eastAsia="Calibri"/>
          <w:sz w:val="24"/>
          <w:szCs w:val="24"/>
        </w:rPr>
      </w:pPr>
      <w:bookmarkStart w:id="8" w:name="_Toc113629376"/>
      <w:r w:rsidRPr="00473258">
        <w:rPr>
          <w:rFonts w:eastAsia="Calibri"/>
          <w:sz w:val="24"/>
          <w:szCs w:val="24"/>
        </w:rPr>
        <w:t>§</w:t>
      </w:r>
      <w:r w:rsidR="003E227C">
        <w:rPr>
          <w:rFonts w:eastAsia="Calibri"/>
          <w:sz w:val="24"/>
          <w:szCs w:val="24"/>
        </w:rPr>
        <w:t>3</w:t>
      </w:r>
      <w:r w:rsidR="00650BDD" w:rsidRPr="00473258">
        <w:rPr>
          <w:rFonts w:eastAsia="Calibri"/>
          <w:sz w:val="24"/>
          <w:szCs w:val="24"/>
        </w:rPr>
        <w:t>.1</w:t>
      </w:r>
      <w:r w:rsidR="007808B5">
        <w:rPr>
          <w:rFonts w:eastAsia="Calibri"/>
          <w:sz w:val="24"/>
          <w:szCs w:val="24"/>
        </w:rPr>
        <w:t xml:space="preserve"> </w:t>
      </w:r>
      <w:r w:rsidRPr="00473258">
        <w:rPr>
          <w:rFonts w:eastAsia="Calibri"/>
          <w:sz w:val="24"/>
          <w:szCs w:val="24"/>
        </w:rPr>
        <w:t>Contract Deliverables</w:t>
      </w:r>
      <w:bookmarkEnd w:id="8"/>
      <w:r w:rsidRPr="00473258">
        <w:rPr>
          <w:rFonts w:eastAsia="Calibri"/>
          <w:sz w:val="24"/>
          <w:szCs w:val="24"/>
        </w:rPr>
        <w:t xml:space="preserve"> </w:t>
      </w:r>
    </w:p>
    <w:p w14:paraId="4AF21AF2" w14:textId="71F95B42" w:rsidR="008F6E3F" w:rsidRPr="00114941" w:rsidRDefault="00114941" w:rsidP="007808B5">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w:t>
      </w:r>
      <w:r w:rsidR="007808B5">
        <w:rPr>
          <w:rFonts w:ascii="Calibri" w:eastAsia="Calibri" w:hAnsi="Calibri" w:cs="Times New Roman"/>
        </w:rPr>
        <w:t>Contractor(s)</w:t>
      </w:r>
      <w:r w:rsidRPr="00114941">
        <w:rPr>
          <w:rFonts w:ascii="Calibri" w:eastAsia="Calibri" w:hAnsi="Calibri" w:cs="Times New Roman"/>
        </w:rPr>
        <w:t xml:space="preserve"> </w:t>
      </w:r>
      <w:r w:rsidR="007808B5">
        <w:rPr>
          <w:rFonts w:ascii="Calibri" w:eastAsia="Calibri" w:hAnsi="Calibri" w:cs="Times New Roman"/>
        </w:rPr>
        <w:t>shall</w:t>
      </w:r>
      <w:r w:rsidRPr="00114941">
        <w:rPr>
          <w:rFonts w:ascii="Calibri" w:eastAsia="Calibri" w:hAnsi="Calibri" w:cs="Times New Roman"/>
        </w:rPr>
        <w:t xml:space="preserve"> </w:t>
      </w:r>
      <w:r w:rsidR="003529F0">
        <w:rPr>
          <w:rFonts w:ascii="Calibri" w:eastAsia="Calibri" w:hAnsi="Calibri" w:cs="Times New Roman"/>
        </w:rPr>
        <w:t xml:space="preserve">complete </w:t>
      </w:r>
      <w:bookmarkEnd w:id="7"/>
      <w:r w:rsidRPr="00114941">
        <w:rPr>
          <w:rFonts w:ascii="Calibri" w:eastAsia="Calibri" w:hAnsi="Calibri" w:cs="Times New Roman"/>
        </w:rPr>
        <w:t xml:space="preserve">the </w:t>
      </w:r>
      <w:r w:rsidR="001B0A7F">
        <w:rPr>
          <w:rFonts w:ascii="Calibri" w:eastAsia="Calibri" w:hAnsi="Calibri" w:cs="Times New Roman"/>
        </w:rPr>
        <w:t xml:space="preserve">required </w:t>
      </w:r>
      <w:r w:rsidRPr="00114941">
        <w:rPr>
          <w:rFonts w:ascii="Calibri" w:eastAsia="Calibri" w:hAnsi="Calibri" w:cs="Times New Roman"/>
        </w:rPr>
        <w:t xml:space="preserve">deliverables </w:t>
      </w:r>
      <w:r w:rsidR="007808B5">
        <w:rPr>
          <w:rFonts w:ascii="Calibri" w:eastAsia="Calibri" w:hAnsi="Calibri" w:cs="Times New Roman"/>
        </w:rPr>
        <w:t xml:space="preserve">specific to each project.  The deliverables shall be enumerated in the </w:t>
      </w:r>
      <w:r w:rsidR="00931312">
        <w:rPr>
          <w:rFonts w:ascii="Calibri" w:eastAsia="Calibri" w:hAnsi="Calibri" w:cs="Times New Roman"/>
        </w:rPr>
        <w:t>T</w:t>
      </w:r>
      <w:r w:rsidR="001B0A7F">
        <w:rPr>
          <w:rFonts w:ascii="Calibri" w:eastAsia="Calibri" w:hAnsi="Calibri" w:cs="Times New Roman"/>
        </w:rPr>
        <w:t xml:space="preserve">ask </w:t>
      </w:r>
      <w:r w:rsidR="00931312">
        <w:rPr>
          <w:rFonts w:ascii="Calibri" w:eastAsia="Calibri" w:hAnsi="Calibri" w:cs="Times New Roman"/>
        </w:rPr>
        <w:t>O</w:t>
      </w:r>
      <w:r w:rsidR="007808B5">
        <w:rPr>
          <w:rFonts w:ascii="Calibri" w:eastAsia="Calibri" w:hAnsi="Calibri" w:cs="Times New Roman"/>
        </w:rPr>
        <w:t xml:space="preserve">rders and may include survey work, analysis, implementation plans, reports, among other deliverables determined by the State Contract Manager.  </w:t>
      </w:r>
    </w:p>
    <w:p w14:paraId="147C9D88" w14:textId="13D64E0C"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w:t>
      </w:r>
      <w:r w:rsidR="007808B5">
        <w:rPr>
          <w:rFonts w:ascii="Calibri" w:eastAsia="Calibri" w:hAnsi="Calibri" w:cs="Times New Roman"/>
        </w:rPr>
        <w:t>Contractor(s)</w:t>
      </w:r>
      <w:r w:rsidRPr="00114941">
        <w:rPr>
          <w:rFonts w:ascii="Calibri" w:eastAsia="Calibri" w:hAnsi="Calibri" w:cs="Times New Roman"/>
        </w:rPr>
        <w:t xml:space="preserve"> shall participate in status calls with the State Contract Manager and </w:t>
      </w:r>
      <w:r w:rsidR="007808B5">
        <w:rPr>
          <w:rFonts w:ascii="Calibri" w:eastAsia="Calibri" w:hAnsi="Calibri" w:cs="Times New Roman"/>
        </w:rPr>
        <w:t>GDRO</w:t>
      </w:r>
      <w:r w:rsidR="00CE4FEF">
        <w:rPr>
          <w:rFonts w:ascii="Calibri" w:eastAsia="Calibri" w:hAnsi="Calibri" w:cs="Times New Roman"/>
        </w:rPr>
        <w:t xml:space="preserve"> to review each submittal prior to submission of </w:t>
      </w:r>
      <w:r w:rsidR="00C9045F">
        <w:rPr>
          <w:rFonts w:ascii="Calibri" w:eastAsia="Calibri" w:hAnsi="Calibri" w:cs="Times New Roman"/>
        </w:rPr>
        <w:t>deliverables</w:t>
      </w:r>
      <w:r w:rsidR="00753DB7">
        <w:rPr>
          <w:rFonts w:ascii="Calibri" w:eastAsia="Calibri" w:hAnsi="Calibri" w:cs="Times New Roman"/>
        </w:rPr>
        <w:t xml:space="preserve"> to </w:t>
      </w:r>
      <w:r w:rsidR="00E36C4C">
        <w:rPr>
          <w:rFonts w:ascii="Calibri" w:eastAsia="Calibri" w:hAnsi="Calibri" w:cs="Times New Roman"/>
        </w:rPr>
        <w:t>the local government and GDRO</w:t>
      </w:r>
      <w:r w:rsidRPr="00114941">
        <w:rPr>
          <w:rFonts w:ascii="Calibri" w:eastAsia="Calibri" w:hAnsi="Calibri" w:cs="Times New Roman"/>
        </w:rPr>
        <w:t>.</w:t>
      </w:r>
    </w:p>
    <w:p w14:paraId="180237BE" w14:textId="7D3E0ABA" w:rsidR="00114941" w:rsidRPr="00473258" w:rsidRDefault="00114941" w:rsidP="007D3733">
      <w:pPr>
        <w:pStyle w:val="Heading2"/>
        <w:spacing w:after="240"/>
        <w:rPr>
          <w:rFonts w:eastAsia="Calibri"/>
          <w:sz w:val="24"/>
          <w:szCs w:val="24"/>
        </w:rPr>
      </w:pPr>
      <w:bookmarkStart w:id="9" w:name="_Toc113629377"/>
      <w:r w:rsidRPr="00473258">
        <w:rPr>
          <w:rFonts w:eastAsia="Calibri"/>
          <w:sz w:val="24"/>
          <w:szCs w:val="24"/>
        </w:rPr>
        <w:t>§</w:t>
      </w:r>
      <w:r w:rsidR="003E227C">
        <w:rPr>
          <w:rFonts w:eastAsia="Calibri"/>
          <w:sz w:val="24"/>
          <w:szCs w:val="24"/>
        </w:rPr>
        <w:t>3</w:t>
      </w:r>
      <w:r w:rsidRPr="00473258">
        <w:rPr>
          <w:rFonts w:eastAsia="Calibri"/>
          <w:sz w:val="24"/>
          <w:szCs w:val="24"/>
        </w:rPr>
        <w:t>.</w:t>
      </w:r>
      <w:r w:rsidR="00473258" w:rsidRPr="00473258">
        <w:rPr>
          <w:rFonts w:eastAsia="Calibri"/>
          <w:sz w:val="24"/>
          <w:szCs w:val="24"/>
        </w:rPr>
        <w:t>2</w:t>
      </w:r>
      <w:r w:rsidRPr="00473258">
        <w:rPr>
          <w:rFonts w:eastAsia="Calibri"/>
          <w:sz w:val="24"/>
          <w:szCs w:val="24"/>
        </w:rPr>
        <w:t xml:space="preserve"> Contract Term/Extensions/Transition</w:t>
      </w:r>
      <w:bookmarkEnd w:id="9"/>
    </w:p>
    <w:p w14:paraId="28212C72" w14:textId="353D203D" w:rsidR="00114941" w:rsidRDefault="005B747B" w:rsidP="00114941">
      <w:pPr>
        <w:widowControl/>
        <w:spacing w:after="160" w:line="259" w:lineRule="auto"/>
        <w:jc w:val="both"/>
        <w:rPr>
          <w:rFonts w:ascii="Calibri" w:eastAsia="Calibri" w:hAnsi="Calibri" w:cs="Times New Roman"/>
        </w:rPr>
      </w:pPr>
      <w:r>
        <w:rPr>
          <w:rFonts w:ascii="Calibri" w:eastAsia="Calibri" w:hAnsi="Calibri" w:cs="Times New Roman"/>
        </w:rPr>
        <w:t xml:space="preserve">The term of this Contract shall be twelve (12) months. </w:t>
      </w:r>
      <w:r w:rsidR="007C75B4">
        <w:rPr>
          <w:rFonts w:ascii="Calibri" w:eastAsia="Calibri" w:hAnsi="Calibri" w:cs="Times New Roman"/>
        </w:rPr>
        <w:t>The Contract may be extended for up to two 6</w:t>
      </w:r>
      <w:r w:rsidR="00684D52">
        <w:rPr>
          <w:rFonts w:ascii="Calibri" w:eastAsia="Calibri" w:hAnsi="Calibri" w:cs="Times New Roman"/>
        </w:rPr>
        <w:t>-</w:t>
      </w:r>
      <w:r w:rsidR="007C75B4">
        <w:rPr>
          <w:rFonts w:ascii="Calibri" w:eastAsia="Calibri" w:hAnsi="Calibri" w:cs="Times New Roman"/>
        </w:rPr>
        <w:t xml:space="preserve">month options. </w:t>
      </w:r>
      <w:r w:rsidR="00114941" w:rsidRPr="00114941">
        <w:rPr>
          <w:rFonts w:ascii="Calibri" w:eastAsia="Calibri" w:hAnsi="Calibri" w:cs="Times New Roman"/>
        </w:rPr>
        <w:t>The Contract for this RFQ consists of this RFQ, the State of New Jersey Standard Terms and Conditions (“SSTC”)</w:t>
      </w:r>
      <w:r w:rsidR="00BB2DD9">
        <w:rPr>
          <w:rFonts w:ascii="Calibri" w:eastAsia="Calibri" w:hAnsi="Calibri" w:cs="Times New Roman"/>
        </w:rPr>
        <w:t xml:space="preserve">, the </w:t>
      </w:r>
      <w:r w:rsidR="00635D6A">
        <w:rPr>
          <w:rFonts w:ascii="Calibri" w:eastAsia="Calibri" w:hAnsi="Calibri" w:cs="Times New Roman"/>
        </w:rPr>
        <w:t>W</w:t>
      </w:r>
      <w:r w:rsidR="00BB2DD9">
        <w:rPr>
          <w:rFonts w:ascii="Calibri" w:eastAsia="Calibri" w:hAnsi="Calibri" w:cs="Times New Roman"/>
        </w:rPr>
        <w:t xml:space="preserve">aivered </w:t>
      </w:r>
      <w:r w:rsidR="00FD0CEC">
        <w:rPr>
          <w:rFonts w:ascii="Calibri" w:eastAsia="Calibri" w:hAnsi="Calibri" w:cs="Times New Roman"/>
        </w:rPr>
        <w:t xml:space="preserve">Contracts </w:t>
      </w:r>
      <w:r w:rsidR="00635D6A">
        <w:rPr>
          <w:rFonts w:ascii="Calibri" w:eastAsia="Calibri" w:hAnsi="Calibri" w:cs="Times New Roman"/>
        </w:rPr>
        <w:t>Supplement to the SSTC, and</w:t>
      </w:r>
      <w:r w:rsidR="002E7206">
        <w:rPr>
          <w:rFonts w:ascii="Calibri" w:eastAsia="Calibri" w:hAnsi="Calibri" w:cs="Times New Roman"/>
        </w:rPr>
        <w:t xml:space="preserve"> </w:t>
      </w:r>
      <w:r w:rsidR="002E7206" w:rsidRPr="00114941">
        <w:rPr>
          <w:rFonts w:ascii="Calibri" w:eastAsia="Calibri" w:hAnsi="Calibri" w:cs="Times New Roman"/>
        </w:rPr>
        <w:t>the successful Bidder’s Quote</w:t>
      </w:r>
      <w:r w:rsidR="00114941" w:rsidRPr="00114941">
        <w:rPr>
          <w:rFonts w:ascii="Calibri" w:eastAsia="Calibri" w:hAnsi="Calibri" w:cs="Times New Roman"/>
        </w:rPr>
        <w:t xml:space="preserve">.  The SSTC will apply to this Contract, in addition to the terms and conditions otherwise set forth in this RFQ.  Both should be read in conjunction, unless the RFQ indicates otherwise. </w:t>
      </w:r>
    </w:p>
    <w:p w14:paraId="69AF02E6" w14:textId="763B06CC" w:rsidR="00C9045F" w:rsidRPr="00114941" w:rsidRDefault="00854682" w:rsidP="00114941">
      <w:pPr>
        <w:widowControl/>
        <w:spacing w:after="160" w:line="259" w:lineRule="auto"/>
        <w:jc w:val="both"/>
        <w:rPr>
          <w:rFonts w:ascii="Calibri" w:eastAsia="Calibri" w:hAnsi="Calibri" w:cs="Times New Roman"/>
        </w:rPr>
      </w:pPr>
      <w:r>
        <w:rPr>
          <w:rFonts w:ascii="Calibri" w:eastAsia="Calibri" w:hAnsi="Calibri" w:cs="Times New Roman"/>
        </w:rPr>
        <w:t xml:space="preserve">Within five (5) days of award, the Contractor(s) shall conduct a </w:t>
      </w:r>
      <w:r w:rsidR="007A6C60">
        <w:rPr>
          <w:rFonts w:ascii="Calibri" w:eastAsia="Calibri" w:hAnsi="Calibri" w:cs="Times New Roman"/>
        </w:rPr>
        <w:t>kick-off meeting with the State Contract Manager</w:t>
      </w:r>
      <w:r w:rsidR="00CA1B27">
        <w:rPr>
          <w:rFonts w:ascii="Calibri" w:eastAsia="Calibri" w:hAnsi="Calibri" w:cs="Times New Roman"/>
        </w:rPr>
        <w:t xml:space="preserve"> and GDRO</w:t>
      </w:r>
      <w:r w:rsidR="007A6C60">
        <w:rPr>
          <w:rFonts w:ascii="Calibri" w:eastAsia="Calibri" w:hAnsi="Calibri" w:cs="Times New Roman"/>
        </w:rPr>
        <w:t xml:space="preserve"> to</w:t>
      </w:r>
      <w:r w:rsidR="003E17AA">
        <w:rPr>
          <w:rFonts w:ascii="Calibri" w:eastAsia="Calibri" w:hAnsi="Calibri" w:cs="Times New Roman"/>
        </w:rPr>
        <w:t xml:space="preserve"> finalize processes and procedures,</w:t>
      </w:r>
      <w:r w:rsidR="00DD6462">
        <w:rPr>
          <w:rFonts w:ascii="Calibri" w:eastAsia="Calibri" w:hAnsi="Calibri" w:cs="Times New Roman"/>
        </w:rPr>
        <w:t xml:space="preserve"> discuss</w:t>
      </w:r>
      <w:r w:rsidR="003E17AA">
        <w:rPr>
          <w:rFonts w:ascii="Calibri" w:eastAsia="Calibri" w:hAnsi="Calibri" w:cs="Times New Roman"/>
        </w:rPr>
        <w:t xml:space="preserve"> </w:t>
      </w:r>
      <w:r w:rsidR="00CA1B27">
        <w:rPr>
          <w:rFonts w:ascii="Calibri" w:eastAsia="Calibri" w:hAnsi="Calibri" w:cs="Times New Roman"/>
        </w:rPr>
        <w:t>potential</w:t>
      </w:r>
      <w:r w:rsidR="00DD6462">
        <w:rPr>
          <w:rFonts w:ascii="Calibri" w:eastAsia="Calibri" w:hAnsi="Calibri" w:cs="Times New Roman"/>
        </w:rPr>
        <w:t xml:space="preserve"> engagements, and complete any outstanding administrative items.  The State expects the Contractor to </w:t>
      </w:r>
      <w:r w:rsidR="00DF59F5">
        <w:rPr>
          <w:rFonts w:ascii="Calibri" w:eastAsia="Calibri" w:hAnsi="Calibri" w:cs="Times New Roman"/>
        </w:rPr>
        <w:t xml:space="preserve">be ready to </w:t>
      </w:r>
      <w:r w:rsidR="00DD6462">
        <w:rPr>
          <w:rFonts w:ascii="Calibri" w:eastAsia="Calibri" w:hAnsi="Calibri" w:cs="Times New Roman"/>
        </w:rPr>
        <w:t xml:space="preserve">begin </w:t>
      </w:r>
      <w:r w:rsidR="00DF59F5">
        <w:rPr>
          <w:rFonts w:ascii="Calibri" w:eastAsia="Calibri" w:hAnsi="Calibri" w:cs="Times New Roman"/>
        </w:rPr>
        <w:t>assignments</w:t>
      </w:r>
      <w:r w:rsidR="00DD6462">
        <w:rPr>
          <w:rFonts w:ascii="Calibri" w:eastAsia="Calibri" w:hAnsi="Calibri" w:cs="Times New Roman"/>
        </w:rPr>
        <w:t xml:space="preserve"> </w:t>
      </w:r>
      <w:r w:rsidR="00DF59F5">
        <w:rPr>
          <w:rFonts w:ascii="Calibri" w:eastAsia="Calibri" w:hAnsi="Calibri" w:cs="Times New Roman"/>
        </w:rPr>
        <w:t>after two (2) weeks of award.</w:t>
      </w:r>
    </w:p>
    <w:p w14:paraId="6DDBAE7B" w14:textId="72340ADD" w:rsidR="00114941" w:rsidRPr="00473258" w:rsidRDefault="00114941" w:rsidP="007D3733">
      <w:pPr>
        <w:pStyle w:val="Heading2"/>
        <w:spacing w:after="240"/>
        <w:rPr>
          <w:rFonts w:eastAsia="Calibri"/>
          <w:sz w:val="24"/>
          <w:szCs w:val="24"/>
        </w:rPr>
      </w:pPr>
      <w:bookmarkStart w:id="10" w:name="_Toc113629378"/>
      <w:r w:rsidRPr="00473258">
        <w:rPr>
          <w:rFonts w:eastAsia="Calibri"/>
          <w:sz w:val="24"/>
          <w:szCs w:val="24"/>
        </w:rPr>
        <w:t>§</w:t>
      </w:r>
      <w:r w:rsidR="003E227C">
        <w:rPr>
          <w:rFonts w:eastAsia="Calibri"/>
          <w:sz w:val="24"/>
          <w:szCs w:val="24"/>
        </w:rPr>
        <w:t>3</w:t>
      </w:r>
      <w:r w:rsidRPr="00473258">
        <w:rPr>
          <w:rFonts w:eastAsia="Calibri"/>
          <w:sz w:val="24"/>
          <w:szCs w:val="24"/>
        </w:rPr>
        <w:t>.</w:t>
      </w:r>
      <w:r w:rsidR="00473258" w:rsidRPr="00473258">
        <w:rPr>
          <w:rFonts w:eastAsia="Calibri"/>
          <w:sz w:val="24"/>
          <w:szCs w:val="24"/>
        </w:rPr>
        <w:t>3</w:t>
      </w:r>
      <w:r w:rsidRPr="00473258">
        <w:rPr>
          <w:rFonts w:eastAsia="Calibri"/>
          <w:sz w:val="24"/>
          <w:szCs w:val="24"/>
        </w:rPr>
        <w:t xml:space="preserve"> </w:t>
      </w:r>
      <w:r w:rsidR="009029FE">
        <w:rPr>
          <w:rFonts w:eastAsia="Calibri"/>
          <w:sz w:val="24"/>
          <w:szCs w:val="24"/>
        </w:rPr>
        <w:t xml:space="preserve">Task </w:t>
      </w:r>
      <w:r w:rsidRPr="00473258">
        <w:rPr>
          <w:rFonts w:eastAsia="Calibri"/>
          <w:sz w:val="24"/>
          <w:szCs w:val="24"/>
        </w:rPr>
        <w:t>Orders</w:t>
      </w:r>
      <w:bookmarkEnd w:id="10"/>
    </w:p>
    <w:p w14:paraId="1FC1948E" w14:textId="023FA47B" w:rsidR="00114941" w:rsidRPr="00114941" w:rsidRDefault="007808B5" w:rsidP="00114941">
      <w:pPr>
        <w:widowControl/>
        <w:spacing w:after="160" w:line="259" w:lineRule="auto"/>
        <w:jc w:val="both"/>
        <w:rPr>
          <w:rFonts w:ascii="Calibri" w:eastAsia="Calibri" w:hAnsi="Calibri" w:cs="Times New Roman"/>
        </w:rPr>
      </w:pPr>
      <w:r>
        <w:rPr>
          <w:rFonts w:ascii="Calibri" w:eastAsia="Calibri" w:hAnsi="Calibri" w:cs="Times New Roman"/>
        </w:rPr>
        <w:t xml:space="preserve">The State Contract Manager </w:t>
      </w:r>
      <w:r w:rsidR="00EF6F25">
        <w:rPr>
          <w:rFonts w:ascii="Calibri" w:eastAsia="Calibri" w:hAnsi="Calibri" w:cs="Times New Roman"/>
        </w:rPr>
        <w:t xml:space="preserve">will </w:t>
      </w:r>
      <w:r>
        <w:rPr>
          <w:rFonts w:ascii="Calibri" w:eastAsia="Calibri" w:hAnsi="Calibri" w:cs="Times New Roman"/>
        </w:rPr>
        <w:t xml:space="preserve">issue </w:t>
      </w:r>
      <w:r w:rsidR="00841022">
        <w:rPr>
          <w:rFonts w:ascii="Calibri" w:eastAsia="Calibri" w:hAnsi="Calibri" w:cs="Times New Roman"/>
        </w:rPr>
        <w:t>a Notice to Proceed</w:t>
      </w:r>
      <w:r w:rsidR="00114941" w:rsidRPr="00114941">
        <w:rPr>
          <w:rFonts w:ascii="Calibri" w:eastAsia="Calibri" w:hAnsi="Calibri" w:cs="Times New Roman"/>
        </w:rPr>
        <w:t xml:space="preserve"> letter reflecting the authorized scope </w:t>
      </w:r>
      <w:r>
        <w:rPr>
          <w:rFonts w:ascii="Calibri" w:eastAsia="Calibri" w:hAnsi="Calibri" w:cs="Times New Roman"/>
        </w:rPr>
        <w:t xml:space="preserve">of </w:t>
      </w:r>
      <w:r w:rsidR="00557EA0">
        <w:rPr>
          <w:rFonts w:ascii="Calibri" w:eastAsia="Calibri" w:hAnsi="Calibri" w:cs="Times New Roman"/>
        </w:rPr>
        <w:t>work</w:t>
      </w:r>
      <w:r w:rsidR="001F5349">
        <w:rPr>
          <w:rFonts w:ascii="Calibri" w:eastAsia="Calibri" w:hAnsi="Calibri" w:cs="Times New Roman"/>
        </w:rPr>
        <w:t>,</w:t>
      </w:r>
      <w:r>
        <w:rPr>
          <w:rFonts w:ascii="Calibri" w:eastAsia="Calibri" w:hAnsi="Calibri" w:cs="Times New Roman"/>
        </w:rPr>
        <w:t xml:space="preserve"> deliverables</w:t>
      </w:r>
      <w:r w:rsidR="001F5349">
        <w:rPr>
          <w:rFonts w:ascii="Calibri" w:eastAsia="Calibri" w:hAnsi="Calibri" w:cs="Times New Roman"/>
        </w:rPr>
        <w:t>,</w:t>
      </w:r>
      <w:r>
        <w:rPr>
          <w:rFonts w:ascii="Calibri" w:eastAsia="Calibri" w:hAnsi="Calibri" w:cs="Times New Roman"/>
        </w:rPr>
        <w:t xml:space="preserve"> </w:t>
      </w:r>
      <w:r w:rsidR="0065731E">
        <w:rPr>
          <w:rFonts w:ascii="Calibri" w:eastAsia="Calibri" w:hAnsi="Calibri" w:cs="Times New Roman"/>
        </w:rPr>
        <w:t xml:space="preserve">and timeframe for completion, </w:t>
      </w:r>
      <w:r>
        <w:rPr>
          <w:rFonts w:ascii="Calibri" w:eastAsia="Calibri" w:hAnsi="Calibri" w:cs="Times New Roman"/>
        </w:rPr>
        <w:t>authorized for each</w:t>
      </w:r>
      <w:r w:rsidR="005E175C">
        <w:rPr>
          <w:rFonts w:ascii="Calibri" w:eastAsia="Calibri" w:hAnsi="Calibri" w:cs="Times New Roman"/>
        </w:rPr>
        <w:t xml:space="preserve"> </w:t>
      </w:r>
      <w:r w:rsidR="00EF6F25">
        <w:rPr>
          <w:rFonts w:ascii="Calibri" w:eastAsia="Calibri" w:hAnsi="Calibri" w:cs="Times New Roman"/>
        </w:rPr>
        <w:t>Task Order</w:t>
      </w:r>
      <w:r>
        <w:rPr>
          <w:rFonts w:ascii="Calibri" w:eastAsia="Calibri" w:hAnsi="Calibri" w:cs="Times New Roman"/>
        </w:rPr>
        <w:t xml:space="preserve">.  </w:t>
      </w:r>
      <w:r w:rsidR="00114941" w:rsidRPr="00114941">
        <w:rPr>
          <w:rFonts w:ascii="Calibri" w:eastAsia="Calibri" w:hAnsi="Calibri" w:cs="Times New Roman"/>
        </w:rPr>
        <w:t xml:space="preserve">Any work undertaken without such authorization is at the </w:t>
      </w:r>
      <w:r>
        <w:rPr>
          <w:rFonts w:ascii="Calibri" w:eastAsia="Calibri" w:hAnsi="Calibri" w:cs="Times New Roman"/>
        </w:rPr>
        <w:t>Contractor(s)’</w:t>
      </w:r>
      <w:r w:rsidR="00F23FF9">
        <w:rPr>
          <w:rFonts w:ascii="Calibri" w:eastAsia="Calibri" w:hAnsi="Calibri" w:cs="Times New Roman"/>
        </w:rPr>
        <w:t xml:space="preserve"> </w:t>
      </w:r>
      <w:r w:rsidR="00114941" w:rsidRPr="00114941">
        <w:rPr>
          <w:rFonts w:ascii="Calibri" w:eastAsia="Calibri" w:hAnsi="Calibri" w:cs="Times New Roman"/>
        </w:rPr>
        <w:t>risk.</w:t>
      </w:r>
      <w:r w:rsidR="001F5349">
        <w:rPr>
          <w:rFonts w:ascii="Calibri" w:eastAsia="Calibri" w:hAnsi="Calibri" w:cs="Times New Roman"/>
        </w:rPr>
        <w:t xml:space="preserve"> </w:t>
      </w:r>
      <w:r w:rsidR="00AF41A5">
        <w:rPr>
          <w:rFonts w:ascii="Calibri" w:eastAsia="Calibri" w:hAnsi="Calibri" w:cs="Times New Roman"/>
        </w:rPr>
        <w:t xml:space="preserve"> </w:t>
      </w:r>
    </w:p>
    <w:p w14:paraId="606CC667" w14:textId="1ED72C58" w:rsidR="00114941" w:rsidRPr="005759CE" w:rsidRDefault="00114941" w:rsidP="007D3733">
      <w:pPr>
        <w:pStyle w:val="Heading2"/>
        <w:spacing w:after="240"/>
        <w:rPr>
          <w:rFonts w:eastAsia="Calibri"/>
          <w:sz w:val="24"/>
          <w:szCs w:val="24"/>
        </w:rPr>
      </w:pPr>
      <w:bookmarkStart w:id="11" w:name="_Toc113629379"/>
      <w:r w:rsidRPr="005759CE">
        <w:rPr>
          <w:rFonts w:eastAsia="Calibri"/>
          <w:sz w:val="24"/>
          <w:szCs w:val="24"/>
        </w:rPr>
        <w:t>§</w:t>
      </w:r>
      <w:r w:rsidR="003E227C">
        <w:rPr>
          <w:rFonts w:eastAsia="Calibri"/>
          <w:sz w:val="24"/>
          <w:szCs w:val="24"/>
        </w:rPr>
        <w:t>3</w:t>
      </w:r>
      <w:r w:rsidRPr="005759CE">
        <w:rPr>
          <w:rFonts w:eastAsia="Calibri"/>
          <w:sz w:val="24"/>
          <w:szCs w:val="24"/>
        </w:rPr>
        <w:t>.</w:t>
      </w:r>
      <w:r w:rsidR="00473258" w:rsidRPr="005759CE">
        <w:rPr>
          <w:rFonts w:eastAsia="Calibri"/>
          <w:sz w:val="24"/>
          <w:szCs w:val="24"/>
        </w:rPr>
        <w:t>4</w:t>
      </w:r>
      <w:r w:rsidRPr="005759CE">
        <w:rPr>
          <w:rFonts w:eastAsia="Calibri"/>
          <w:sz w:val="24"/>
          <w:szCs w:val="24"/>
        </w:rPr>
        <w:t xml:space="preserve"> Payment</w:t>
      </w:r>
      <w:bookmarkEnd w:id="11"/>
    </w:p>
    <w:p w14:paraId="35F7984C" w14:textId="494E0F0B" w:rsidR="003E227C" w:rsidRDefault="007808B5" w:rsidP="007808B5">
      <w:pPr>
        <w:jc w:val="both"/>
      </w:pPr>
      <w:r>
        <w:t xml:space="preserve">Payment shall be made in accordance with the SSTC.  </w:t>
      </w:r>
      <w:r w:rsidR="00626506">
        <w:t xml:space="preserve">Contractor will submit pricing for each </w:t>
      </w:r>
      <w:r w:rsidR="00AF41A5">
        <w:t>Task Order</w:t>
      </w:r>
      <w:r w:rsidR="008B0E24">
        <w:t xml:space="preserve">, including the NTE amount, based on the Scope of </w:t>
      </w:r>
      <w:r w:rsidR="00DB02B3">
        <w:t xml:space="preserve">Work </w:t>
      </w:r>
      <w:r w:rsidR="008B0E24">
        <w:t>contemplated in the Task Orde</w:t>
      </w:r>
      <w:r w:rsidR="0049556A">
        <w:t xml:space="preserve">r. The State will pay the Contractor after the Contractor has </w:t>
      </w:r>
      <w:r w:rsidR="00221B66">
        <w:t>completed the Task Order and submitted the required deliverables.</w:t>
      </w:r>
    </w:p>
    <w:p w14:paraId="48575968" w14:textId="77777777" w:rsidR="006A793E" w:rsidRDefault="006A793E" w:rsidP="00126A22">
      <w:pPr>
        <w:pStyle w:val="Heading1"/>
        <w:spacing w:after="240"/>
        <w:ind w:left="0"/>
        <w:rPr>
          <w:rFonts w:eastAsia="Calibri"/>
          <w:sz w:val="32"/>
          <w:szCs w:val="32"/>
        </w:rPr>
      </w:pPr>
    </w:p>
    <w:p w14:paraId="4556EAFF" w14:textId="7D1B082E" w:rsidR="00626987" w:rsidRPr="005759CE" w:rsidRDefault="00114941" w:rsidP="00126A22">
      <w:pPr>
        <w:pStyle w:val="Heading1"/>
        <w:spacing w:after="240"/>
        <w:ind w:left="0"/>
        <w:rPr>
          <w:rFonts w:eastAsia="Calibri"/>
          <w:sz w:val="32"/>
          <w:szCs w:val="32"/>
        </w:rPr>
      </w:pPr>
      <w:bookmarkStart w:id="12" w:name="_Toc113629380"/>
      <w:r w:rsidRPr="005759CE">
        <w:rPr>
          <w:rFonts w:eastAsia="Calibri"/>
          <w:sz w:val="32"/>
          <w:szCs w:val="32"/>
        </w:rPr>
        <w:lastRenderedPageBreak/>
        <w:t>§</w:t>
      </w:r>
      <w:r w:rsidR="003E227C">
        <w:rPr>
          <w:rFonts w:eastAsia="Calibri"/>
          <w:sz w:val="32"/>
          <w:szCs w:val="32"/>
        </w:rPr>
        <w:t>4</w:t>
      </w:r>
      <w:r w:rsidRPr="005759CE">
        <w:rPr>
          <w:rFonts w:eastAsia="Calibri"/>
          <w:sz w:val="32"/>
          <w:szCs w:val="32"/>
        </w:rPr>
        <w:t>.0 Bidding Process</w:t>
      </w:r>
      <w:bookmarkEnd w:id="12"/>
    </w:p>
    <w:p w14:paraId="12F03FF3" w14:textId="52983BA4" w:rsidR="00114941" w:rsidRPr="005759CE" w:rsidRDefault="00114941" w:rsidP="007D3733">
      <w:pPr>
        <w:pStyle w:val="Heading2"/>
        <w:spacing w:after="240"/>
        <w:rPr>
          <w:rFonts w:eastAsia="Calibri"/>
          <w:sz w:val="24"/>
          <w:szCs w:val="24"/>
        </w:rPr>
      </w:pPr>
      <w:bookmarkStart w:id="13" w:name="_Toc113629381"/>
      <w:bookmarkStart w:id="14" w:name="_Hlk48636433"/>
      <w:r w:rsidRPr="005759CE">
        <w:rPr>
          <w:rFonts w:eastAsia="Calibri"/>
          <w:sz w:val="24"/>
          <w:szCs w:val="24"/>
        </w:rPr>
        <w:t>§</w:t>
      </w:r>
      <w:r w:rsidR="003E227C">
        <w:rPr>
          <w:rFonts w:eastAsia="Calibri"/>
          <w:sz w:val="24"/>
          <w:szCs w:val="24"/>
        </w:rPr>
        <w:t>4</w:t>
      </w:r>
      <w:r w:rsidRPr="005759CE">
        <w:rPr>
          <w:rFonts w:eastAsia="Calibri"/>
          <w:sz w:val="24"/>
          <w:szCs w:val="24"/>
        </w:rPr>
        <w:t>.1 Question and Answer Period</w:t>
      </w:r>
      <w:bookmarkEnd w:id="13"/>
    </w:p>
    <w:p w14:paraId="25D1FC2F" w14:textId="335E1A2C"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State will accept questions up to </w:t>
      </w:r>
      <w:r w:rsidR="00BC6521">
        <w:rPr>
          <w:rFonts w:ascii="Calibri" w:eastAsia="Calibri" w:hAnsi="Calibri" w:cs="Times New Roman"/>
        </w:rPr>
        <w:t>ten</w:t>
      </w:r>
      <w:r w:rsidRPr="00114941">
        <w:rPr>
          <w:rFonts w:ascii="Calibri" w:eastAsia="Calibri" w:hAnsi="Calibri" w:cs="Times New Roman"/>
        </w:rPr>
        <w:t xml:space="preserve"> (</w:t>
      </w:r>
      <w:r w:rsidR="00BC6521">
        <w:rPr>
          <w:rFonts w:ascii="Calibri" w:eastAsia="Calibri" w:hAnsi="Calibri" w:cs="Times New Roman"/>
        </w:rPr>
        <w:t>10</w:t>
      </w:r>
      <w:r w:rsidRPr="00114941">
        <w:rPr>
          <w:rFonts w:ascii="Calibri" w:eastAsia="Calibri" w:hAnsi="Calibri" w:cs="Times New Roman"/>
        </w:rPr>
        <w:t xml:space="preserve">) </w:t>
      </w:r>
      <w:r w:rsidR="00BC6521">
        <w:rPr>
          <w:rFonts w:ascii="Calibri" w:eastAsia="Calibri" w:hAnsi="Calibri" w:cs="Times New Roman"/>
        </w:rPr>
        <w:t xml:space="preserve">business </w:t>
      </w:r>
      <w:r w:rsidRPr="00114941">
        <w:rPr>
          <w:rFonts w:ascii="Calibri" w:eastAsia="Calibri" w:hAnsi="Calibri" w:cs="Times New Roman"/>
        </w:rPr>
        <w:t xml:space="preserve">days after the posting of the solicitation, or 2:00 </w:t>
      </w:r>
      <w:r w:rsidR="00B41664">
        <w:rPr>
          <w:rFonts w:ascii="Calibri" w:eastAsia="Calibri" w:hAnsi="Calibri" w:cs="Times New Roman"/>
        </w:rPr>
        <w:t xml:space="preserve">pm </w:t>
      </w:r>
      <w:r w:rsidRPr="00114941">
        <w:rPr>
          <w:rFonts w:ascii="Calibri" w:eastAsia="Calibri" w:hAnsi="Calibri" w:cs="Times New Roman"/>
        </w:rPr>
        <w:t xml:space="preserve">on </w:t>
      </w:r>
      <w:r w:rsidR="001F4926">
        <w:rPr>
          <w:rFonts w:ascii="Calibri" w:eastAsia="Calibri" w:hAnsi="Calibri" w:cs="Times New Roman"/>
        </w:rPr>
        <w:t>Monday</w:t>
      </w:r>
      <w:r w:rsidR="00093B6D">
        <w:rPr>
          <w:rFonts w:ascii="Calibri" w:eastAsia="Calibri" w:hAnsi="Calibri" w:cs="Times New Roman"/>
        </w:rPr>
        <w:t>,</w:t>
      </w:r>
      <w:r w:rsidR="00D0053B" w:rsidRPr="00114941">
        <w:rPr>
          <w:rFonts w:ascii="Calibri" w:eastAsia="Calibri" w:hAnsi="Calibri" w:cs="Times New Roman"/>
        </w:rPr>
        <w:t xml:space="preserve"> </w:t>
      </w:r>
      <w:r w:rsidR="001F4926">
        <w:rPr>
          <w:rFonts w:ascii="Calibri" w:eastAsia="Calibri" w:hAnsi="Calibri" w:cs="Times New Roman"/>
        </w:rPr>
        <w:t>September</w:t>
      </w:r>
      <w:r w:rsidR="00B23872">
        <w:rPr>
          <w:rFonts w:ascii="Calibri" w:eastAsia="Calibri" w:hAnsi="Calibri" w:cs="Times New Roman"/>
        </w:rPr>
        <w:t xml:space="preserve"> 26,</w:t>
      </w:r>
      <w:r w:rsidR="007808B5">
        <w:rPr>
          <w:rFonts w:ascii="Calibri" w:eastAsia="Calibri" w:hAnsi="Calibri" w:cs="Times New Roman"/>
        </w:rPr>
        <w:t xml:space="preserve"> </w:t>
      </w:r>
      <w:r w:rsidR="00D0053B" w:rsidRPr="00114941">
        <w:rPr>
          <w:rFonts w:ascii="Calibri" w:eastAsia="Calibri" w:hAnsi="Calibri" w:cs="Times New Roman"/>
        </w:rPr>
        <w:t>202</w:t>
      </w:r>
      <w:r w:rsidR="00D0053B">
        <w:rPr>
          <w:rFonts w:ascii="Calibri" w:eastAsia="Calibri" w:hAnsi="Calibri" w:cs="Times New Roman"/>
        </w:rPr>
        <w:t>2</w:t>
      </w:r>
      <w:r w:rsidRPr="00114941">
        <w:rPr>
          <w:rFonts w:ascii="Calibri" w:eastAsia="Calibri" w:hAnsi="Calibri" w:cs="Times New Roman"/>
        </w:rPr>
        <w:t>.  Bidders shall send their Questions via email to:</w:t>
      </w:r>
    </w:p>
    <w:p w14:paraId="03C465AE" w14:textId="61C10CC4" w:rsidR="00114941" w:rsidRPr="00114941" w:rsidRDefault="0047717E" w:rsidP="00114941">
      <w:pPr>
        <w:widowControl/>
        <w:spacing w:line="259" w:lineRule="auto"/>
        <w:jc w:val="center"/>
        <w:rPr>
          <w:rFonts w:ascii="Calibri" w:eastAsia="Calibri" w:hAnsi="Calibri" w:cs="Times New Roman"/>
        </w:rPr>
      </w:pPr>
      <w:hyperlink r:id="rId18" w:history="1">
        <w:r w:rsidR="00E87143" w:rsidRPr="0080384C">
          <w:rPr>
            <w:rStyle w:val="Hyperlink"/>
            <w:rFonts w:ascii="Calibri" w:eastAsia="Calibri" w:hAnsi="Calibri" w:cs="Times New Roman"/>
          </w:rPr>
          <w:t>DRM.Solicitations@dca.nj.gov</w:t>
        </w:r>
      </w:hyperlink>
    </w:p>
    <w:p w14:paraId="207D6615" w14:textId="77777777" w:rsidR="00114941" w:rsidRPr="00114941" w:rsidRDefault="00114941" w:rsidP="00114941">
      <w:pPr>
        <w:widowControl/>
        <w:spacing w:line="259" w:lineRule="auto"/>
        <w:jc w:val="center"/>
        <w:rPr>
          <w:rFonts w:ascii="Calibri" w:eastAsia="Calibri" w:hAnsi="Calibri" w:cs="Times New Roman"/>
        </w:rPr>
      </w:pPr>
    </w:p>
    <w:p w14:paraId="05C1EB01" w14:textId="75332980"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Department will post the </w:t>
      </w:r>
      <w:r w:rsidR="0040445E">
        <w:rPr>
          <w:rFonts w:ascii="Calibri" w:eastAsia="Calibri" w:hAnsi="Calibri" w:cs="Times New Roman"/>
        </w:rPr>
        <w:t xml:space="preserve">questions and </w:t>
      </w:r>
      <w:r w:rsidRPr="00114941">
        <w:rPr>
          <w:rFonts w:ascii="Calibri" w:eastAsia="Calibri" w:hAnsi="Calibri" w:cs="Times New Roman"/>
        </w:rPr>
        <w:t xml:space="preserve">answers </w:t>
      </w:r>
      <w:r w:rsidR="00FB104D">
        <w:rPr>
          <w:rFonts w:ascii="Calibri" w:eastAsia="Calibri" w:hAnsi="Calibri" w:cs="Times New Roman"/>
        </w:rPr>
        <w:t>on the DCA websit</w:t>
      </w:r>
      <w:r w:rsidR="0040445E">
        <w:rPr>
          <w:rFonts w:ascii="Calibri" w:eastAsia="Calibri" w:hAnsi="Calibri" w:cs="Times New Roman"/>
        </w:rPr>
        <w:t xml:space="preserve">e </w:t>
      </w:r>
      <w:r w:rsidRPr="00114941">
        <w:rPr>
          <w:rFonts w:ascii="Calibri" w:eastAsia="Calibri" w:hAnsi="Calibri" w:cs="Times New Roman"/>
        </w:rPr>
        <w:t xml:space="preserve">in an Addendum to the RFQ </w:t>
      </w:r>
      <w:r w:rsidR="0040445E">
        <w:rPr>
          <w:rFonts w:ascii="Calibri" w:eastAsia="Calibri" w:hAnsi="Calibri" w:cs="Times New Roman"/>
        </w:rPr>
        <w:t>on a rolling basis</w:t>
      </w:r>
      <w:r w:rsidRPr="00114941">
        <w:rPr>
          <w:rFonts w:ascii="Calibri" w:eastAsia="Calibri" w:hAnsi="Calibri" w:cs="Times New Roman"/>
        </w:rPr>
        <w:t xml:space="preserve">.   Any Addendum to this RFQ will become part of this RFQ and part of any </w:t>
      </w:r>
      <w:r w:rsidR="00D54797">
        <w:rPr>
          <w:rFonts w:ascii="Calibri" w:eastAsia="Calibri" w:hAnsi="Calibri" w:cs="Times New Roman"/>
        </w:rPr>
        <w:t xml:space="preserve">subsequent </w:t>
      </w:r>
      <w:r w:rsidRPr="00114941">
        <w:rPr>
          <w:rFonts w:ascii="Calibri" w:eastAsia="Calibri" w:hAnsi="Calibri" w:cs="Times New Roman"/>
        </w:rPr>
        <w:t>Contract.</w:t>
      </w:r>
    </w:p>
    <w:p w14:paraId="7B6141C1" w14:textId="63F8455E"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Questions regarding the SSTC, specifically incorporated herein, and exceptions to mandatory requirements</w:t>
      </w:r>
      <w:r w:rsidR="002743EF">
        <w:rPr>
          <w:rFonts w:ascii="Calibri" w:eastAsia="Calibri" w:hAnsi="Calibri" w:cs="Times New Roman"/>
        </w:rPr>
        <w:t>,</w:t>
      </w:r>
      <w:r w:rsidRPr="00114941">
        <w:rPr>
          <w:rFonts w:ascii="Calibri" w:eastAsia="Calibri" w:hAnsi="Calibri" w:cs="Times New Roman"/>
        </w:rPr>
        <w:t xml:space="preserve"> </w:t>
      </w:r>
      <w:r w:rsidR="00D54797">
        <w:rPr>
          <w:rFonts w:ascii="Calibri" w:eastAsia="Calibri" w:hAnsi="Calibri" w:cs="Times New Roman"/>
        </w:rPr>
        <w:t>must</w:t>
      </w:r>
      <w:r w:rsidR="00D54797" w:rsidRPr="00114941">
        <w:rPr>
          <w:rFonts w:ascii="Calibri" w:eastAsia="Calibri" w:hAnsi="Calibri" w:cs="Times New Roman"/>
        </w:rPr>
        <w:t xml:space="preserve"> </w:t>
      </w:r>
      <w:r w:rsidRPr="00114941">
        <w:rPr>
          <w:rFonts w:ascii="Calibri" w:eastAsia="Calibri" w:hAnsi="Calibri" w:cs="Times New Roman"/>
        </w:rPr>
        <w:t xml:space="preserve">be posed </w:t>
      </w:r>
      <w:r w:rsidR="00D54797">
        <w:rPr>
          <w:rFonts w:ascii="Calibri" w:eastAsia="Calibri" w:hAnsi="Calibri" w:cs="Times New Roman"/>
        </w:rPr>
        <w:t xml:space="preserve">by prospective bidders </w:t>
      </w:r>
      <w:r w:rsidRPr="00114941">
        <w:rPr>
          <w:rFonts w:ascii="Calibri" w:eastAsia="Calibri" w:hAnsi="Calibri" w:cs="Times New Roman"/>
        </w:rPr>
        <w:t xml:space="preserve">during the </w:t>
      </w:r>
      <w:r w:rsidR="00F07A77" w:rsidRPr="00114941">
        <w:rPr>
          <w:rFonts w:ascii="Calibri" w:eastAsia="Calibri" w:hAnsi="Calibri" w:cs="Times New Roman"/>
        </w:rPr>
        <w:t>Question-and-Answer</w:t>
      </w:r>
      <w:r w:rsidRPr="00114941">
        <w:rPr>
          <w:rFonts w:ascii="Calibri" w:eastAsia="Calibri" w:hAnsi="Calibri" w:cs="Times New Roman"/>
        </w:rPr>
        <w:t xml:space="preserve"> period and should also contain suggested changes.  Quotes that are submitted with any terms that conflict with the RFQ terms</w:t>
      </w:r>
      <w:r w:rsidR="00A359C5">
        <w:rPr>
          <w:rFonts w:ascii="Calibri" w:eastAsia="Calibri" w:hAnsi="Calibri" w:cs="Times New Roman"/>
        </w:rPr>
        <w:t>,</w:t>
      </w:r>
      <w:r w:rsidRPr="00114941">
        <w:rPr>
          <w:rFonts w:ascii="Calibri" w:eastAsia="Calibri" w:hAnsi="Calibri" w:cs="Times New Roman"/>
        </w:rPr>
        <w:t xml:space="preserve"> the SSTC</w:t>
      </w:r>
      <w:r w:rsidR="00A359C5">
        <w:rPr>
          <w:rFonts w:ascii="Calibri" w:eastAsia="Calibri" w:hAnsi="Calibri" w:cs="Times New Roman"/>
        </w:rPr>
        <w:t>, or the Waiver</w:t>
      </w:r>
      <w:r w:rsidR="000B661F">
        <w:rPr>
          <w:rFonts w:ascii="Calibri" w:eastAsia="Calibri" w:hAnsi="Calibri" w:cs="Times New Roman"/>
        </w:rPr>
        <w:t>ed</w:t>
      </w:r>
      <w:r w:rsidR="00A359C5">
        <w:rPr>
          <w:rFonts w:ascii="Calibri" w:eastAsia="Calibri" w:hAnsi="Calibri" w:cs="Times New Roman"/>
        </w:rPr>
        <w:t xml:space="preserve"> </w:t>
      </w:r>
      <w:r w:rsidR="00FD0CEC">
        <w:rPr>
          <w:rFonts w:ascii="Calibri" w:eastAsia="Calibri" w:hAnsi="Calibri" w:cs="Times New Roman"/>
        </w:rPr>
        <w:t xml:space="preserve">Contracts </w:t>
      </w:r>
      <w:r w:rsidR="00A359C5">
        <w:rPr>
          <w:rFonts w:ascii="Calibri" w:eastAsia="Calibri" w:hAnsi="Calibri" w:cs="Times New Roman"/>
        </w:rPr>
        <w:t>Supplement to the SSTC</w:t>
      </w:r>
      <w:r w:rsidRPr="00114941">
        <w:rPr>
          <w:rFonts w:ascii="Calibri" w:eastAsia="Calibri" w:hAnsi="Calibri" w:cs="Times New Roman"/>
        </w:rPr>
        <w:t xml:space="preserve"> </w:t>
      </w:r>
      <w:r w:rsidR="00B5172C">
        <w:rPr>
          <w:rFonts w:ascii="Calibri" w:eastAsia="Calibri" w:hAnsi="Calibri" w:cs="Times New Roman"/>
        </w:rPr>
        <w:t>will render a quote non-responsive</w:t>
      </w:r>
      <w:r w:rsidRPr="00114941">
        <w:rPr>
          <w:rFonts w:ascii="Calibri" w:eastAsia="Calibri" w:hAnsi="Calibri" w:cs="Times New Roman"/>
        </w:rPr>
        <w:t>.</w:t>
      </w:r>
    </w:p>
    <w:p w14:paraId="5D247263" w14:textId="090D279E" w:rsidR="00114941" w:rsidRPr="005759CE" w:rsidRDefault="002B64B6" w:rsidP="007D3733">
      <w:pPr>
        <w:pStyle w:val="Heading2"/>
        <w:spacing w:after="240"/>
        <w:rPr>
          <w:rFonts w:eastAsia="Calibri"/>
          <w:sz w:val="24"/>
          <w:szCs w:val="24"/>
        </w:rPr>
      </w:pPr>
      <w:bookmarkStart w:id="15" w:name="_Toc113629382"/>
      <w:bookmarkEnd w:id="14"/>
      <w:r w:rsidRPr="005759CE">
        <w:rPr>
          <w:rFonts w:eastAsia="Calibri"/>
          <w:sz w:val="24"/>
          <w:szCs w:val="24"/>
        </w:rPr>
        <w:t>§</w:t>
      </w:r>
      <w:r w:rsidR="003E227C">
        <w:rPr>
          <w:rFonts w:eastAsia="Calibri"/>
          <w:sz w:val="24"/>
          <w:szCs w:val="24"/>
        </w:rPr>
        <w:t>4</w:t>
      </w:r>
      <w:r w:rsidR="00114941" w:rsidRPr="005759CE">
        <w:rPr>
          <w:rFonts w:eastAsia="Calibri"/>
          <w:sz w:val="24"/>
          <w:szCs w:val="24"/>
        </w:rPr>
        <w:t>.2 Contents of Quote</w:t>
      </w:r>
      <w:bookmarkEnd w:id="15"/>
    </w:p>
    <w:p w14:paraId="5A4521BF" w14:textId="6EEF215C"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Quote shall include a discussion of the </w:t>
      </w:r>
      <w:r w:rsidR="00485E23">
        <w:rPr>
          <w:rFonts w:ascii="Calibri" w:eastAsia="Calibri" w:hAnsi="Calibri" w:cs="Times New Roman"/>
        </w:rPr>
        <w:t>Bidder</w:t>
      </w:r>
      <w:r w:rsidR="007808B5">
        <w:rPr>
          <w:rFonts w:ascii="Calibri" w:eastAsia="Calibri" w:hAnsi="Calibri" w:cs="Times New Roman"/>
        </w:rPr>
        <w:t>(s)’</w:t>
      </w:r>
      <w:r w:rsidRPr="00114941">
        <w:rPr>
          <w:rFonts w:ascii="Calibri" w:eastAsia="Calibri" w:hAnsi="Calibri" w:cs="Times New Roman"/>
        </w:rPr>
        <w:t xml:space="preserve"> approach</w:t>
      </w:r>
      <w:r w:rsidR="0022672A">
        <w:rPr>
          <w:rFonts w:ascii="Calibri" w:eastAsia="Calibri" w:hAnsi="Calibri" w:cs="Times New Roman"/>
        </w:rPr>
        <w:t xml:space="preserve"> and</w:t>
      </w:r>
      <w:r w:rsidR="007808B5">
        <w:rPr>
          <w:rFonts w:ascii="Calibri" w:eastAsia="Calibri" w:hAnsi="Calibri" w:cs="Times New Roman"/>
        </w:rPr>
        <w:t xml:space="preserve"> </w:t>
      </w:r>
      <w:r w:rsidRPr="00114941">
        <w:rPr>
          <w:rFonts w:ascii="Calibri" w:eastAsia="Calibri" w:hAnsi="Calibri" w:cs="Times New Roman"/>
        </w:rPr>
        <w:t>plans</w:t>
      </w:r>
      <w:r w:rsidR="002F300B">
        <w:rPr>
          <w:rFonts w:ascii="Calibri" w:eastAsia="Calibri" w:hAnsi="Calibri" w:cs="Times New Roman"/>
        </w:rPr>
        <w:t xml:space="preserve"> </w:t>
      </w:r>
      <w:r w:rsidRPr="00114941">
        <w:rPr>
          <w:rFonts w:ascii="Calibri" w:eastAsia="Calibri" w:hAnsi="Calibri" w:cs="Times New Roman"/>
        </w:rPr>
        <w:t xml:space="preserve">for accomplishing the work outlined in Section </w:t>
      </w:r>
      <w:r w:rsidR="00045282">
        <w:rPr>
          <w:rFonts w:ascii="Calibri" w:eastAsia="Calibri" w:hAnsi="Calibri" w:cs="Times New Roman"/>
        </w:rPr>
        <w:t>2</w:t>
      </w:r>
      <w:r w:rsidR="002F5862">
        <w:rPr>
          <w:rFonts w:ascii="Calibri" w:eastAsia="Calibri" w:hAnsi="Calibri" w:cs="Times New Roman"/>
        </w:rPr>
        <w:t>.0</w:t>
      </w:r>
      <w:r w:rsidRPr="00114941">
        <w:rPr>
          <w:rFonts w:ascii="Calibri" w:eastAsia="Calibri" w:hAnsi="Calibri" w:cs="Times New Roman"/>
        </w:rPr>
        <w:t xml:space="preserve">, Scope of </w:t>
      </w:r>
      <w:r w:rsidR="00DB02B3">
        <w:rPr>
          <w:rFonts w:ascii="Calibri" w:eastAsia="Calibri" w:hAnsi="Calibri" w:cs="Times New Roman"/>
        </w:rPr>
        <w:t>Work</w:t>
      </w:r>
      <w:r w:rsidR="004C6668">
        <w:rPr>
          <w:rFonts w:ascii="Calibri" w:eastAsia="Calibri" w:hAnsi="Calibri" w:cs="Times New Roman"/>
        </w:rPr>
        <w:t>,</w:t>
      </w:r>
      <w:r w:rsidR="007808B5">
        <w:rPr>
          <w:rFonts w:ascii="Calibri" w:eastAsia="Calibri" w:hAnsi="Calibri" w:cs="Times New Roman"/>
        </w:rPr>
        <w:t xml:space="preserve"> on-time and within budget</w:t>
      </w:r>
      <w:r w:rsidRPr="00114941">
        <w:rPr>
          <w:rFonts w:ascii="Calibri" w:eastAsia="Calibri" w:hAnsi="Calibri" w:cs="Times New Roman"/>
        </w:rPr>
        <w:t xml:space="preserve">. In narrative form, the Bidder must set forth its understanding of the requirements of this solicitation and its approach to successfully complete the Contract.  Mere reiterations of the tasks and deliverables in the solicitation are strongly discouraged since this does not provide insights into the </w:t>
      </w:r>
      <w:r w:rsidR="0022672A">
        <w:rPr>
          <w:rFonts w:ascii="Calibri" w:eastAsia="Calibri" w:hAnsi="Calibri" w:cs="Times New Roman"/>
        </w:rPr>
        <w:t>Bidder</w:t>
      </w:r>
      <w:r w:rsidR="007808B5">
        <w:rPr>
          <w:rFonts w:ascii="Calibri" w:eastAsia="Calibri" w:hAnsi="Calibri" w:cs="Times New Roman"/>
        </w:rPr>
        <w:t>(s)’</w:t>
      </w:r>
      <w:r w:rsidRPr="00114941">
        <w:rPr>
          <w:rFonts w:ascii="Calibri" w:eastAsia="Calibri" w:hAnsi="Calibri" w:cs="Times New Roman"/>
        </w:rPr>
        <w:t xml:space="preserve"> approach to complete the Scope of Work. The Department needs to determine that the </w:t>
      </w:r>
      <w:r w:rsidR="0022672A">
        <w:rPr>
          <w:rFonts w:ascii="Calibri" w:eastAsia="Calibri" w:hAnsi="Calibri" w:cs="Times New Roman"/>
        </w:rPr>
        <w:t>Bidder</w:t>
      </w:r>
      <w:r w:rsidR="007808B5">
        <w:rPr>
          <w:rFonts w:ascii="Calibri" w:eastAsia="Calibri" w:hAnsi="Calibri" w:cs="Times New Roman"/>
        </w:rPr>
        <w:t>(s)’</w:t>
      </w:r>
      <w:r w:rsidRPr="00114941">
        <w:rPr>
          <w:rFonts w:ascii="Calibri" w:eastAsia="Calibri" w:hAnsi="Calibri" w:cs="Times New Roman"/>
        </w:rPr>
        <w:t xml:space="preserve"> plan to complete the Scope of Work are realistic, </w:t>
      </w:r>
      <w:proofErr w:type="gramStart"/>
      <w:r w:rsidRPr="00114941">
        <w:rPr>
          <w:rFonts w:ascii="Calibri" w:eastAsia="Calibri" w:hAnsi="Calibri" w:cs="Times New Roman"/>
        </w:rPr>
        <w:t>appropriate</w:t>
      </w:r>
      <w:proofErr w:type="gramEnd"/>
      <w:r w:rsidRPr="00114941">
        <w:rPr>
          <w:rFonts w:ascii="Calibri" w:eastAsia="Calibri" w:hAnsi="Calibri" w:cs="Times New Roman"/>
        </w:rPr>
        <w:t xml:space="preserve"> and attainable for completion of the project within a tight deadline.</w:t>
      </w:r>
    </w:p>
    <w:p w14:paraId="292C77CD" w14:textId="46992E2B"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w:t>
      </w:r>
      <w:r w:rsidR="00485E23">
        <w:rPr>
          <w:rFonts w:ascii="Calibri" w:eastAsia="Calibri" w:hAnsi="Calibri" w:cs="Times New Roman"/>
        </w:rPr>
        <w:t>Bidder</w:t>
      </w:r>
      <w:r w:rsidR="007808B5">
        <w:rPr>
          <w:rFonts w:ascii="Calibri" w:eastAsia="Calibri" w:hAnsi="Calibri" w:cs="Times New Roman"/>
        </w:rPr>
        <w:t>(s)</w:t>
      </w:r>
      <w:r w:rsidRPr="00114941">
        <w:rPr>
          <w:rFonts w:ascii="Calibri" w:eastAsia="Calibri" w:hAnsi="Calibri" w:cs="Times New Roman"/>
        </w:rPr>
        <w:t xml:space="preserve"> shall identify the key personnel who will manage this project and perform the Scope of Work and include their resumes with the Quote.  The narrative shall also include the </w:t>
      </w:r>
      <w:r w:rsidR="000B661F">
        <w:rPr>
          <w:rFonts w:ascii="Calibri" w:eastAsia="Calibri" w:hAnsi="Calibri" w:cs="Times New Roman"/>
        </w:rPr>
        <w:t>Bidder</w:t>
      </w:r>
      <w:r w:rsidR="007808B5">
        <w:rPr>
          <w:rFonts w:ascii="Calibri" w:eastAsia="Calibri" w:hAnsi="Calibri" w:cs="Times New Roman"/>
        </w:rPr>
        <w:t>(s)’</w:t>
      </w:r>
      <w:r w:rsidRPr="00114941">
        <w:rPr>
          <w:rFonts w:ascii="Calibri" w:eastAsia="Calibri" w:hAnsi="Calibri" w:cs="Times New Roman"/>
        </w:rPr>
        <w:t xml:space="preserve"> relevant experience, along with a comprehensive listing of contracts of similar size and scope that it has successfully completed, as evidence of the Bidder’s ability to successfully complete the </w:t>
      </w:r>
      <w:r w:rsidR="00DB02B3">
        <w:rPr>
          <w:rFonts w:ascii="Calibri" w:eastAsia="Calibri" w:hAnsi="Calibri" w:cs="Times New Roman"/>
        </w:rPr>
        <w:t>work</w:t>
      </w:r>
      <w:r w:rsidRPr="00114941">
        <w:rPr>
          <w:rFonts w:ascii="Calibri" w:eastAsia="Calibri" w:hAnsi="Calibri" w:cs="Times New Roman"/>
        </w:rPr>
        <w:t xml:space="preserve"> required by this RFQ.  </w:t>
      </w:r>
    </w:p>
    <w:p w14:paraId="4F796EFE" w14:textId="2D7F3241" w:rsid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Bidders must complete the forms provided via the link below and submit them with their Quotes</w:t>
      </w:r>
      <w:r w:rsidR="002F15F7">
        <w:rPr>
          <w:rFonts w:ascii="Calibri" w:eastAsia="Calibri" w:hAnsi="Calibri" w:cs="Times New Roman"/>
        </w:rPr>
        <w:t xml:space="preserve"> along with any certificates identified below</w:t>
      </w:r>
      <w:r w:rsidRPr="00114941">
        <w:rPr>
          <w:rFonts w:ascii="Calibri" w:eastAsia="Calibri" w:hAnsi="Calibri" w:cs="Times New Roman"/>
        </w:rPr>
        <w:t>.</w:t>
      </w:r>
    </w:p>
    <w:p w14:paraId="70DE7DB0" w14:textId="77777777" w:rsidR="006A4B2D" w:rsidRPr="0022672A" w:rsidRDefault="006A4B2D" w:rsidP="006A4B2D">
      <w:pPr>
        <w:jc w:val="both"/>
        <w:rPr>
          <w:rFonts w:eastAsia="MS Mincho" w:cstheme="minorHAnsi"/>
        </w:rPr>
      </w:pPr>
      <w:r w:rsidRPr="0022672A">
        <w:rPr>
          <w:rFonts w:eastAsia="MS Mincho" w:cstheme="minorHAnsi"/>
        </w:rPr>
        <w:t xml:space="preserve">Bidder are required to complete and submit the following forms.  All required forms are found at the following link: </w:t>
      </w:r>
    </w:p>
    <w:p w14:paraId="7309ADB9" w14:textId="3C20BDE8" w:rsidR="006A4B2D" w:rsidRPr="0022672A" w:rsidRDefault="0047717E" w:rsidP="0022672A">
      <w:pPr>
        <w:jc w:val="both"/>
        <w:rPr>
          <w:rFonts w:ascii="Calibri" w:eastAsia="Calibri" w:hAnsi="Calibri" w:cs="Times New Roman"/>
          <w:sz w:val="24"/>
        </w:rPr>
      </w:pPr>
      <w:hyperlink r:id="rId19" w:history="1">
        <w:r w:rsidR="0022672A" w:rsidRPr="0022672A">
          <w:rPr>
            <w:rStyle w:val="Hyperlink"/>
            <w:rFonts w:eastAsia="MS Mincho" w:cstheme="minorHAnsi"/>
          </w:rPr>
          <w:t>https://www.state.nj.us/treasury/purchase/forms.shtml</w:t>
        </w:r>
      </w:hyperlink>
      <w:r w:rsidR="006A4B2D" w:rsidRPr="0022672A">
        <w:rPr>
          <w:rFonts w:ascii="Calibri" w:eastAsia="Calibri" w:hAnsi="Calibri" w:cs="Times New Roman"/>
          <w:sz w:val="24"/>
        </w:rPr>
        <w:t>:</w:t>
      </w:r>
    </w:p>
    <w:p w14:paraId="13BC3644" w14:textId="77777777" w:rsidR="0022672A" w:rsidRPr="0022672A" w:rsidRDefault="0022672A" w:rsidP="0022672A">
      <w:pPr>
        <w:jc w:val="both"/>
        <w:rPr>
          <w:rFonts w:eastAsia="MS Mincho" w:cstheme="minorHAnsi"/>
          <w:sz w:val="20"/>
        </w:rPr>
      </w:pPr>
    </w:p>
    <w:p w14:paraId="555A8F56" w14:textId="77777777"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Ownership Disclosure Form</w:t>
      </w:r>
    </w:p>
    <w:p w14:paraId="0E39BD46" w14:textId="77777777"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Disclosure of Investigations and Other Actions Involving Bidder Form</w:t>
      </w:r>
    </w:p>
    <w:p w14:paraId="581ED08A" w14:textId="5A0DC90A"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Disclosure of Investment Activities in Iran Form. Pursuant to N.J.S.A. 52:32-55, contractor mus</w:t>
      </w:r>
      <w:r>
        <w:rPr>
          <w:rFonts w:ascii="Calibri" w:eastAsia="Calibri" w:hAnsi="Calibri" w:cs="Times New Roman"/>
        </w:rPr>
        <w:t xml:space="preserve">t </w:t>
      </w:r>
      <w:r w:rsidRPr="000B2774">
        <w:rPr>
          <w:rFonts w:ascii="Calibri" w:eastAsia="Calibri" w:hAnsi="Calibri" w:cs="Times New Roman"/>
        </w:rPr>
        <w:t>attest</w:t>
      </w:r>
      <w:r>
        <w:rPr>
          <w:rFonts w:ascii="Calibri" w:eastAsia="Calibri" w:hAnsi="Calibri" w:cs="Times New Roman"/>
        </w:rPr>
        <w:t xml:space="preserve"> </w:t>
      </w:r>
      <w:r w:rsidRPr="000B2774">
        <w:rPr>
          <w:rFonts w:ascii="Calibri" w:eastAsia="Calibri" w:hAnsi="Calibri" w:cs="Times New Roman"/>
        </w:rPr>
        <w:t>that the contractor, or any of its parents, subsidiaries, and/or affiliates, is neither engaged in certain</w:t>
      </w:r>
      <w:r>
        <w:rPr>
          <w:rFonts w:ascii="Calibri" w:eastAsia="Calibri" w:hAnsi="Calibri" w:cs="Times New Roman"/>
        </w:rPr>
        <w:t xml:space="preserve"> </w:t>
      </w:r>
      <w:r w:rsidRPr="000B2774">
        <w:rPr>
          <w:rFonts w:ascii="Calibri" w:eastAsia="Calibri" w:hAnsi="Calibri" w:cs="Times New Roman"/>
        </w:rPr>
        <w:t>investment activities in Iran nor identified on a list created and maintained by the Department of the</w:t>
      </w:r>
      <w:r>
        <w:rPr>
          <w:rFonts w:ascii="Calibri" w:eastAsia="Calibri" w:hAnsi="Calibri" w:cs="Times New Roman"/>
        </w:rPr>
        <w:t xml:space="preserve"> </w:t>
      </w:r>
      <w:r w:rsidRPr="000B2774">
        <w:rPr>
          <w:rFonts w:ascii="Calibri" w:eastAsia="Calibri" w:hAnsi="Calibri" w:cs="Times New Roman"/>
        </w:rPr>
        <w:t>Treasury as a person or entity engaging in investment activities in Iran</w:t>
      </w:r>
    </w:p>
    <w:p w14:paraId="31331B1F" w14:textId="01C7977D"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lastRenderedPageBreak/>
        <w:t xml:space="preserve">• </w:t>
      </w:r>
      <w:r>
        <w:rPr>
          <w:rFonts w:ascii="Calibri" w:eastAsia="Calibri" w:hAnsi="Calibri" w:cs="Times New Roman"/>
        </w:rPr>
        <w:tab/>
      </w:r>
      <w:r w:rsidRPr="000B2774">
        <w:rPr>
          <w:rFonts w:ascii="Calibri" w:eastAsia="Calibri" w:hAnsi="Calibri" w:cs="Times New Roman"/>
        </w:rPr>
        <w:t xml:space="preserve">Source Disclosure Certification Form - For all purchases that are primarily for services, the </w:t>
      </w:r>
      <w:r>
        <w:rPr>
          <w:rFonts w:ascii="Calibri" w:eastAsia="Calibri" w:hAnsi="Calibri" w:cs="Times New Roman"/>
        </w:rPr>
        <w:t xml:space="preserve">contractor </w:t>
      </w:r>
      <w:r w:rsidRPr="000B2774">
        <w:rPr>
          <w:rFonts w:ascii="Calibri" w:eastAsia="Calibri" w:hAnsi="Calibri" w:cs="Times New Roman"/>
        </w:rPr>
        <w:t>must</w:t>
      </w:r>
      <w:r>
        <w:rPr>
          <w:rFonts w:ascii="Calibri" w:eastAsia="Calibri" w:hAnsi="Calibri" w:cs="Times New Roman"/>
        </w:rPr>
        <w:t xml:space="preserve"> </w:t>
      </w:r>
      <w:r w:rsidRPr="000B2774">
        <w:rPr>
          <w:rFonts w:ascii="Calibri" w:eastAsia="Calibri" w:hAnsi="Calibri" w:cs="Times New Roman"/>
        </w:rPr>
        <w:t>comply with N.J.S.A. 52:34-13.2 (also known as EO 129) and file a source disclosure certification with the</w:t>
      </w:r>
      <w:r>
        <w:rPr>
          <w:rFonts w:ascii="Calibri" w:eastAsia="Calibri" w:hAnsi="Calibri" w:cs="Times New Roman"/>
        </w:rPr>
        <w:t xml:space="preserve"> </w:t>
      </w:r>
      <w:r w:rsidRPr="000B2774">
        <w:rPr>
          <w:rFonts w:ascii="Calibri" w:eastAsia="Calibri" w:hAnsi="Calibri" w:cs="Times New Roman"/>
        </w:rPr>
        <w:t xml:space="preserve">agency. It is the agency’s responsibility to determine if the </w:t>
      </w:r>
      <w:r>
        <w:rPr>
          <w:rFonts w:ascii="Calibri" w:eastAsia="Calibri" w:hAnsi="Calibri" w:cs="Times New Roman"/>
        </w:rPr>
        <w:t>contractor</w:t>
      </w:r>
      <w:r w:rsidRPr="000B2774">
        <w:rPr>
          <w:rFonts w:ascii="Calibri" w:eastAsia="Calibri" w:hAnsi="Calibri" w:cs="Times New Roman"/>
        </w:rPr>
        <w:t xml:space="preserve"> complies with N.J.S.A. 52:34-13.2, i.e.,</w:t>
      </w:r>
      <w:r>
        <w:rPr>
          <w:rFonts w:ascii="Calibri" w:eastAsia="Calibri" w:hAnsi="Calibri" w:cs="Times New Roman"/>
        </w:rPr>
        <w:t xml:space="preserve"> </w:t>
      </w:r>
      <w:r w:rsidRPr="000B2774">
        <w:rPr>
          <w:rFonts w:ascii="Calibri" w:eastAsia="Calibri" w:hAnsi="Calibri" w:cs="Times New Roman"/>
        </w:rPr>
        <w:t xml:space="preserve">that the </w:t>
      </w:r>
      <w:r>
        <w:rPr>
          <w:rFonts w:ascii="Calibri" w:eastAsia="Calibri" w:hAnsi="Calibri" w:cs="Times New Roman"/>
        </w:rPr>
        <w:t>contractor</w:t>
      </w:r>
      <w:r w:rsidRPr="000B2774">
        <w:rPr>
          <w:rFonts w:ascii="Calibri" w:eastAsia="Calibri" w:hAnsi="Calibri" w:cs="Times New Roman"/>
        </w:rPr>
        <w:t xml:space="preserve"> will provide the services within the United States.</w:t>
      </w:r>
    </w:p>
    <w:p w14:paraId="10A437B3" w14:textId="77777777"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MacBride Principles Certification Form</w:t>
      </w:r>
    </w:p>
    <w:p w14:paraId="06F993CA" w14:textId="352367A4"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Vendor Certification and Political Disclosure Form/Two Year Chapter 51/Executive Order 117 Vendor</w:t>
      </w:r>
      <w:r>
        <w:rPr>
          <w:rFonts w:ascii="Calibri" w:eastAsia="Calibri" w:hAnsi="Calibri" w:cs="Times New Roman"/>
        </w:rPr>
        <w:t xml:space="preserve"> </w:t>
      </w:r>
      <w:r w:rsidRPr="000B2774">
        <w:rPr>
          <w:rFonts w:ascii="Calibri" w:eastAsia="Calibri" w:hAnsi="Calibri" w:cs="Times New Roman"/>
        </w:rPr>
        <w:t>Certification and Disclosure of Political Contribution Form - In addition, for all purchases exceeding</w:t>
      </w:r>
      <w:r>
        <w:rPr>
          <w:rFonts w:ascii="Calibri" w:eastAsia="Calibri" w:hAnsi="Calibri" w:cs="Times New Roman"/>
        </w:rPr>
        <w:t xml:space="preserve"> </w:t>
      </w:r>
      <w:r w:rsidRPr="000B2774">
        <w:rPr>
          <w:rFonts w:ascii="Calibri" w:eastAsia="Calibri" w:hAnsi="Calibri" w:cs="Times New Roman"/>
        </w:rPr>
        <w:t xml:space="preserve">$17,500, whether singly or in the aggregate, the </w:t>
      </w:r>
      <w:r>
        <w:rPr>
          <w:rFonts w:ascii="Calibri" w:eastAsia="Calibri" w:hAnsi="Calibri" w:cs="Times New Roman"/>
        </w:rPr>
        <w:t>contractor</w:t>
      </w:r>
      <w:r w:rsidRPr="000B2774">
        <w:rPr>
          <w:rFonts w:ascii="Calibri" w:eastAsia="Calibri" w:hAnsi="Calibri" w:cs="Times New Roman"/>
        </w:rPr>
        <w:t xml:space="preserve"> must comply with N.J.S.A. 19:44A-20.13 et seq.</w:t>
      </w:r>
      <w:r>
        <w:rPr>
          <w:rFonts w:ascii="Calibri" w:eastAsia="Calibri" w:hAnsi="Calibri" w:cs="Times New Roman"/>
        </w:rPr>
        <w:t xml:space="preserve"> </w:t>
      </w:r>
      <w:r w:rsidRPr="000B2774">
        <w:rPr>
          <w:rFonts w:ascii="Calibri" w:eastAsia="Calibri" w:hAnsi="Calibri" w:cs="Times New Roman"/>
        </w:rPr>
        <w:t>(formerly known as Executive Order (EO) 134).</w:t>
      </w:r>
    </w:p>
    <w:p w14:paraId="2FA763FB" w14:textId="5154551D"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Affirmative Action Form - A New Jersey Certificate of Employee Information or a copy of the Federal Letter</w:t>
      </w:r>
      <w:r>
        <w:rPr>
          <w:rFonts w:ascii="Calibri" w:eastAsia="Calibri" w:hAnsi="Calibri" w:cs="Times New Roman"/>
        </w:rPr>
        <w:t xml:space="preserve"> </w:t>
      </w:r>
      <w:r w:rsidRPr="000B2774">
        <w:rPr>
          <w:rFonts w:ascii="Calibri" w:eastAsia="Calibri" w:hAnsi="Calibri" w:cs="Times New Roman"/>
        </w:rPr>
        <w:t xml:space="preserve">of Approval verifying </w:t>
      </w:r>
      <w:r>
        <w:rPr>
          <w:rFonts w:ascii="Calibri" w:eastAsia="Calibri" w:hAnsi="Calibri" w:cs="Times New Roman"/>
        </w:rPr>
        <w:t>the contractor</w:t>
      </w:r>
      <w:r w:rsidRPr="000B2774">
        <w:rPr>
          <w:rFonts w:ascii="Calibri" w:eastAsia="Calibri" w:hAnsi="Calibri" w:cs="Times New Roman"/>
        </w:rPr>
        <w:t xml:space="preserve"> is operating under a federally approved or sanctioned Affirmative Action program</w:t>
      </w:r>
      <w:r>
        <w:rPr>
          <w:rFonts w:ascii="Calibri" w:eastAsia="Calibri" w:hAnsi="Calibri" w:cs="Times New Roman"/>
        </w:rPr>
        <w:t xml:space="preserve"> </w:t>
      </w:r>
      <w:r w:rsidRPr="000B2774">
        <w:rPr>
          <w:rFonts w:ascii="Calibri" w:eastAsia="Calibri" w:hAnsi="Calibri" w:cs="Times New Roman"/>
        </w:rPr>
        <w:t>(Verification of Affirmative Action compliance may also be obtained through the VINF screen on MACSE)</w:t>
      </w:r>
    </w:p>
    <w:p w14:paraId="5448FC98" w14:textId="04C0ABDF"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State of New Jersey Standard Terms and Conditions</w:t>
      </w:r>
    </w:p>
    <w:p w14:paraId="0F0F360D" w14:textId="0F7CD720" w:rsidR="006A4B2D" w:rsidRPr="000B2774"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Proof of NJ Business Registration</w:t>
      </w:r>
      <w:r>
        <w:rPr>
          <w:rFonts w:ascii="Calibri" w:eastAsia="Calibri" w:hAnsi="Calibri" w:cs="Times New Roman"/>
        </w:rPr>
        <w:t>. Contractors</w:t>
      </w:r>
      <w:r w:rsidRPr="000B2774">
        <w:rPr>
          <w:rFonts w:ascii="Calibri" w:eastAsia="Calibri" w:hAnsi="Calibri" w:cs="Times New Roman"/>
        </w:rPr>
        <w:t xml:space="preserve"> must have a valid Business Registration</w:t>
      </w:r>
      <w:r>
        <w:rPr>
          <w:rFonts w:ascii="Calibri" w:eastAsia="Calibri" w:hAnsi="Calibri" w:cs="Times New Roman"/>
        </w:rPr>
        <w:t xml:space="preserve"> </w:t>
      </w:r>
      <w:r w:rsidRPr="000B2774">
        <w:rPr>
          <w:rFonts w:ascii="Calibri" w:eastAsia="Calibri" w:hAnsi="Calibri" w:cs="Times New Roman"/>
        </w:rPr>
        <w:t>Certification to be eligible to do business with the State of New Jersey.</w:t>
      </w:r>
    </w:p>
    <w:p w14:paraId="55995A9A" w14:textId="77777777" w:rsidR="006A4B2D" w:rsidRDefault="006A4B2D" w:rsidP="006A4B2D">
      <w:pPr>
        <w:ind w:left="810" w:hanging="450"/>
        <w:rPr>
          <w:rFonts w:ascii="Calibri" w:eastAsia="Calibri" w:hAnsi="Calibri" w:cs="Times New Roman"/>
        </w:rPr>
      </w:pPr>
      <w:r w:rsidRPr="000B2774">
        <w:rPr>
          <w:rFonts w:ascii="Calibri" w:eastAsia="Calibri" w:hAnsi="Calibri" w:cs="Times New Roman"/>
        </w:rPr>
        <w:t xml:space="preserve">• </w:t>
      </w:r>
      <w:r>
        <w:rPr>
          <w:rFonts w:ascii="Calibri" w:eastAsia="Calibri" w:hAnsi="Calibri" w:cs="Times New Roman"/>
        </w:rPr>
        <w:tab/>
      </w:r>
      <w:r w:rsidRPr="000B2774">
        <w:rPr>
          <w:rFonts w:ascii="Calibri" w:eastAsia="Calibri" w:hAnsi="Calibri" w:cs="Times New Roman"/>
        </w:rPr>
        <w:t>Proof of Insurance (ACORD form) as indicated by the New Jersey Standard Terms and Conditions for</w:t>
      </w:r>
      <w:r>
        <w:rPr>
          <w:rFonts w:ascii="Calibri" w:eastAsia="Calibri" w:hAnsi="Calibri" w:cs="Times New Roman"/>
        </w:rPr>
        <w:t xml:space="preserve"> </w:t>
      </w:r>
      <w:r w:rsidRPr="000B2774">
        <w:rPr>
          <w:rFonts w:ascii="Calibri" w:eastAsia="Calibri" w:hAnsi="Calibri" w:cs="Times New Roman"/>
        </w:rPr>
        <w:t>DPAs.</w:t>
      </w:r>
    </w:p>
    <w:p w14:paraId="7735A387" w14:textId="77777777" w:rsidR="006A4B2D" w:rsidRDefault="006A4B2D" w:rsidP="006A4B2D">
      <w:pPr>
        <w:pStyle w:val="ListParagraph"/>
        <w:numPr>
          <w:ilvl w:val="0"/>
          <w:numId w:val="1"/>
        </w:numPr>
        <w:ind w:left="810" w:hanging="450"/>
        <w:rPr>
          <w:rFonts w:ascii="Calibri" w:eastAsia="Calibri" w:hAnsi="Calibri" w:cs="Times New Roman"/>
        </w:rPr>
      </w:pPr>
      <w:r>
        <w:rPr>
          <w:rFonts w:ascii="Calibri" w:eastAsia="Calibri" w:hAnsi="Calibri" w:cs="Times New Roman"/>
        </w:rPr>
        <w:t xml:space="preserve">Certification of Non-Involvement in Prohibited Activities in Russian or Belarus </w:t>
      </w:r>
    </w:p>
    <w:p w14:paraId="339E1539" w14:textId="77777777" w:rsidR="006A4B2D" w:rsidRPr="008310EA" w:rsidRDefault="006A4B2D" w:rsidP="006A4B2D">
      <w:pPr>
        <w:pStyle w:val="ListParagraph"/>
        <w:numPr>
          <w:ilvl w:val="0"/>
          <w:numId w:val="1"/>
        </w:numPr>
        <w:ind w:left="810" w:hanging="450"/>
        <w:rPr>
          <w:rFonts w:ascii="Calibri" w:eastAsia="Calibri" w:hAnsi="Calibri" w:cs="Times New Roman"/>
        </w:rPr>
      </w:pPr>
      <w:r w:rsidRPr="008310EA">
        <w:rPr>
          <w:rFonts w:ascii="Calibri" w:eastAsia="Calibri" w:hAnsi="Calibri" w:cs="Times New Roman"/>
        </w:rPr>
        <w:t>State of New Jersey Standard Terms and Conditions</w:t>
      </w:r>
    </w:p>
    <w:p w14:paraId="52A10CAA" w14:textId="77777777" w:rsidR="006A4B2D" w:rsidRPr="009C4AE4" w:rsidRDefault="006A4B2D" w:rsidP="006A4B2D">
      <w:pPr>
        <w:pStyle w:val="ListParagraph"/>
        <w:numPr>
          <w:ilvl w:val="0"/>
          <w:numId w:val="1"/>
        </w:numPr>
        <w:ind w:left="810" w:hanging="450"/>
        <w:rPr>
          <w:rFonts w:ascii="Calibri" w:eastAsia="Calibri" w:hAnsi="Calibri" w:cs="Times New Roman"/>
        </w:rPr>
      </w:pPr>
      <w:r w:rsidRPr="008310EA">
        <w:rPr>
          <w:rFonts w:ascii="Calibri" w:eastAsia="Calibri" w:hAnsi="Calibri" w:cs="Times New Roman"/>
        </w:rPr>
        <w:t>Waivered Contracts Supplement to the State of New Jersey Standard Terms and Conditions</w:t>
      </w:r>
    </w:p>
    <w:p w14:paraId="6426562C" w14:textId="77777777" w:rsidR="006A4B2D" w:rsidRPr="00114941" w:rsidRDefault="006A4B2D" w:rsidP="00114941">
      <w:pPr>
        <w:widowControl/>
        <w:spacing w:after="160" w:line="259" w:lineRule="auto"/>
        <w:jc w:val="both"/>
        <w:rPr>
          <w:rFonts w:ascii="Calibri" w:eastAsia="Calibri" w:hAnsi="Calibri" w:cs="Times New Roman"/>
        </w:rPr>
      </w:pPr>
    </w:p>
    <w:p w14:paraId="00A3D4CD" w14:textId="4A9C842A"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As noted above, </w:t>
      </w:r>
      <w:r w:rsidR="000B661F">
        <w:rPr>
          <w:rFonts w:ascii="Calibri" w:eastAsia="Calibri" w:hAnsi="Calibri" w:cs="Times New Roman"/>
        </w:rPr>
        <w:t>Bidder</w:t>
      </w:r>
      <w:r w:rsidR="007808B5">
        <w:rPr>
          <w:rFonts w:ascii="Calibri" w:eastAsia="Calibri" w:hAnsi="Calibri" w:cs="Times New Roman"/>
        </w:rPr>
        <w:t>(s)</w:t>
      </w:r>
      <w:r w:rsidR="00E217B8" w:rsidRPr="00114941">
        <w:rPr>
          <w:rFonts w:ascii="Calibri" w:eastAsia="Calibri" w:hAnsi="Calibri" w:cs="Times New Roman"/>
        </w:rPr>
        <w:t xml:space="preserve"> </w:t>
      </w:r>
      <w:r w:rsidRPr="00114941">
        <w:rPr>
          <w:rFonts w:ascii="Calibri" w:eastAsia="Calibri" w:hAnsi="Calibri" w:cs="Times New Roman"/>
        </w:rPr>
        <w:t>is subject to the SSTC</w:t>
      </w:r>
      <w:r w:rsidR="000B661F">
        <w:rPr>
          <w:rFonts w:ascii="Calibri" w:eastAsia="Calibri" w:hAnsi="Calibri" w:cs="Times New Roman"/>
        </w:rPr>
        <w:t xml:space="preserve"> and the Waivered </w:t>
      </w:r>
      <w:r w:rsidR="00FD0CEC">
        <w:rPr>
          <w:rFonts w:ascii="Calibri" w:eastAsia="Calibri" w:hAnsi="Calibri" w:cs="Times New Roman"/>
        </w:rPr>
        <w:t xml:space="preserve">Contracts </w:t>
      </w:r>
      <w:r w:rsidR="000B661F">
        <w:rPr>
          <w:rFonts w:ascii="Calibri" w:eastAsia="Calibri" w:hAnsi="Calibri" w:cs="Times New Roman"/>
        </w:rPr>
        <w:t>Supplement to the SSTC</w:t>
      </w:r>
      <w:r w:rsidRPr="00114941">
        <w:rPr>
          <w:rFonts w:ascii="Calibri" w:eastAsia="Calibri" w:hAnsi="Calibri" w:cs="Times New Roman"/>
        </w:rPr>
        <w:t>, also provided via the link</w:t>
      </w:r>
      <w:r w:rsidR="00FD0CEC">
        <w:rPr>
          <w:rFonts w:ascii="Calibri" w:eastAsia="Calibri" w:hAnsi="Calibri" w:cs="Times New Roman"/>
        </w:rPr>
        <w:t>s</w:t>
      </w:r>
      <w:r w:rsidRPr="00114941">
        <w:rPr>
          <w:rFonts w:ascii="Calibri" w:eastAsia="Calibri" w:hAnsi="Calibri" w:cs="Times New Roman"/>
        </w:rPr>
        <w:t xml:space="preserve"> below:</w:t>
      </w:r>
    </w:p>
    <w:p w14:paraId="28277DBD" w14:textId="3F8FC8B9" w:rsidR="00114941" w:rsidRDefault="00114941" w:rsidP="00C72BC6">
      <w:pPr>
        <w:widowControl/>
        <w:spacing w:after="160" w:line="259" w:lineRule="auto"/>
        <w:jc w:val="center"/>
        <w:rPr>
          <w:rFonts w:ascii="Calibri" w:eastAsia="Calibri" w:hAnsi="Calibri" w:cs="Times New Roman"/>
        </w:rPr>
      </w:pPr>
      <w:r w:rsidRPr="00114941">
        <w:rPr>
          <w:rFonts w:ascii="Calibri" w:eastAsia="Calibri" w:hAnsi="Calibri" w:cs="Times New Roman"/>
        </w:rPr>
        <w:t>(</w:t>
      </w:r>
      <w:hyperlink r:id="rId20" w:history="1">
        <w:r w:rsidRPr="00114941">
          <w:rPr>
            <w:rFonts w:ascii="Calibri" w:eastAsia="Calibri" w:hAnsi="Calibri" w:cs="Times New Roman"/>
            <w:color w:val="0563C1"/>
            <w:u w:val="single"/>
          </w:rPr>
          <w:t>https://www.state.nj.us/treasury/purchase/forms/Waiver%20and%20DPA%20Contract%20Checklist.pdf</w:t>
        </w:r>
      </w:hyperlink>
      <w:r w:rsidRPr="00114941">
        <w:rPr>
          <w:rFonts w:ascii="Calibri" w:eastAsia="Calibri" w:hAnsi="Calibri" w:cs="Times New Roman"/>
        </w:rPr>
        <w:t>)</w:t>
      </w:r>
    </w:p>
    <w:p w14:paraId="0E0F7728" w14:textId="227BECAD" w:rsidR="00114941" w:rsidRPr="005759CE" w:rsidRDefault="00114941" w:rsidP="007D3733">
      <w:pPr>
        <w:pStyle w:val="Heading2"/>
        <w:spacing w:after="240"/>
        <w:rPr>
          <w:rFonts w:eastAsia="Calibri"/>
          <w:sz w:val="24"/>
          <w:szCs w:val="24"/>
        </w:rPr>
      </w:pPr>
      <w:bookmarkStart w:id="16" w:name="_Toc113629383"/>
      <w:r w:rsidRPr="005759CE">
        <w:rPr>
          <w:rFonts w:eastAsia="Calibri"/>
          <w:sz w:val="24"/>
          <w:szCs w:val="24"/>
        </w:rPr>
        <w:t>§</w:t>
      </w:r>
      <w:r w:rsidR="003E227C">
        <w:rPr>
          <w:rFonts w:eastAsia="Calibri"/>
          <w:sz w:val="24"/>
          <w:szCs w:val="24"/>
        </w:rPr>
        <w:t>4</w:t>
      </w:r>
      <w:r w:rsidRPr="005759CE">
        <w:rPr>
          <w:rFonts w:eastAsia="Calibri"/>
          <w:sz w:val="24"/>
          <w:szCs w:val="24"/>
        </w:rPr>
        <w:t>.3 Instructions for Quote Submission</w:t>
      </w:r>
      <w:bookmarkEnd w:id="16"/>
    </w:p>
    <w:p w14:paraId="025B010E" w14:textId="26F10DAC" w:rsidR="00114941" w:rsidRPr="00114941" w:rsidRDefault="005F266C" w:rsidP="00114941">
      <w:pPr>
        <w:widowControl/>
        <w:spacing w:after="160" w:line="259" w:lineRule="auto"/>
        <w:jc w:val="both"/>
        <w:rPr>
          <w:rFonts w:ascii="Calibri" w:eastAsia="Calibri" w:hAnsi="Calibri" w:cs="Times New Roman"/>
        </w:rPr>
      </w:pPr>
      <w:r>
        <w:rPr>
          <w:rFonts w:ascii="Calibri" w:eastAsia="Calibri" w:hAnsi="Calibri" w:cs="Times New Roman"/>
        </w:rPr>
        <w:t>Bidder</w:t>
      </w:r>
      <w:r w:rsidR="007808B5">
        <w:rPr>
          <w:rFonts w:ascii="Calibri" w:eastAsia="Calibri" w:hAnsi="Calibri" w:cs="Times New Roman"/>
        </w:rPr>
        <w:t>(s)</w:t>
      </w:r>
      <w:r w:rsidR="00114941" w:rsidRPr="00114941">
        <w:rPr>
          <w:rFonts w:ascii="Calibri" w:eastAsia="Calibri" w:hAnsi="Calibri" w:cs="Times New Roman"/>
        </w:rPr>
        <w:t xml:space="preserve"> shall submit Quotes no later than </w:t>
      </w:r>
      <w:r w:rsidR="00EE04E1">
        <w:rPr>
          <w:rFonts w:ascii="Calibri" w:eastAsia="Calibri" w:hAnsi="Calibri" w:cs="Times New Roman"/>
        </w:rPr>
        <w:t>12</w:t>
      </w:r>
      <w:r w:rsidR="00114941" w:rsidRPr="00114941">
        <w:rPr>
          <w:rFonts w:ascii="Calibri" w:eastAsia="Calibri" w:hAnsi="Calibri" w:cs="Times New Roman"/>
        </w:rPr>
        <w:t xml:space="preserve">:00 </w:t>
      </w:r>
      <w:r w:rsidR="00EE04E1">
        <w:rPr>
          <w:rFonts w:ascii="Calibri" w:eastAsia="Calibri" w:hAnsi="Calibri" w:cs="Times New Roman"/>
        </w:rPr>
        <w:t>Noon</w:t>
      </w:r>
      <w:r w:rsidR="00114941" w:rsidRPr="00114941">
        <w:rPr>
          <w:rFonts w:ascii="Calibri" w:eastAsia="Calibri" w:hAnsi="Calibri" w:cs="Times New Roman"/>
        </w:rPr>
        <w:t xml:space="preserve"> on </w:t>
      </w:r>
      <w:r w:rsidR="00987C9F">
        <w:rPr>
          <w:rFonts w:ascii="Calibri" w:eastAsia="Calibri" w:hAnsi="Calibri" w:cs="Times New Roman"/>
        </w:rPr>
        <w:t xml:space="preserve">October </w:t>
      </w:r>
      <w:r w:rsidR="00646785">
        <w:rPr>
          <w:rFonts w:ascii="Calibri" w:eastAsia="Calibri" w:hAnsi="Calibri" w:cs="Times New Roman"/>
        </w:rPr>
        <w:t>11,</w:t>
      </w:r>
      <w:r w:rsidR="00E217B8">
        <w:rPr>
          <w:rFonts w:ascii="Calibri" w:eastAsia="Calibri" w:hAnsi="Calibri" w:cs="Times New Roman"/>
        </w:rPr>
        <w:t xml:space="preserve"> </w:t>
      </w:r>
      <w:r w:rsidR="00F07A77">
        <w:rPr>
          <w:rFonts w:ascii="Calibri" w:eastAsia="Calibri" w:hAnsi="Calibri" w:cs="Times New Roman"/>
        </w:rPr>
        <w:t>2022,</w:t>
      </w:r>
      <w:r w:rsidR="00114941" w:rsidRPr="00114941">
        <w:rPr>
          <w:rFonts w:ascii="Calibri" w:eastAsia="Calibri" w:hAnsi="Calibri" w:cs="Times New Roman"/>
        </w:rPr>
        <w:t xml:space="preserve"> and include, at minimum, the plan to accomplish the Scope of Work provided in Section </w:t>
      </w:r>
      <w:r w:rsidR="00B569A0">
        <w:rPr>
          <w:rFonts w:ascii="Calibri" w:eastAsia="Calibri" w:hAnsi="Calibri" w:cs="Times New Roman"/>
        </w:rPr>
        <w:t>2</w:t>
      </w:r>
      <w:r w:rsidR="00114941" w:rsidRPr="00114941">
        <w:rPr>
          <w:rFonts w:ascii="Calibri" w:eastAsia="Calibri" w:hAnsi="Calibri" w:cs="Times New Roman"/>
        </w:rPr>
        <w:t>.</w:t>
      </w:r>
      <w:r w:rsidR="004300EC">
        <w:rPr>
          <w:rFonts w:ascii="Calibri" w:eastAsia="Calibri" w:hAnsi="Calibri" w:cs="Times New Roman"/>
        </w:rPr>
        <w:t>0</w:t>
      </w:r>
      <w:r w:rsidR="00114941" w:rsidRPr="00114941">
        <w:rPr>
          <w:rFonts w:ascii="Calibri" w:eastAsia="Calibri" w:hAnsi="Calibri" w:cs="Times New Roman"/>
        </w:rPr>
        <w:t xml:space="preserve">, </w:t>
      </w:r>
      <w:r w:rsidR="00ED4622">
        <w:rPr>
          <w:rFonts w:ascii="Calibri" w:eastAsia="Calibri" w:hAnsi="Calibri" w:cs="Times New Roman"/>
        </w:rPr>
        <w:t xml:space="preserve">relevant </w:t>
      </w:r>
      <w:r w:rsidR="00F55B12">
        <w:rPr>
          <w:rFonts w:ascii="Calibri" w:eastAsia="Calibri" w:hAnsi="Calibri" w:cs="Times New Roman"/>
        </w:rPr>
        <w:t>experience</w:t>
      </w:r>
      <w:r w:rsidR="004300EC">
        <w:rPr>
          <w:rFonts w:ascii="Calibri" w:eastAsia="Calibri" w:hAnsi="Calibri" w:cs="Times New Roman"/>
        </w:rPr>
        <w:t xml:space="preserve"> of the firm </w:t>
      </w:r>
      <w:proofErr w:type="gramStart"/>
      <w:r w:rsidR="004300EC">
        <w:rPr>
          <w:rFonts w:ascii="Calibri" w:eastAsia="Calibri" w:hAnsi="Calibri" w:cs="Times New Roman"/>
        </w:rPr>
        <w:t xml:space="preserve">and </w:t>
      </w:r>
      <w:r w:rsidR="00F55B12">
        <w:rPr>
          <w:rFonts w:ascii="Calibri" w:eastAsia="Calibri" w:hAnsi="Calibri" w:cs="Times New Roman"/>
        </w:rPr>
        <w:t xml:space="preserve"> the</w:t>
      </w:r>
      <w:proofErr w:type="gramEnd"/>
      <w:r w:rsidR="00F55B12">
        <w:rPr>
          <w:rFonts w:ascii="Calibri" w:eastAsia="Calibri" w:hAnsi="Calibri" w:cs="Times New Roman"/>
        </w:rPr>
        <w:t xml:space="preserve"> staff who will perform the </w:t>
      </w:r>
      <w:r w:rsidR="00F40D7E">
        <w:rPr>
          <w:rFonts w:ascii="Calibri" w:eastAsia="Calibri" w:hAnsi="Calibri" w:cs="Times New Roman"/>
        </w:rPr>
        <w:t xml:space="preserve">Scope of Work, </w:t>
      </w:r>
      <w:r w:rsidR="0022672A">
        <w:rPr>
          <w:rFonts w:ascii="Calibri" w:eastAsia="Calibri" w:hAnsi="Calibri" w:cs="Times New Roman"/>
        </w:rPr>
        <w:t xml:space="preserve">State-supplied </w:t>
      </w:r>
      <w:r w:rsidR="00114941" w:rsidRPr="00114941">
        <w:rPr>
          <w:rFonts w:ascii="Calibri" w:eastAsia="Calibri" w:hAnsi="Calibri" w:cs="Times New Roman"/>
        </w:rPr>
        <w:t xml:space="preserve">pricing </w:t>
      </w:r>
      <w:r w:rsidR="007808B5">
        <w:rPr>
          <w:rFonts w:ascii="Calibri" w:eastAsia="Calibri" w:hAnsi="Calibri" w:cs="Times New Roman"/>
        </w:rPr>
        <w:t xml:space="preserve">sheet </w:t>
      </w:r>
      <w:r w:rsidR="00D14E25">
        <w:rPr>
          <w:rFonts w:ascii="Calibri" w:eastAsia="Calibri" w:hAnsi="Calibri" w:cs="Times New Roman"/>
        </w:rPr>
        <w:t>delineating all-inclusive hourly r</w:t>
      </w:r>
      <w:r w:rsidR="00114941" w:rsidRPr="00114941">
        <w:rPr>
          <w:rFonts w:ascii="Calibri" w:eastAsia="Calibri" w:hAnsi="Calibri" w:cs="Times New Roman"/>
        </w:rPr>
        <w:t>a</w:t>
      </w:r>
      <w:r w:rsidR="00D14E25">
        <w:rPr>
          <w:rFonts w:ascii="Calibri" w:eastAsia="Calibri" w:hAnsi="Calibri" w:cs="Times New Roman"/>
        </w:rPr>
        <w:t>tes</w:t>
      </w:r>
      <w:r w:rsidR="0022672A">
        <w:rPr>
          <w:rFonts w:ascii="Calibri" w:eastAsia="Calibri" w:hAnsi="Calibri" w:cs="Times New Roman"/>
        </w:rPr>
        <w:t>,</w:t>
      </w:r>
      <w:r w:rsidR="00D14E25">
        <w:rPr>
          <w:rFonts w:ascii="Calibri" w:eastAsia="Calibri" w:hAnsi="Calibri" w:cs="Times New Roman"/>
        </w:rPr>
        <w:t xml:space="preserve"> a</w:t>
      </w:r>
      <w:r w:rsidR="00114941" w:rsidRPr="00114941">
        <w:rPr>
          <w:rFonts w:ascii="Calibri" w:eastAsia="Calibri" w:hAnsi="Calibri" w:cs="Times New Roman"/>
        </w:rPr>
        <w:t xml:space="preserve">nd the required forms. </w:t>
      </w:r>
    </w:p>
    <w:p w14:paraId="784424CD" w14:textId="4D801A10"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Bidders may submit quotes via email to </w:t>
      </w:r>
      <w:hyperlink r:id="rId21" w:history="1">
        <w:r w:rsidR="00FE5808">
          <w:rPr>
            <w:rFonts w:ascii="Calibri" w:eastAsia="Calibri" w:hAnsi="Calibri" w:cs="Times New Roman"/>
            <w:color w:val="0563C1"/>
            <w:u w:val="single"/>
          </w:rPr>
          <w:t>DRM.Solicitations</w:t>
        </w:r>
        <w:r w:rsidRPr="00114941">
          <w:rPr>
            <w:rFonts w:ascii="Calibri" w:eastAsia="Calibri" w:hAnsi="Calibri" w:cs="Times New Roman"/>
            <w:color w:val="0563C1"/>
            <w:u w:val="single"/>
          </w:rPr>
          <w:t>@dca.nj.gov</w:t>
        </w:r>
      </w:hyperlink>
      <w:r w:rsidRPr="00114941">
        <w:rPr>
          <w:rFonts w:ascii="Calibri" w:eastAsia="Calibri" w:hAnsi="Calibri" w:cs="Times New Roman"/>
        </w:rPr>
        <w:t xml:space="preserve"> or deliver “hard copies” to:</w:t>
      </w:r>
    </w:p>
    <w:p w14:paraId="6944C332" w14:textId="77777777" w:rsidR="00114941" w:rsidRPr="00114941" w:rsidRDefault="00114941" w:rsidP="00114941">
      <w:pPr>
        <w:widowControl/>
        <w:spacing w:line="259" w:lineRule="auto"/>
        <w:jc w:val="center"/>
        <w:rPr>
          <w:rFonts w:ascii="Calibri" w:eastAsia="Calibri" w:hAnsi="Calibri" w:cs="Times New Roman"/>
        </w:rPr>
      </w:pPr>
      <w:r w:rsidRPr="00114941">
        <w:rPr>
          <w:rFonts w:ascii="Calibri" w:eastAsia="Calibri" w:hAnsi="Calibri" w:cs="Times New Roman"/>
        </w:rPr>
        <w:t>Elizabeth Mackay</w:t>
      </w:r>
    </w:p>
    <w:p w14:paraId="0E0151EC" w14:textId="77777777" w:rsidR="00114941" w:rsidRPr="00114941" w:rsidRDefault="00114941" w:rsidP="00114941">
      <w:pPr>
        <w:widowControl/>
        <w:spacing w:line="259" w:lineRule="auto"/>
        <w:jc w:val="center"/>
        <w:rPr>
          <w:rFonts w:ascii="Calibri" w:eastAsia="Calibri" w:hAnsi="Calibri" w:cs="Times New Roman"/>
        </w:rPr>
      </w:pPr>
      <w:r w:rsidRPr="00114941">
        <w:rPr>
          <w:rFonts w:ascii="Calibri" w:eastAsia="Calibri" w:hAnsi="Calibri" w:cs="Times New Roman"/>
        </w:rPr>
        <w:t>Department of Community Affairs</w:t>
      </w:r>
    </w:p>
    <w:p w14:paraId="63B08EC4" w14:textId="2F46033D" w:rsidR="00114941" w:rsidRPr="00114941" w:rsidRDefault="00114941" w:rsidP="00114941">
      <w:pPr>
        <w:widowControl/>
        <w:spacing w:line="259" w:lineRule="auto"/>
        <w:jc w:val="center"/>
        <w:rPr>
          <w:rFonts w:ascii="Calibri" w:eastAsia="Calibri" w:hAnsi="Calibri" w:cs="Times New Roman"/>
        </w:rPr>
      </w:pPr>
      <w:r w:rsidRPr="00114941">
        <w:rPr>
          <w:rFonts w:ascii="Calibri" w:eastAsia="Calibri" w:hAnsi="Calibri" w:cs="Times New Roman"/>
        </w:rPr>
        <w:t xml:space="preserve"> Division</w:t>
      </w:r>
      <w:r w:rsidR="00E4060F">
        <w:rPr>
          <w:rFonts w:ascii="Calibri" w:eastAsia="Calibri" w:hAnsi="Calibri" w:cs="Times New Roman"/>
        </w:rPr>
        <w:t xml:space="preserve"> for Disaster Recovery and Mitigation</w:t>
      </w:r>
      <w:r w:rsidRPr="00114941">
        <w:rPr>
          <w:rFonts w:ascii="Calibri" w:eastAsia="Calibri" w:hAnsi="Calibri" w:cs="Times New Roman"/>
        </w:rPr>
        <w:t>, 6</w:t>
      </w:r>
      <w:r w:rsidRPr="00114941">
        <w:rPr>
          <w:rFonts w:ascii="Calibri" w:eastAsia="Calibri" w:hAnsi="Calibri" w:cs="Times New Roman"/>
          <w:vertAlign w:val="superscript"/>
        </w:rPr>
        <w:t>th</w:t>
      </w:r>
      <w:r w:rsidRPr="00114941">
        <w:rPr>
          <w:rFonts w:ascii="Calibri" w:eastAsia="Calibri" w:hAnsi="Calibri" w:cs="Times New Roman"/>
        </w:rPr>
        <w:t xml:space="preserve"> Floor</w:t>
      </w:r>
    </w:p>
    <w:p w14:paraId="0761F2B6" w14:textId="77777777" w:rsidR="00114941" w:rsidRPr="00114941" w:rsidRDefault="00114941" w:rsidP="00114941">
      <w:pPr>
        <w:widowControl/>
        <w:spacing w:line="259" w:lineRule="auto"/>
        <w:jc w:val="center"/>
        <w:rPr>
          <w:rFonts w:ascii="Calibri" w:eastAsia="Calibri" w:hAnsi="Calibri" w:cs="Times New Roman"/>
        </w:rPr>
      </w:pPr>
      <w:r w:rsidRPr="00114941">
        <w:rPr>
          <w:rFonts w:ascii="Calibri" w:eastAsia="Calibri" w:hAnsi="Calibri" w:cs="Times New Roman"/>
        </w:rPr>
        <w:t>101 South Broad Street</w:t>
      </w:r>
    </w:p>
    <w:p w14:paraId="53A8ED1C" w14:textId="77777777" w:rsidR="00114941" w:rsidRPr="00114941" w:rsidRDefault="00114941" w:rsidP="00114941">
      <w:pPr>
        <w:widowControl/>
        <w:spacing w:line="259" w:lineRule="auto"/>
        <w:jc w:val="center"/>
        <w:rPr>
          <w:rFonts w:ascii="Calibri" w:eastAsia="Calibri" w:hAnsi="Calibri" w:cs="Times New Roman"/>
        </w:rPr>
      </w:pPr>
      <w:r w:rsidRPr="00114941">
        <w:rPr>
          <w:rFonts w:ascii="Calibri" w:eastAsia="Calibri" w:hAnsi="Calibri" w:cs="Times New Roman"/>
        </w:rPr>
        <w:t>Trenton, New Jersey 08625</w:t>
      </w:r>
    </w:p>
    <w:p w14:paraId="2AA70E60" w14:textId="77777777" w:rsidR="000B2774" w:rsidRDefault="000B2774">
      <w:pPr>
        <w:rPr>
          <w:rFonts w:ascii="Calibri" w:eastAsia="Calibri" w:hAnsi="Calibri" w:cs="Times New Roman"/>
        </w:rPr>
      </w:pPr>
    </w:p>
    <w:p w14:paraId="129D1F78" w14:textId="2F452A94" w:rsidR="00E50601" w:rsidRDefault="00E50601" w:rsidP="000B2774">
      <w:pPr>
        <w:ind w:left="810" w:hanging="450"/>
        <w:rPr>
          <w:rFonts w:ascii="Calibri" w:eastAsia="Calibri" w:hAnsi="Calibri" w:cs="Times New Roman"/>
        </w:rPr>
      </w:pPr>
      <w:r>
        <w:rPr>
          <w:rFonts w:ascii="Calibri" w:eastAsia="Calibri" w:hAnsi="Calibri" w:cs="Times New Roman"/>
        </w:rPr>
        <w:br w:type="page"/>
      </w:r>
    </w:p>
    <w:p w14:paraId="7D8015B4" w14:textId="131E41A4" w:rsidR="00114941" w:rsidRPr="005759CE" w:rsidRDefault="00114941" w:rsidP="007D3733">
      <w:pPr>
        <w:pStyle w:val="Heading1"/>
        <w:spacing w:after="240"/>
        <w:rPr>
          <w:rFonts w:eastAsia="Calibri"/>
          <w:sz w:val="32"/>
          <w:szCs w:val="32"/>
        </w:rPr>
      </w:pPr>
      <w:bookmarkStart w:id="17" w:name="_Toc113629384"/>
      <w:r w:rsidRPr="005759CE">
        <w:rPr>
          <w:rFonts w:eastAsia="Calibri"/>
          <w:sz w:val="32"/>
          <w:szCs w:val="32"/>
        </w:rPr>
        <w:lastRenderedPageBreak/>
        <w:t>§</w:t>
      </w:r>
      <w:r w:rsidR="003E227C">
        <w:rPr>
          <w:rFonts w:eastAsia="Calibri"/>
          <w:sz w:val="32"/>
          <w:szCs w:val="32"/>
        </w:rPr>
        <w:t>5</w:t>
      </w:r>
      <w:r w:rsidRPr="005759CE">
        <w:rPr>
          <w:rFonts w:eastAsia="Calibri"/>
          <w:sz w:val="32"/>
          <w:szCs w:val="32"/>
        </w:rPr>
        <w:t>.0 Award Methodology</w:t>
      </w:r>
      <w:bookmarkEnd w:id="17"/>
      <w:r w:rsidRPr="005759CE">
        <w:rPr>
          <w:rFonts w:eastAsia="Calibri"/>
          <w:sz w:val="32"/>
          <w:szCs w:val="32"/>
        </w:rPr>
        <w:t xml:space="preserve"> </w:t>
      </w:r>
    </w:p>
    <w:p w14:paraId="35CD8A1C" w14:textId="08A639A2"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The Department will award the Contract </w:t>
      </w:r>
      <w:r w:rsidR="00871229">
        <w:rPr>
          <w:rFonts w:ascii="Calibri" w:eastAsia="Calibri" w:hAnsi="Calibri" w:cs="Times New Roman"/>
        </w:rPr>
        <w:t xml:space="preserve">to </w:t>
      </w:r>
      <w:r w:rsidR="0065731E">
        <w:rPr>
          <w:rFonts w:ascii="Calibri" w:eastAsia="Calibri" w:hAnsi="Calibri" w:cs="Times New Roman"/>
        </w:rPr>
        <w:t xml:space="preserve">up </w:t>
      </w:r>
      <w:r w:rsidRPr="00114941">
        <w:rPr>
          <w:rFonts w:ascii="Calibri" w:eastAsia="Calibri" w:hAnsi="Calibri" w:cs="Times New Roman"/>
        </w:rPr>
        <w:t xml:space="preserve">to </w:t>
      </w:r>
      <w:r w:rsidR="0065731E">
        <w:rPr>
          <w:rFonts w:ascii="Calibri" w:eastAsia="Calibri" w:hAnsi="Calibri" w:cs="Times New Roman"/>
        </w:rPr>
        <w:t>four</w:t>
      </w:r>
      <w:r w:rsidR="0065731E" w:rsidRPr="00114941">
        <w:rPr>
          <w:rFonts w:ascii="Calibri" w:eastAsia="Calibri" w:hAnsi="Calibri" w:cs="Times New Roman"/>
        </w:rPr>
        <w:t xml:space="preserve"> </w:t>
      </w:r>
      <w:r w:rsidR="007808B5">
        <w:rPr>
          <w:rFonts w:ascii="Calibri" w:eastAsia="Calibri" w:hAnsi="Calibri" w:cs="Times New Roman"/>
        </w:rPr>
        <w:t>Contractors</w:t>
      </w:r>
      <w:r w:rsidRPr="00114941">
        <w:rPr>
          <w:rFonts w:ascii="Calibri" w:eastAsia="Calibri" w:hAnsi="Calibri" w:cs="Times New Roman"/>
        </w:rPr>
        <w:t xml:space="preserve"> that receive the highest point total from the Evaluation Committee and whose Quote</w:t>
      </w:r>
      <w:r w:rsidR="0065731E">
        <w:rPr>
          <w:rFonts w:ascii="Calibri" w:eastAsia="Calibri" w:hAnsi="Calibri" w:cs="Times New Roman"/>
        </w:rPr>
        <w:t>s</w:t>
      </w:r>
      <w:r w:rsidRPr="00114941">
        <w:rPr>
          <w:rFonts w:ascii="Calibri" w:eastAsia="Calibri" w:hAnsi="Calibri" w:cs="Times New Roman"/>
        </w:rPr>
        <w:t xml:space="preserve">, conforming to this RFQ, </w:t>
      </w:r>
      <w:r w:rsidR="0065731E">
        <w:rPr>
          <w:rFonts w:ascii="Calibri" w:eastAsia="Calibri" w:hAnsi="Calibri" w:cs="Times New Roman"/>
        </w:rPr>
        <w:t>are</w:t>
      </w:r>
      <w:r w:rsidR="0065731E" w:rsidRPr="00114941">
        <w:rPr>
          <w:rFonts w:ascii="Calibri" w:eastAsia="Calibri" w:hAnsi="Calibri" w:cs="Times New Roman"/>
        </w:rPr>
        <w:t xml:space="preserve"> </w:t>
      </w:r>
      <w:r w:rsidRPr="00114941">
        <w:rPr>
          <w:rFonts w:ascii="Calibri" w:eastAsia="Calibri" w:hAnsi="Calibri" w:cs="Times New Roman"/>
        </w:rPr>
        <w:t xml:space="preserve">the most advantageous to the State, price and other factors considered. The State intends to conduct a comprehensive, </w:t>
      </w:r>
      <w:proofErr w:type="gramStart"/>
      <w:r w:rsidRPr="00114941">
        <w:rPr>
          <w:rFonts w:ascii="Calibri" w:eastAsia="Calibri" w:hAnsi="Calibri" w:cs="Times New Roman"/>
        </w:rPr>
        <w:t>fair</w:t>
      </w:r>
      <w:proofErr w:type="gramEnd"/>
      <w:r w:rsidRPr="00114941">
        <w:rPr>
          <w:rFonts w:ascii="Calibri" w:eastAsia="Calibri" w:hAnsi="Calibri" w:cs="Times New Roman"/>
        </w:rPr>
        <w:t xml:space="preserve"> and impartial evaluation of all Quotes received. All Quotes will first be reviewed to determine responsiveness and non-responsive Quotes will be rejected without Evaluation.  The State may also reject any Quote that is incomplete or where there are significant inconsistencies or inaccuracies.</w:t>
      </w:r>
    </w:p>
    <w:p w14:paraId="2938276B" w14:textId="390CC071" w:rsidR="00114941" w:rsidRDefault="00114941" w:rsidP="00114941">
      <w:pPr>
        <w:widowControl/>
        <w:spacing w:after="160" w:line="259" w:lineRule="auto"/>
        <w:jc w:val="both"/>
        <w:rPr>
          <w:rFonts w:ascii="Calibri" w:eastAsia="Calibri" w:hAnsi="Calibri" w:cs="Calibri"/>
        </w:rPr>
      </w:pPr>
      <w:r w:rsidRPr="00114941">
        <w:rPr>
          <w:rFonts w:ascii="Calibri" w:eastAsia="Calibri" w:hAnsi="Calibri" w:cs="Calibri"/>
        </w:rPr>
        <w:t xml:space="preserve">The State reserves the right to negotiate price reductions or request Best and Final Offers with </w:t>
      </w:r>
      <w:r w:rsidR="007808B5">
        <w:rPr>
          <w:rFonts w:ascii="Calibri" w:eastAsia="Calibri" w:hAnsi="Calibri" w:cs="Calibri"/>
        </w:rPr>
        <w:t xml:space="preserve">the </w:t>
      </w:r>
      <w:r w:rsidR="00F40D7E">
        <w:rPr>
          <w:rFonts w:ascii="Calibri" w:eastAsia="Calibri" w:hAnsi="Calibri" w:cs="Calibri"/>
        </w:rPr>
        <w:t>Bidder</w:t>
      </w:r>
      <w:r w:rsidR="00F369DD">
        <w:rPr>
          <w:rFonts w:ascii="Calibri" w:eastAsia="Calibri" w:hAnsi="Calibri" w:cs="Calibri"/>
        </w:rPr>
        <w:t>(</w:t>
      </w:r>
      <w:r w:rsidR="00F40D7E">
        <w:rPr>
          <w:rFonts w:ascii="Calibri" w:eastAsia="Calibri" w:hAnsi="Calibri" w:cs="Calibri"/>
        </w:rPr>
        <w:t>s</w:t>
      </w:r>
      <w:r w:rsidR="00F369DD">
        <w:rPr>
          <w:rFonts w:ascii="Calibri" w:eastAsia="Calibri" w:hAnsi="Calibri" w:cs="Calibri"/>
        </w:rPr>
        <w:t>)</w:t>
      </w:r>
      <w:r w:rsidRPr="00114941">
        <w:rPr>
          <w:rFonts w:ascii="Calibri" w:eastAsia="Calibri" w:hAnsi="Calibri" w:cs="Calibri"/>
        </w:rPr>
        <w:t>.</w:t>
      </w:r>
    </w:p>
    <w:p w14:paraId="6A4D0624" w14:textId="5BCA11C0" w:rsidR="00114941" w:rsidRPr="005759CE" w:rsidRDefault="00114941" w:rsidP="007D3733">
      <w:pPr>
        <w:pStyle w:val="Heading2"/>
        <w:spacing w:after="240"/>
        <w:rPr>
          <w:rFonts w:eastAsia="Calibri"/>
          <w:sz w:val="24"/>
          <w:szCs w:val="24"/>
        </w:rPr>
      </w:pPr>
      <w:bookmarkStart w:id="18" w:name="_Toc113629385"/>
      <w:r w:rsidRPr="005759CE">
        <w:rPr>
          <w:rFonts w:eastAsia="Calibri"/>
          <w:sz w:val="24"/>
          <w:szCs w:val="24"/>
        </w:rPr>
        <w:t>§</w:t>
      </w:r>
      <w:r w:rsidR="003E227C">
        <w:rPr>
          <w:rFonts w:eastAsia="Calibri"/>
          <w:sz w:val="24"/>
          <w:szCs w:val="24"/>
        </w:rPr>
        <w:t>5</w:t>
      </w:r>
      <w:r w:rsidRPr="005759CE">
        <w:rPr>
          <w:rFonts w:eastAsia="Calibri"/>
          <w:sz w:val="24"/>
          <w:szCs w:val="24"/>
        </w:rPr>
        <w:t>.1 Evaluation Process</w:t>
      </w:r>
      <w:bookmarkEnd w:id="18"/>
    </w:p>
    <w:p w14:paraId="27F17DDA" w14:textId="375C5694"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Quotes will be evaluated by the Evaluation Committee, composed of members from </w:t>
      </w:r>
      <w:r w:rsidR="007808B5">
        <w:rPr>
          <w:rFonts w:ascii="Calibri" w:eastAsia="Calibri" w:hAnsi="Calibri" w:cs="Times New Roman"/>
        </w:rPr>
        <w:t xml:space="preserve">the </w:t>
      </w:r>
      <w:r w:rsidRPr="00114941">
        <w:rPr>
          <w:rFonts w:ascii="Calibri" w:eastAsia="Calibri" w:hAnsi="Calibri" w:cs="Times New Roman"/>
        </w:rPr>
        <w:t>Department</w:t>
      </w:r>
      <w:r w:rsidR="007808B5">
        <w:rPr>
          <w:rFonts w:ascii="Calibri" w:eastAsia="Calibri" w:hAnsi="Calibri" w:cs="Times New Roman"/>
        </w:rPr>
        <w:t xml:space="preserve"> and GDRO</w:t>
      </w:r>
      <w:r w:rsidRPr="00114941">
        <w:rPr>
          <w:rFonts w:ascii="Calibri" w:eastAsia="Calibri" w:hAnsi="Calibri" w:cs="Times New Roman"/>
        </w:rPr>
        <w:t xml:space="preserve">. For evaluation purposes, Bidders will be ranked from lowest to highest according to the total Quote price located on the Pricing Worksheet that accompanies this RFQ.  </w:t>
      </w:r>
    </w:p>
    <w:p w14:paraId="7675E7D0" w14:textId="4868CBEB" w:rsidR="00114941" w:rsidRPr="00114941" w:rsidRDefault="00114941" w:rsidP="00114941">
      <w:pPr>
        <w:widowControl/>
        <w:spacing w:after="160" w:line="259" w:lineRule="auto"/>
        <w:jc w:val="both"/>
        <w:rPr>
          <w:rFonts w:ascii="Calibri" w:eastAsia="Calibri" w:hAnsi="Calibri" w:cs="Times New Roman"/>
        </w:rPr>
      </w:pPr>
      <w:r w:rsidRPr="00114941">
        <w:rPr>
          <w:rFonts w:ascii="Calibri" w:eastAsia="Calibri" w:hAnsi="Calibri" w:cs="Times New Roman"/>
        </w:rPr>
        <w:t xml:space="preserve">In addition to price, the Evaluation Committee will evaluate Quotes based on the following </w:t>
      </w:r>
      <w:r w:rsidR="00377DD7">
        <w:rPr>
          <w:rFonts w:ascii="Calibri" w:eastAsia="Calibri" w:hAnsi="Calibri" w:cs="Times New Roman"/>
        </w:rPr>
        <w:t>t</w:t>
      </w:r>
      <w:r w:rsidR="00377DD7" w:rsidRPr="00114941">
        <w:rPr>
          <w:rFonts w:ascii="Calibri" w:eastAsia="Calibri" w:hAnsi="Calibri" w:cs="Times New Roman"/>
        </w:rPr>
        <w:t xml:space="preserve">echnical </w:t>
      </w:r>
      <w:r w:rsidRPr="00114941">
        <w:rPr>
          <w:rFonts w:ascii="Calibri" w:eastAsia="Calibri" w:hAnsi="Calibri" w:cs="Times New Roman"/>
        </w:rPr>
        <w:t>factors, according to a pre-determined weight:</w:t>
      </w:r>
    </w:p>
    <w:p w14:paraId="244B0BAD" w14:textId="77777777" w:rsidR="00114941" w:rsidRPr="00114941" w:rsidRDefault="00114941" w:rsidP="00114941">
      <w:pPr>
        <w:widowControl/>
        <w:spacing w:after="160" w:line="259" w:lineRule="auto"/>
        <w:ind w:left="720"/>
        <w:jc w:val="both"/>
        <w:rPr>
          <w:rFonts w:ascii="Calibri" w:eastAsia="Calibri" w:hAnsi="Calibri" w:cs="Calibri"/>
        </w:rPr>
      </w:pPr>
      <w:r w:rsidRPr="00114941">
        <w:rPr>
          <w:rFonts w:ascii="Calibri" w:eastAsia="Calibri" w:hAnsi="Calibri" w:cs="Calibri"/>
        </w:rPr>
        <w:t xml:space="preserve">• Personnel: The qualifications and experience of the Bidder’s management and key personnel assigned to this </w:t>
      </w:r>
      <w:proofErr w:type="gramStart"/>
      <w:r w:rsidRPr="00114941">
        <w:rPr>
          <w:rFonts w:ascii="Calibri" w:eastAsia="Calibri" w:hAnsi="Calibri" w:cs="Calibri"/>
        </w:rPr>
        <w:t>project;</w:t>
      </w:r>
      <w:proofErr w:type="gramEnd"/>
    </w:p>
    <w:p w14:paraId="6E0BC216" w14:textId="7B0B3D3D" w:rsidR="00114941" w:rsidRPr="00114941" w:rsidRDefault="00114941" w:rsidP="00114941">
      <w:pPr>
        <w:widowControl/>
        <w:spacing w:after="160" w:line="259" w:lineRule="auto"/>
        <w:ind w:left="720"/>
        <w:jc w:val="both"/>
        <w:rPr>
          <w:rFonts w:ascii="Calibri" w:eastAsia="Calibri" w:hAnsi="Calibri" w:cs="Calibri"/>
        </w:rPr>
      </w:pPr>
      <w:r w:rsidRPr="00114941">
        <w:rPr>
          <w:rFonts w:ascii="Calibri" w:eastAsia="Calibri" w:hAnsi="Calibri" w:cs="Calibri"/>
        </w:rPr>
        <w:t xml:space="preserve">• Experience of the </w:t>
      </w:r>
      <w:r w:rsidR="007808B5">
        <w:rPr>
          <w:rFonts w:ascii="Calibri" w:eastAsia="Calibri" w:hAnsi="Calibri" w:cs="Calibri"/>
        </w:rPr>
        <w:t>Contractor(s)</w:t>
      </w:r>
      <w:r w:rsidRPr="00114941">
        <w:rPr>
          <w:rFonts w:ascii="Calibri" w:eastAsia="Calibri" w:hAnsi="Calibri" w:cs="Calibri"/>
        </w:rPr>
        <w:t>: The Bidder’s documented experience in successfully completing projects of a similar size and scope; and</w:t>
      </w:r>
    </w:p>
    <w:p w14:paraId="5421C8D1" w14:textId="6BFDAD87" w:rsidR="00114941" w:rsidRDefault="00114941" w:rsidP="00114941">
      <w:pPr>
        <w:widowControl/>
        <w:spacing w:after="160" w:line="259" w:lineRule="auto"/>
        <w:ind w:left="720"/>
        <w:jc w:val="both"/>
        <w:rPr>
          <w:rFonts w:ascii="Calibri" w:eastAsia="Calibri" w:hAnsi="Calibri" w:cs="Calibri"/>
        </w:rPr>
      </w:pPr>
      <w:r w:rsidRPr="00114941">
        <w:rPr>
          <w:rFonts w:ascii="Calibri" w:eastAsia="Calibri" w:hAnsi="Calibri" w:cs="Calibri"/>
        </w:rPr>
        <w:t xml:space="preserve">• Ability of the </w:t>
      </w:r>
      <w:r w:rsidR="007808B5">
        <w:rPr>
          <w:rFonts w:ascii="Calibri" w:eastAsia="Calibri" w:hAnsi="Calibri" w:cs="Calibri"/>
        </w:rPr>
        <w:t>Contractor(s)</w:t>
      </w:r>
      <w:r w:rsidRPr="00114941">
        <w:rPr>
          <w:rFonts w:ascii="Calibri" w:eastAsia="Calibri" w:hAnsi="Calibri" w:cs="Calibri"/>
        </w:rPr>
        <w:t xml:space="preserve"> to complete the Scope of Work: The Bidder’s demonstration in the Quote that the Bidder understands the requirements of the Scope of Work and presents an approach that indicates the technical requirements of the </w:t>
      </w:r>
      <w:r w:rsidR="007A5DF8">
        <w:rPr>
          <w:rFonts w:ascii="Calibri" w:eastAsia="Calibri" w:hAnsi="Calibri" w:cs="Calibri"/>
        </w:rPr>
        <w:t>Contract</w:t>
      </w:r>
      <w:r w:rsidRPr="00114941">
        <w:rPr>
          <w:rFonts w:ascii="Calibri" w:eastAsia="Calibri" w:hAnsi="Calibri" w:cs="Calibri"/>
        </w:rPr>
        <w:t xml:space="preserve"> could be met successfully and, importantly, within deadline.</w:t>
      </w:r>
    </w:p>
    <w:p w14:paraId="2F21D976" w14:textId="198BA670" w:rsidR="00114941" w:rsidRPr="005759CE" w:rsidRDefault="00114941" w:rsidP="007D3733">
      <w:pPr>
        <w:pStyle w:val="Heading2"/>
        <w:spacing w:after="240"/>
        <w:rPr>
          <w:rFonts w:eastAsia="Calibri"/>
          <w:sz w:val="24"/>
          <w:szCs w:val="24"/>
        </w:rPr>
      </w:pPr>
      <w:bookmarkStart w:id="19" w:name="_Toc113629386"/>
      <w:r w:rsidRPr="005759CE">
        <w:rPr>
          <w:rFonts w:eastAsia="Calibri"/>
          <w:sz w:val="24"/>
          <w:szCs w:val="24"/>
        </w:rPr>
        <w:t>§</w:t>
      </w:r>
      <w:r w:rsidR="003E227C">
        <w:rPr>
          <w:rFonts w:eastAsia="Calibri"/>
          <w:sz w:val="24"/>
          <w:szCs w:val="24"/>
        </w:rPr>
        <w:t>5</w:t>
      </w:r>
      <w:r w:rsidRPr="005759CE">
        <w:rPr>
          <w:rFonts w:eastAsia="Calibri"/>
          <w:sz w:val="24"/>
          <w:szCs w:val="24"/>
        </w:rPr>
        <w:t>.2 Right to Waive</w:t>
      </w:r>
      <w:bookmarkEnd w:id="19"/>
    </w:p>
    <w:p w14:paraId="6965FDC1" w14:textId="44F434CB" w:rsidR="00114941" w:rsidRDefault="00114941" w:rsidP="00447567">
      <w:pPr>
        <w:widowControl/>
        <w:spacing w:after="160" w:line="259" w:lineRule="auto"/>
        <w:jc w:val="both"/>
        <w:rPr>
          <w:rFonts w:ascii="Calibri" w:eastAsia="Calibri" w:hAnsi="Calibri" w:cs="Calibri"/>
        </w:rPr>
      </w:pPr>
      <w:r w:rsidRPr="00114941">
        <w:rPr>
          <w:rFonts w:ascii="Calibri" w:eastAsia="Calibri" w:hAnsi="Calibri" w:cs="Calibri"/>
        </w:rPr>
        <w:t>The Evaluation Committee reserves the right to waive minor irregularities.  The Committee also reserves the right to waive a requirement provided that</w:t>
      </w:r>
      <w:r w:rsidR="00447567">
        <w:rPr>
          <w:rFonts w:ascii="Calibri" w:eastAsia="Calibri" w:hAnsi="Calibri" w:cs="Calibri"/>
        </w:rPr>
        <w:t xml:space="preserve"> t</w:t>
      </w:r>
      <w:r w:rsidRPr="00114941">
        <w:rPr>
          <w:rFonts w:ascii="Calibri" w:eastAsia="Calibri" w:hAnsi="Calibri" w:cs="Calibri"/>
        </w:rPr>
        <w:t>he failure to comply with the mandatory requirement does not materially affect the procurement of the State’s interests associated with the procurement.</w:t>
      </w:r>
    </w:p>
    <w:p w14:paraId="27B1F669" w14:textId="3165264B" w:rsidR="00C3542B" w:rsidRDefault="00C3542B" w:rsidP="005C4474">
      <w:pPr>
        <w:pStyle w:val="Heading2"/>
        <w:rPr>
          <w:rFonts w:eastAsia="Calibri"/>
          <w:sz w:val="24"/>
          <w:szCs w:val="24"/>
        </w:rPr>
      </w:pPr>
      <w:bookmarkStart w:id="20" w:name="_Toc113629387"/>
      <w:r w:rsidRPr="005C4474">
        <w:rPr>
          <w:rFonts w:eastAsia="Calibri"/>
          <w:sz w:val="24"/>
          <w:szCs w:val="24"/>
        </w:rPr>
        <w:t>§5.3 Executive Order</w:t>
      </w:r>
      <w:r w:rsidR="00C564B6" w:rsidRPr="005C4474">
        <w:rPr>
          <w:rFonts w:eastAsia="Calibri"/>
          <w:sz w:val="24"/>
          <w:szCs w:val="24"/>
        </w:rPr>
        <w:t xml:space="preserve"> Number</w:t>
      </w:r>
      <w:r w:rsidRPr="005C4474">
        <w:rPr>
          <w:rFonts w:eastAsia="Calibri"/>
          <w:sz w:val="24"/>
          <w:szCs w:val="24"/>
        </w:rPr>
        <w:t xml:space="preserve"> 166</w:t>
      </w:r>
      <w:bookmarkEnd w:id="20"/>
    </w:p>
    <w:p w14:paraId="107AE5D6" w14:textId="77777777" w:rsidR="005C4474" w:rsidRPr="005C4474" w:rsidRDefault="005C4474" w:rsidP="005C4474">
      <w:pPr>
        <w:pStyle w:val="Heading2"/>
        <w:rPr>
          <w:rFonts w:eastAsia="Calibri"/>
          <w:sz w:val="24"/>
          <w:szCs w:val="24"/>
        </w:rPr>
      </w:pPr>
    </w:p>
    <w:p w14:paraId="453F1EC2" w14:textId="77777777" w:rsidR="00BA6FB5" w:rsidRPr="00596101" w:rsidRDefault="00BA6FB5" w:rsidP="00BA6FB5">
      <w:pPr>
        <w:spacing w:before="32"/>
        <w:ind w:right="188"/>
        <w:jc w:val="center"/>
        <w:rPr>
          <w:rFonts w:eastAsia="Arial" w:cstheme="minorHAnsi"/>
          <w:spacing w:val="-1"/>
          <w:sz w:val="24"/>
          <w:szCs w:val="24"/>
          <w:u w:val="single"/>
        </w:rPr>
      </w:pPr>
      <w:r w:rsidRPr="00596101">
        <w:rPr>
          <w:rFonts w:eastAsia="Arial" w:cstheme="minorHAnsi"/>
          <w:spacing w:val="-1"/>
          <w:sz w:val="24"/>
          <w:szCs w:val="24"/>
          <w:u w:val="single"/>
        </w:rPr>
        <w:t xml:space="preserve">Notice of Executive Order 166 Requirement for Posting of Winning Proposal </w:t>
      </w:r>
    </w:p>
    <w:p w14:paraId="218BD6D0" w14:textId="7320818B" w:rsidR="00BA6FB5" w:rsidRDefault="00BA6FB5" w:rsidP="00BA6FB5">
      <w:pPr>
        <w:spacing w:before="32"/>
        <w:ind w:right="188"/>
        <w:jc w:val="center"/>
        <w:rPr>
          <w:rFonts w:eastAsia="Arial" w:cstheme="minorHAnsi"/>
          <w:spacing w:val="-1"/>
          <w:sz w:val="24"/>
          <w:szCs w:val="24"/>
          <w:u w:val="single"/>
        </w:rPr>
      </w:pPr>
      <w:r w:rsidRPr="00596101">
        <w:rPr>
          <w:rFonts w:eastAsia="Arial" w:cstheme="minorHAnsi"/>
          <w:spacing w:val="-1"/>
          <w:sz w:val="24"/>
          <w:szCs w:val="24"/>
          <w:u w:val="single"/>
        </w:rPr>
        <w:t>and Contract Documents</w:t>
      </w:r>
    </w:p>
    <w:p w14:paraId="41169FF1" w14:textId="77777777" w:rsidR="00DF42B2" w:rsidRPr="00596101" w:rsidRDefault="00DF42B2" w:rsidP="00BA6FB5">
      <w:pPr>
        <w:spacing w:before="32"/>
        <w:ind w:right="188"/>
        <w:jc w:val="center"/>
        <w:rPr>
          <w:rFonts w:eastAsia="Arial" w:cstheme="minorHAnsi"/>
          <w:spacing w:val="-1"/>
          <w:sz w:val="24"/>
          <w:szCs w:val="24"/>
          <w:u w:val="single"/>
        </w:rPr>
      </w:pPr>
    </w:p>
    <w:p w14:paraId="5D6C13F7" w14:textId="3E388EDF" w:rsidR="00BA6FB5" w:rsidRPr="00B33284" w:rsidRDefault="00BA6FB5" w:rsidP="00BA6FB5">
      <w:pPr>
        <w:jc w:val="both"/>
        <w:rPr>
          <w:rFonts w:cstheme="minorHAnsi"/>
          <w:color w:val="0D0D0D"/>
        </w:rPr>
      </w:pPr>
      <w:r w:rsidRPr="0041432A">
        <w:rPr>
          <w:rFonts w:cstheme="minorHAnsi"/>
          <w:color w:val="0D0D0D"/>
        </w:rPr>
        <w:t>Pursuant to Executive Order No. 166, signed by Governor Murphy on July 17, 2020, the Office of the State Comptroller (“OSC”) is required to make all approved State contracts for the allocation and expenditure of COVID-19 Recovery Funds available to the pub</w:t>
      </w:r>
      <w:r w:rsidRPr="00B41664">
        <w:rPr>
          <w:rFonts w:cstheme="minorHAnsi"/>
          <w:color w:val="0D0D0D"/>
        </w:rPr>
        <w:t>lic by posting such contracts on an appropriate State website.  Such contracts will be posted on the New Jersey transparency website developed by the Governor’s Disaster Recovery Office (GDRO Transparency Website).</w:t>
      </w:r>
    </w:p>
    <w:p w14:paraId="1646D462" w14:textId="552EB543" w:rsidR="00BA6FB5" w:rsidRPr="00F54BE6" w:rsidRDefault="00BA6FB5" w:rsidP="00BA6FB5">
      <w:pPr>
        <w:jc w:val="both"/>
        <w:rPr>
          <w:rFonts w:cstheme="minorHAnsi"/>
          <w:color w:val="0D0D0D"/>
        </w:rPr>
      </w:pPr>
      <w:r w:rsidRPr="00F54BE6">
        <w:rPr>
          <w:rFonts w:cstheme="minorHAnsi"/>
          <w:color w:val="0D0D0D"/>
        </w:rPr>
        <w:lastRenderedPageBreak/>
        <w:t xml:space="preserve">The contract resulting from this RFQ is subject to the requirements of Executive Order No. 166.  Accordingly, the OSC will post a copy of the contract, including the </w:t>
      </w:r>
      <w:r w:rsidR="00F047E6" w:rsidRPr="00F54BE6">
        <w:rPr>
          <w:rFonts w:cstheme="minorHAnsi"/>
          <w:color w:val="0D0D0D"/>
        </w:rPr>
        <w:t>RFQ</w:t>
      </w:r>
      <w:r w:rsidRPr="00F54BE6">
        <w:rPr>
          <w:rFonts w:cstheme="minorHAnsi"/>
          <w:color w:val="0D0D0D"/>
        </w:rPr>
        <w:t xml:space="preserve">, the winning bidder’s proposal and other related contract documents for the above contract on the GDRO Transparency website. </w:t>
      </w:r>
    </w:p>
    <w:p w14:paraId="7BECA600" w14:textId="77777777" w:rsidR="00F047E6" w:rsidRPr="00F54BE6" w:rsidRDefault="00F047E6" w:rsidP="00BA6FB5">
      <w:pPr>
        <w:jc w:val="both"/>
        <w:rPr>
          <w:rFonts w:cstheme="minorHAnsi"/>
          <w:color w:val="0D0D0D"/>
        </w:rPr>
      </w:pPr>
    </w:p>
    <w:p w14:paraId="364E6B6D" w14:textId="4AAC9BE8" w:rsidR="00BA6FB5" w:rsidRPr="00F54BE6" w:rsidRDefault="00BA6FB5" w:rsidP="00BA6FB5">
      <w:pPr>
        <w:jc w:val="both"/>
        <w:rPr>
          <w:rFonts w:cstheme="minorHAnsi"/>
        </w:rPr>
      </w:pPr>
      <w:r w:rsidRPr="00F54BE6">
        <w:rPr>
          <w:rFonts w:cstheme="minorHAnsi"/>
        </w:rPr>
        <w:t xml:space="preserve">In submitting its proposal, a </w:t>
      </w:r>
      <w:r w:rsidR="00F047E6" w:rsidRPr="00F54BE6">
        <w:rPr>
          <w:rFonts w:cstheme="minorHAnsi"/>
        </w:rPr>
        <w:t>Bidder</w:t>
      </w:r>
      <w:r w:rsidRPr="00F54BE6">
        <w:rPr>
          <w:rFonts w:cstheme="minorHAnsi"/>
        </w:rPr>
        <w:t xml:space="preserve"> may designate specific information as not subject to disclosure. However, such bidder must have a good faith legal or factual basis to assert that such designated portions of its proposal: (i) are proprietary and confidential financial or commercial information or trade secrets; or (ii) must not be disclosed to protect the personal privacy of an identified individual.  The location in the proposal of any such designation should be clearly stated in a cover letter, and a redacted copy of the proposal should be provided. A Bidder’s failure to designate such information as confidential in submitting a bid/proposal shall result in waiver of such claim.</w:t>
      </w:r>
    </w:p>
    <w:p w14:paraId="5AE5F5A9" w14:textId="77777777" w:rsidR="00F047E6" w:rsidRPr="00F54BE6" w:rsidRDefault="00F047E6" w:rsidP="00BA6FB5">
      <w:pPr>
        <w:jc w:val="both"/>
        <w:rPr>
          <w:rFonts w:cstheme="minorHAnsi"/>
        </w:rPr>
      </w:pPr>
    </w:p>
    <w:p w14:paraId="797BF46F" w14:textId="78B548DF" w:rsidR="00BA6FB5" w:rsidRPr="00F54BE6" w:rsidRDefault="00BA6FB5" w:rsidP="00BA6FB5">
      <w:pPr>
        <w:jc w:val="both"/>
        <w:rPr>
          <w:rFonts w:cstheme="minorHAnsi"/>
        </w:rPr>
      </w:pPr>
      <w:r w:rsidRPr="00F54BE6">
        <w:rPr>
          <w:rFonts w:cstheme="minorHAnsi"/>
        </w:rPr>
        <w:t>The State reserves the right to make the determination regarding what is proprietary or confidential and will advise the winning bidder accordingly.  The State will not honor any attempt by a winning bidder to designate its entire proposal as proprietary or confidential and will not honor a claim of copyright protection for an entire proposal.  In the event of any challenge to the winning bidder’s assertion of confidentiality with which the State does not concur, the bidder shall be solely responsible for defending its designation.</w:t>
      </w:r>
    </w:p>
    <w:p w14:paraId="235D3D3D" w14:textId="77777777" w:rsidR="00BA6FB5" w:rsidRPr="00F54BE6" w:rsidRDefault="00BA6FB5" w:rsidP="00BA6FB5">
      <w:pPr>
        <w:rPr>
          <w:rFonts w:cstheme="minorHAnsi"/>
        </w:rPr>
      </w:pPr>
    </w:p>
    <w:p w14:paraId="52EABAF7" w14:textId="6F5EF624" w:rsidR="00BC5BCA" w:rsidRDefault="00BC5BCA">
      <w:pPr>
        <w:rPr>
          <w:rFonts w:ascii="Calibri" w:eastAsia="Calibri" w:hAnsi="Calibri" w:cs="Times New Roman"/>
        </w:rPr>
      </w:pPr>
    </w:p>
    <w:sectPr w:rsidR="00BC5BC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A4E9" w14:textId="77777777" w:rsidR="001D0C01" w:rsidRDefault="001D0C01">
      <w:r>
        <w:separator/>
      </w:r>
    </w:p>
  </w:endnote>
  <w:endnote w:type="continuationSeparator" w:id="0">
    <w:p w14:paraId="059AFD5B" w14:textId="77777777" w:rsidR="001D0C01" w:rsidRDefault="001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0ED8" w14:textId="77777777" w:rsidR="00E07D54" w:rsidRDefault="00E07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5B9" w14:textId="21CC1FB6" w:rsidR="00042539" w:rsidRDefault="00042539">
    <w:pPr>
      <w:pStyle w:val="Footer"/>
    </w:pPr>
  </w:p>
  <w:p w14:paraId="0AC575BA" w14:textId="412761C2" w:rsidR="00E249FE" w:rsidRDefault="00E249F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41A7" w14:textId="77777777" w:rsidR="00E07D54" w:rsidRDefault="00E07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F82D" w14:textId="2C57DF0E" w:rsidR="00DA7162" w:rsidRDefault="004771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9B0F" w14:textId="3436B05D" w:rsidR="00DA7162" w:rsidRDefault="004771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E0B" w14:textId="1A1D5D3C" w:rsidR="00DA7162" w:rsidRDefault="0047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67A0" w14:textId="77777777" w:rsidR="001D0C01" w:rsidRDefault="001D0C01">
      <w:r>
        <w:separator/>
      </w:r>
    </w:p>
  </w:footnote>
  <w:footnote w:type="continuationSeparator" w:id="0">
    <w:p w14:paraId="31E3E001" w14:textId="77777777" w:rsidR="001D0C01" w:rsidRDefault="001D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705" w14:textId="77777777" w:rsidR="00E07D54" w:rsidRDefault="00E07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2F1C" w14:textId="4F774D6D" w:rsidR="00E07D54" w:rsidRDefault="0047717E">
    <w:pPr>
      <w:pStyle w:val="Header"/>
      <w:jc w:val="right"/>
    </w:pPr>
    <w:sdt>
      <w:sdtPr>
        <w:id w:val="-24872915"/>
        <w:docPartObj>
          <w:docPartGallery w:val="Page Numbers (Top of Page)"/>
          <w:docPartUnique/>
        </w:docPartObj>
      </w:sdtPr>
      <w:sdtEndPr>
        <w:rPr>
          <w:noProof/>
        </w:rPr>
      </w:sdtEndPr>
      <w:sdtContent>
        <w:r w:rsidR="00E07D54">
          <w:fldChar w:fldCharType="begin"/>
        </w:r>
        <w:r w:rsidR="00E07D54">
          <w:instrText xml:space="preserve"> PAGE   \* MERGEFORMAT </w:instrText>
        </w:r>
        <w:r w:rsidR="00E07D54">
          <w:fldChar w:fldCharType="separate"/>
        </w:r>
        <w:r w:rsidR="00596101">
          <w:rPr>
            <w:noProof/>
          </w:rPr>
          <w:t>2</w:t>
        </w:r>
        <w:r w:rsidR="00E07D54">
          <w:rPr>
            <w:noProof/>
          </w:rPr>
          <w:fldChar w:fldCharType="end"/>
        </w:r>
      </w:sdtContent>
    </w:sdt>
  </w:p>
  <w:p w14:paraId="215D0B13" w14:textId="77777777" w:rsidR="00E07D54" w:rsidRDefault="00E07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1005" w14:textId="77777777" w:rsidR="00E07D54" w:rsidRDefault="00E07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D718" w14:textId="4D72963D" w:rsidR="00DA7162" w:rsidRDefault="004771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7797" w14:textId="2C9CBB71" w:rsidR="00F62F0B" w:rsidRDefault="0047717E">
    <w:pPr>
      <w:pStyle w:val="Header"/>
      <w:jc w:val="right"/>
    </w:pPr>
    <w:sdt>
      <w:sdtPr>
        <w:id w:val="120353646"/>
        <w:docPartObj>
          <w:docPartGallery w:val="Page Numbers (Top of Page)"/>
          <w:docPartUnique/>
        </w:docPartObj>
      </w:sdtPr>
      <w:sdtEndPr>
        <w:rPr>
          <w:noProof/>
        </w:rPr>
      </w:sdtEndPr>
      <w:sdtContent>
        <w:r w:rsidR="00A43362">
          <w:fldChar w:fldCharType="begin"/>
        </w:r>
        <w:r w:rsidR="00A43362">
          <w:instrText xml:space="preserve"> PAGE   \* MERGEFORMAT </w:instrText>
        </w:r>
        <w:r w:rsidR="00A43362">
          <w:fldChar w:fldCharType="separate"/>
        </w:r>
        <w:r w:rsidR="00596101">
          <w:rPr>
            <w:noProof/>
          </w:rPr>
          <w:t>8</w:t>
        </w:r>
        <w:r w:rsidR="00A43362">
          <w:rPr>
            <w:noProof/>
          </w:rPr>
          <w:fldChar w:fldCharType="end"/>
        </w:r>
      </w:sdtContent>
    </w:sdt>
  </w:p>
  <w:p w14:paraId="4E5D946D" w14:textId="77777777" w:rsidR="00DA7162" w:rsidRDefault="004771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7241" w14:textId="02970296" w:rsidR="00DA7162" w:rsidRDefault="0047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8D3"/>
    <w:multiLevelType w:val="hybridMultilevel"/>
    <w:tmpl w:val="2A76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CF"/>
    <w:rsid w:val="000036F7"/>
    <w:rsid w:val="0000579B"/>
    <w:rsid w:val="00015923"/>
    <w:rsid w:val="000267E1"/>
    <w:rsid w:val="00033CFE"/>
    <w:rsid w:val="00034D1C"/>
    <w:rsid w:val="00042539"/>
    <w:rsid w:val="00042630"/>
    <w:rsid w:val="00045282"/>
    <w:rsid w:val="0004726A"/>
    <w:rsid w:val="00053FC6"/>
    <w:rsid w:val="00056818"/>
    <w:rsid w:val="000636A5"/>
    <w:rsid w:val="0006601B"/>
    <w:rsid w:val="00074992"/>
    <w:rsid w:val="00081006"/>
    <w:rsid w:val="0008144B"/>
    <w:rsid w:val="0008587E"/>
    <w:rsid w:val="00093B6D"/>
    <w:rsid w:val="00095EC9"/>
    <w:rsid w:val="00096D5D"/>
    <w:rsid w:val="000A2211"/>
    <w:rsid w:val="000B2774"/>
    <w:rsid w:val="000B661F"/>
    <w:rsid w:val="000C0A23"/>
    <w:rsid w:val="000D3845"/>
    <w:rsid w:val="000D44B5"/>
    <w:rsid w:val="000E02CA"/>
    <w:rsid w:val="000E6243"/>
    <w:rsid w:val="000F2052"/>
    <w:rsid w:val="000F2054"/>
    <w:rsid w:val="000F3C81"/>
    <w:rsid w:val="000F537C"/>
    <w:rsid w:val="000F56F9"/>
    <w:rsid w:val="000F64D0"/>
    <w:rsid w:val="00107E6B"/>
    <w:rsid w:val="00114941"/>
    <w:rsid w:val="00114FEB"/>
    <w:rsid w:val="00120465"/>
    <w:rsid w:val="00124160"/>
    <w:rsid w:val="001245A6"/>
    <w:rsid w:val="00126A22"/>
    <w:rsid w:val="00127CA4"/>
    <w:rsid w:val="00127FBF"/>
    <w:rsid w:val="00130D54"/>
    <w:rsid w:val="00134895"/>
    <w:rsid w:val="00141058"/>
    <w:rsid w:val="00154E3E"/>
    <w:rsid w:val="00162016"/>
    <w:rsid w:val="00162D69"/>
    <w:rsid w:val="001633CF"/>
    <w:rsid w:val="001670A4"/>
    <w:rsid w:val="00175330"/>
    <w:rsid w:val="0017730E"/>
    <w:rsid w:val="00185219"/>
    <w:rsid w:val="001936D0"/>
    <w:rsid w:val="001A1CB0"/>
    <w:rsid w:val="001A3CB0"/>
    <w:rsid w:val="001A76FB"/>
    <w:rsid w:val="001B0A7F"/>
    <w:rsid w:val="001B1D33"/>
    <w:rsid w:val="001B3922"/>
    <w:rsid w:val="001B4780"/>
    <w:rsid w:val="001B4C7B"/>
    <w:rsid w:val="001B4D31"/>
    <w:rsid w:val="001C1DF6"/>
    <w:rsid w:val="001C2885"/>
    <w:rsid w:val="001C4751"/>
    <w:rsid w:val="001C779F"/>
    <w:rsid w:val="001D0C01"/>
    <w:rsid w:val="001E4FD7"/>
    <w:rsid w:val="001F4926"/>
    <w:rsid w:val="001F5349"/>
    <w:rsid w:val="001F627F"/>
    <w:rsid w:val="00213E0B"/>
    <w:rsid w:val="00214AFA"/>
    <w:rsid w:val="002155A2"/>
    <w:rsid w:val="00221B66"/>
    <w:rsid w:val="00224269"/>
    <w:rsid w:val="0022672A"/>
    <w:rsid w:val="00233529"/>
    <w:rsid w:val="002349A3"/>
    <w:rsid w:val="00234FBB"/>
    <w:rsid w:val="002352D5"/>
    <w:rsid w:val="00237728"/>
    <w:rsid w:val="00240850"/>
    <w:rsid w:val="00241DDC"/>
    <w:rsid w:val="0024791A"/>
    <w:rsid w:val="002530A7"/>
    <w:rsid w:val="00253BB0"/>
    <w:rsid w:val="0025774E"/>
    <w:rsid w:val="00266B3B"/>
    <w:rsid w:val="00270FBC"/>
    <w:rsid w:val="002720AF"/>
    <w:rsid w:val="002732C7"/>
    <w:rsid w:val="002743EF"/>
    <w:rsid w:val="00274D2B"/>
    <w:rsid w:val="00275F1F"/>
    <w:rsid w:val="0027695F"/>
    <w:rsid w:val="00280947"/>
    <w:rsid w:val="00285611"/>
    <w:rsid w:val="00285696"/>
    <w:rsid w:val="00290343"/>
    <w:rsid w:val="00296B8E"/>
    <w:rsid w:val="002A15B1"/>
    <w:rsid w:val="002A4E68"/>
    <w:rsid w:val="002B4381"/>
    <w:rsid w:val="002B64B6"/>
    <w:rsid w:val="002B6BEF"/>
    <w:rsid w:val="002C2E20"/>
    <w:rsid w:val="002C5638"/>
    <w:rsid w:val="002C64D1"/>
    <w:rsid w:val="002D5742"/>
    <w:rsid w:val="002D67C5"/>
    <w:rsid w:val="002D6A23"/>
    <w:rsid w:val="002E7206"/>
    <w:rsid w:val="002F0005"/>
    <w:rsid w:val="002F1012"/>
    <w:rsid w:val="002F15F7"/>
    <w:rsid w:val="002F300B"/>
    <w:rsid w:val="002F5862"/>
    <w:rsid w:val="002F717F"/>
    <w:rsid w:val="00304848"/>
    <w:rsid w:val="003053FB"/>
    <w:rsid w:val="00313CC3"/>
    <w:rsid w:val="0031445A"/>
    <w:rsid w:val="00315A1B"/>
    <w:rsid w:val="00321673"/>
    <w:rsid w:val="00322D34"/>
    <w:rsid w:val="00322D85"/>
    <w:rsid w:val="0032562D"/>
    <w:rsid w:val="00326E0F"/>
    <w:rsid w:val="00332AAC"/>
    <w:rsid w:val="00337E90"/>
    <w:rsid w:val="003450AD"/>
    <w:rsid w:val="0035280C"/>
    <w:rsid w:val="003529F0"/>
    <w:rsid w:val="00353287"/>
    <w:rsid w:val="00354F3C"/>
    <w:rsid w:val="00360A0D"/>
    <w:rsid w:val="00365183"/>
    <w:rsid w:val="00367F5B"/>
    <w:rsid w:val="00370764"/>
    <w:rsid w:val="0037393E"/>
    <w:rsid w:val="00377DD7"/>
    <w:rsid w:val="00380772"/>
    <w:rsid w:val="00381F1E"/>
    <w:rsid w:val="00382480"/>
    <w:rsid w:val="00386585"/>
    <w:rsid w:val="003901F1"/>
    <w:rsid w:val="00393791"/>
    <w:rsid w:val="003969A0"/>
    <w:rsid w:val="003A3AF0"/>
    <w:rsid w:val="003A53C0"/>
    <w:rsid w:val="003A606C"/>
    <w:rsid w:val="003A60EA"/>
    <w:rsid w:val="003B5403"/>
    <w:rsid w:val="003B5487"/>
    <w:rsid w:val="003B66BE"/>
    <w:rsid w:val="003C3D1B"/>
    <w:rsid w:val="003C53D0"/>
    <w:rsid w:val="003E17AA"/>
    <w:rsid w:val="003E227C"/>
    <w:rsid w:val="003E3AB1"/>
    <w:rsid w:val="003E6D01"/>
    <w:rsid w:val="003F31B9"/>
    <w:rsid w:val="003F715E"/>
    <w:rsid w:val="004021F2"/>
    <w:rsid w:val="0040445E"/>
    <w:rsid w:val="00405080"/>
    <w:rsid w:val="00407DC2"/>
    <w:rsid w:val="004118A8"/>
    <w:rsid w:val="00413E91"/>
    <w:rsid w:val="0041432A"/>
    <w:rsid w:val="00420968"/>
    <w:rsid w:val="00421304"/>
    <w:rsid w:val="00424955"/>
    <w:rsid w:val="00424F1B"/>
    <w:rsid w:val="00425D54"/>
    <w:rsid w:val="004272BA"/>
    <w:rsid w:val="004300EC"/>
    <w:rsid w:val="00434D62"/>
    <w:rsid w:val="004368C6"/>
    <w:rsid w:val="0044131B"/>
    <w:rsid w:val="00441F3D"/>
    <w:rsid w:val="00446E06"/>
    <w:rsid w:val="00447567"/>
    <w:rsid w:val="004479A1"/>
    <w:rsid w:val="004524E6"/>
    <w:rsid w:val="00454422"/>
    <w:rsid w:val="0045682D"/>
    <w:rsid w:val="00456B85"/>
    <w:rsid w:val="00460A04"/>
    <w:rsid w:val="00464143"/>
    <w:rsid w:val="00470576"/>
    <w:rsid w:val="00473258"/>
    <w:rsid w:val="00474EBB"/>
    <w:rsid w:val="0047717E"/>
    <w:rsid w:val="00485E23"/>
    <w:rsid w:val="00493856"/>
    <w:rsid w:val="00493C89"/>
    <w:rsid w:val="0049556A"/>
    <w:rsid w:val="00496185"/>
    <w:rsid w:val="004979D7"/>
    <w:rsid w:val="004A2382"/>
    <w:rsid w:val="004A2967"/>
    <w:rsid w:val="004A3D3A"/>
    <w:rsid w:val="004C4090"/>
    <w:rsid w:val="004C6668"/>
    <w:rsid w:val="004C76E8"/>
    <w:rsid w:val="004D294F"/>
    <w:rsid w:val="004D4B57"/>
    <w:rsid w:val="004D4EF2"/>
    <w:rsid w:val="004E0444"/>
    <w:rsid w:val="004E612F"/>
    <w:rsid w:val="004F6DCB"/>
    <w:rsid w:val="004F7CCF"/>
    <w:rsid w:val="0050144B"/>
    <w:rsid w:val="00502F85"/>
    <w:rsid w:val="0050487A"/>
    <w:rsid w:val="00505159"/>
    <w:rsid w:val="00510B2D"/>
    <w:rsid w:val="00510DDE"/>
    <w:rsid w:val="00510FC9"/>
    <w:rsid w:val="0051422A"/>
    <w:rsid w:val="005175F5"/>
    <w:rsid w:val="0052187C"/>
    <w:rsid w:val="0052597B"/>
    <w:rsid w:val="00533DF0"/>
    <w:rsid w:val="005358A3"/>
    <w:rsid w:val="00536255"/>
    <w:rsid w:val="00536F2A"/>
    <w:rsid w:val="0054467B"/>
    <w:rsid w:val="00545426"/>
    <w:rsid w:val="00545BB2"/>
    <w:rsid w:val="0055504D"/>
    <w:rsid w:val="00556698"/>
    <w:rsid w:val="00557444"/>
    <w:rsid w:val="00557EA0"/>
    <w:rsid w:val="005615C6"/>
    <w:rsid w:val="00562197"/>
    <w:rsid w:val="00562755"/>
    <w:rsid w:val="00562EE7"/>
    <w:rsid w:val="00563545"/>
    <w:rsid w:val="00564824"/>
    <w:rsid w:val="00566780"/>
    <w:rsid w:val="005716E9"/>
    <w:rsid w:val="00573017"/>
    <w:rsid w:val="005759CE"/>
    <w:rsid w:val="00583543"/>
    <w:rsid w:val="00583AF0"/>
    <w:rsid w:val="00585187"/>
    <w:rsid w:val="00592094"/>
    <w:rsid w:val="00596101"/>
    <w:rsid w:val="00596615"/>
    <w:rsid w:val="00597F76"/>
    <w:rsid w:val="005A05AF"/>
    <w:rsid w:val="005A4307"/>
    <w:rsid w:val="005A68B8"/>
    <w:rsid w:val="005B10F0"/>
    <w:rsid w:val="005B13C9"/>
    <w:rsid w:val="005B38EC"/>
    <w:rsid w:val="005B747B"/>
    <w:rsid w:val="005C4474"/>
    <w:rsid w:val="005C4DF3"/>
    <w:rsid w:val="005C50BA"/>
    <w:rsid w:val="005E175C"/>
    <w:rsid w:val="005E3A95"/>
    <w:rsid w:val="005E6A62"/>
    <w:rsid w:val="005F266C"/>
    <w:rsid w:val="006016E4"/>
    <w:rsid w:val="0060678A"/>
    <w:rsid w:val="006116CD"/>
    <w:rsid w:val="006258B5"/>
    <w:rsid w:val="00625E03"/>
    <w:rsid w:val="00626506"/>
    <w:rsid w:val="00626987"/>
    <w:rsid w:val="0063489F"/>
    <w:rsid w:val="00635D6A"/>
    <w:rsid w:val="006461DD"/>
    <w:rsid w:val="00646475"/>
    <w:rsid w:val="00646785"/>
    <w:rsid w:val="00647FA7"/>
    <w:rsid w:val="00650BDD"/>
    <w:rsid w:val="0065731E"/>
    <w:rsid w:val="00657934"/>
    <w:rsid w:val="0066093B"/>
    <w:rsid w:val="00660F77"/>
    <w:rsid w:val="0067164B"/>
    <w:rsid w:val="00673BC3"/>
    <w:rsid w:val="0067531E"/>
    <w:rsid w:val="00675DD0"/>
    <w:rsid w:val="00676214"/>
    <w:rsid w:val="006821F7"/>
    <w:rsid w:val="00684D52"/>
    <w:rsid w:val="006951D3"/>
    <w:rsid w:val="00695595"/>
    <w:rsid w:val="006A17DA"/>
    <w:rsid w:val="006A24C4"/>
    <w:rsid w:val="006A2B57"/>
    <w:rsid w:val="006A4B2D"/>
    <w:rsid w:val="006A6931"/>
    <w:rsid w:val="006A793E"/>
    <w:rsid w:val="006B11BD"/>
    <w:rsid w:val="006B2784"/>
    <w:rsid w:val="006C3654"/>
    <w:rsid w:val="006C4895"/>
    <w:rsid w:val="006D103A"/>
    <w:rsid w:val="006D37AC"/>
    <w:rsid w:val="006D7170"/>
    <w:rsid w:val="006D75C8"/>
    <w:rsid w:val="006D7A06"/>
    <w:rsid w:val="006E0EDB"/>
    <w:rsid w:val="006E172E"/>
    <w:rsid w:val="006E1FCD"/>
    <w:rsid w:val="006E50AE"/>
    <w:rsid w:val="006F5515"/>
    <w:rsid w:val="007002D1"/>
    <w:rsid w:val="007043CA"/>
    <w:rsid w:val="007073B8"/>
    <w:rsid w:val="0070775D"/>
    <w:rsid w:val="00712DCA"/>
    <w:rsid w:val="007152AB"/>
    <w:rsid w:val="00720214"/>
    <w:rsid w:val="007253AF"/>
    <w:rsid w:val="00726A0E"/>
    <w:rsid w:val="00730864"/>
    <w:rsid w:val="007323D1"/>
    <w:rsid w:val="0073433F"/>
    <w:rsid w:val="00736CAD"/>
    <w:rsid w:val="007371EF"/>
    <w:rsid w:val="00740E9A"/>
    <w:rsid w:val="00742F64"/>
    <w:rsid w:val="007505D6"/>
    <w:rsid w:val="00751B44"/>
    <w:rsid w:val="007533DD"/>
    <w:rsid w:val="00753DB7"/>
    <w:rsid w:val="00753FBA"/>
    <w:rsid w:val="00755126"/>
    <w:rsid w:val="007578AC"/>
    <w:rsid w:val="00762D75"/>
    <w:rsid w:val="0076740A"/>
    <w:rsid w:val="007700DF"/>
    <w:rsid w:val="007700FC"/>
    <w:rsid w:val="00773644"/>
    <w:rsid w:val="00774414"/>
    <w:rsid w:val="00776095"/>
    <w:rsid w:val="007808B5"/>
    <w:rsid w:val="007810F1"/>
    <w:rsid w:val="00781D62"/>
    <w:rsid w:val="00783E18"/>
    <w:rsid w:val="00786400"/>
    <w:rsid w:val="00790756"/>
    <w:rsid w:val="00791CB1"/>
    <w:rsid w:val="00793194"/>
    <w:rsid w:val="0079332B"/>
    <w:rsid w:val="00794104"/>
    <w:rsid w:val="007A5DF8"/>
    <w:rsid w:val="007A6C60"/>
    <w:rsid w:val="007B4E61"/>
    <w:rsid w:val="007B719C"/>
    <w:rsid w:val="007C0740"/>
    <w:rsid w:val="007C2A63"/>
    <w:rsid w:val="007C75B4"/>
    <w:rsid w:val="007D2AAB"/>
    <w:rsid w:val="007D2CC9"/>
    <w:rsid w:val="007D359D"/>
    <w:rsid w:val="007D3733"/>
    <w:rsid w:val="007E02A1"/>
    <w:rsid w:val="007E3B8D"/>
    <w:rsid w:val="007E601E"/>
    <w:rsid w:val="007E61CE"/>
    <w:rsid w:val="007F2EB9"/>
    <w:rsid w:val="008028A6"/>
    <w:rsid w:val="00803204"/>
    <w:rsid w:val="008101FE"/>
    <w:rsid w:val="00817807"/>
    <w:rsid w:val="00820E74"/>
    <w:rsid w:val="00822085"/>
    <w:rsid w:val="00822C07"/>
    <w:rsid w:val="008310EA"/>
    <w:rsid w:val="0083117D"/>
    <w:rsid w:val="00836A7C"/>
    <w:rsid w:val="00841022"/>
    <w:rsid w:val="00845B7B"/>
    <w:rsid w:val="0084638A"/>
    <w:rsid w:val="00850C2C"/>
    <w:rsid w:val="00854682"/>
    <w:rsid w:val="00871229"/>
    <w:rsid w:val="00873E3E"/>
    <w:rsid w:val="0088071A"/>
    <w:rsid w:val="00883D69"/>
    <w:rsid w:val="008A21DC"/>
    <w:rsid w:val="008A24F5"/>
    <w:rsid w:val="008A484B"/>
    <w:rsid w:val="008A5D0E"/>
    <w:rsid w:val="008A73ED"/>
    <w:rsid w:val="008B0E24"/>
    <w:rsid w:val="008B1A8E"/>
    <w:rsid w:val="008B31C7"/>
    <w:rsid w:val="008C0411"/>
    <w:rsid w:val="008C2BAF"/>
    <w:rsid w:val="008C3F1C"/>
    <w:rsid w:val="008C5156"/>
    <w:rsid w:val="008C593C"/>
    <w:rsid w:val="008C775C"/>
    <w:rsid w:val="008D326C"/>
    <w:rsid w:val="008D403E"/>
    <w:rsid w:val="008F3813"/>
    <w:rsid w:val="008F392D"/>
    <w:rsid w:val="008F6E3F"/>
    <w:rsid w:val="009029FE"/>
    <w:rsid w:val="00905CB6"/>
    <w:rsid w:val="00906632"/>
    <w:rsid w:val="00906E01"/>
    <w:rsid w:val="0090728F"/>
    <w:rsid w:val="00907C3A"/>
    <w:rsid w:val="00920088"/>
    <w:rsid w:val="00921C42"/>
    <w:rsid w:val="00924F44"/>
    <w:rsid w:val="00930E16"/>
    <w:rsid w:val="00931312"/>
    <w:rsid w:val="00941C6E"/>
    <w:rsid w:val="00942672"/>
    <w:rsid w:val="00943427"/>
    <w:rsid w:val="0095649B"/>
    <w:rsid w:val="00956641"/>
    <w:rsid w:val="00956AD3"/>
    <w:rsid w:val="00963868"/>
    <w:rsid w:val="0096579B"/>
    <w:rsid w:val="00966B6D"/>
    <w:rsid w:val="00971411"/>
    <w:rsid w:val="00972F05"/>
    <w:rsid w:val="00974D6D"/>
    <w:rsid w:val="009804FD"/>
    <w:rsid w:val="00981EEE"/>
    <w:rsid w:val="009846D7"/>
    <w:rsid w:val="0098728B"/>
    <w:rsid w:val="00987C9F"/>
    <w:rsid w:val="00991564"/>
    <w:rsid w:val="009936B9"/>
    <w:rsid w:val="00996382"/>
    <w:rsid w:val="009A277A"/>
    <w:rsid w:val="009B21ED"/>
    <w:rsid w:val="009B56EA"/>
    <w:rsid w:val="009B77A5"/>
    <w:rsid w:val="009C3A82"/>
    <w:rsid w:val="009C4AE4"/>
    <w:rsid w:val="009C5EF5"/>
    <w:rsid w:val="009C65BB"/>
    <w:rsid w:val="009C6C17"/>
    <w:rsid w:val="009D0AD4"/>
    <w:rsid w:val="009D4591"/>
    <w:rsid w:val="009E05EF"/>
    <w:rsid w:val="009E0F04"/>
    <w:rsid w:val="009E11AB"/>
    <w:rsid w:val="009E363C"/>
    <w:rsid w:val="009F0005"/>
    <w:rsid w:val="009F253D"/>
    <w:rsid w:val="009F2A60"/>
    <w:rsid w:val="00A01BAC"/>
    <w:rsid w:val="00A06C16"/>
    <w:rsid w:val="00A1190D"/>
    <w:rsid w:val="00A11CA0"/>
    <w:rsid w:val="00A154BB"/>
    <w:rsid w:val="00A15C14"/>
    <w:rsid w:val="00A15EAC"/>
    <w:rsid w:val="00A15FFE"/>
    <w:rsid w:val="00A17034"/>
    <w:rsid w:val="00A2300F"/>
    <w:rsid w:val="00A260E3"/>
    <w:rsid w:val="00A27ED6"/>
    <w:rsid w:val="00A308DE"/>
    <w:rsid w:val="00A30C81"/>
    <w:rsid w:val="00A30DC9"/>
    <w:rsid w:val="00A35138"/>
    <w:rsid w:val="00A359C5"/>
    <w:rsid w:val="00A369F1"/>
    <w:rsid w:val="00A43362"/>
    <w:rsid w:val="00A44AD6"/>
    <w:rsid w:val="00A52E8F"/>
    <w:rsid w:val="00A52F2D"/>
    <w:rsid w:val="00A5579C"/>
    <w:rsid w:val="00A55836"/>
    <w:rsid w:val="00A56840"/>
    <w:rsid w:val="00A57A68"/>
    <w:rsid w:val="00A6431D"/>
    <w:rsid w:val="00A64665"/>
    <w:rsid w:val="00A665DA"/>
    <w:rsid w:val="00A731C7"/>
    <w:rsid w:val="00A74663"/>
    <w:rsid w:val="00A74B45"/>
    <w:rsid w:val="00A75848"/>
    <w:rsid w:val="00A95DE4"/>
    <w:rsid w:val="00A97A02"/>
    <w:rsid w:val="00AA3CA3"/>
    <w:rsid w:val="00AA537B"/>
    <w:rsid w:val="00AA5EB9"/>
    <w:rsid w:val="00AB1D55"/>
    <w:rsid w:val="00AB3896"/>
    <w:rsid w:val="00AB4A67"/>
    <w:rsid w:val="00AC0689"/>
    <w:rsid w:val="00AC2EC0"/>
    <w:rsid w:val="00AD6686"/>
    <w:rsid w:val="00AD79C6"/>
    <w:rsid w:val="00AD7CE1"/>
    <w:rsid w:val="00AE1BA3"/>
    <w:rsid w:val="00AE3C65"/>
    <w:rsid w:val="00AE42CF"/>
    <w:rsid w:val="00AE4509"/>
    <w:rsid w:val="00AF41A5"/>
    <w:rsid w:val="00B03574"/>
    <w:rsid w:val="00B045B2"/>
    <w:rsid w:val="00B04BBC"/>
    <w:rsid w:val="00B04ED3"/>
    <w:rsid w:val="00B10803"/>
    <w:rsid w:val="00B12CDC"/>
    <w:rsid w:val="00B13EB7"/>
    <w:rsid w:val="00B15036"/>
    <w:rsid w:val="00B16ED0"/>
    <w:rsid w:val="00B23872"/>
    <w:rsid w:val="00B26515"/>
    <w:rsid w:val="00B33284"/>
    <w:rsid w:val="00B41664"/>
    <w:rsid w:val="00B47BEB"/>
    <w:rsid w:val="00B51383"/>
    <w:rsid w:val="00B5172C"/>
    <w:rsid w:val="00B518EC"/>
    <w:rsid w:val="00B51915"/>
    <w:rsid w:val="00B5382C"/>
    <w:rsid w:val="00B56785"/>
    <w:rsid w:val="00B569A0"/>
    <w:rsid w:val="00B6528A"/>
    <w:rsid w:val="00B67F54"/>
    <w:rsid w:val="00B7033E"/>
    <w:rsid w:val="00B7200C"/>
    <w:rsid w:val="00B72905"/>
    <w:rsid w:val="00B7792E"/>
    <w:rsid w:val="00B83111"/>
    <w:rsid w:val="00B9294B"/>
    <w:rsid w:val="00B92A7C"/>
    <w:rsid w:val="00BA4A69"/>
    <w:rsid w:val="00BA6FB5"/>
    <w:rsid w:val="00BB2DD9"/>
    <w:rsid w:val="00BB704E"/>
    <w:rsid w:val="00BC026E"/>
    <w:rsid w:val="00BC0EC9"/>
    <w:rsid w:val="00BC1B1F"/>
    <w:rsid w:val="00BC5BCA"/>
    <w:rsid w:val="00BC6521"/>
    <w:rsid w:val="00BD214B"/>
    <w:rsid w:val="00BD5306"/>
    <w:rsid w:val="00BE3231"/>
    <w:rsid w:val="00BE5A71"/>
    <w:rsid w:val="00BE5A91"/>
    <w:rsid w:val="00BF156D"/>
    <w:rsid w:val="00BF51FC"/>
    <w:rsid w:val="00BF5B77"/>
    <w:rsid w:val="00C016F8"/>
    <w:rsid w:val="00C07FA5"/>
    <w:rsid w:val="00C10480"/>
    <w:rsid w:val="00C124D5"/>
    <w:rsid w:val="00C14568"/>
    <w:rsid w:val="00C16D6F"/>
    <w:rsid w:val="00C226A8"/>
    <w:rsid w:val="00C23135"/>
    <w:rsid w:val="00C26357"/>
    <w:rsid w:val="00C27060"/>
    <w:rsid w:val="00C27A70"/>
    <w:rsid w:val="00C327E9"/>
    <w:rsid w:val="00C3542B"/>
    <w:rsid w:val="00C370DE"/>
    <w:rsid w:val="00C37581"/>
    <w:rsid w:val="00C40B4D"/>
    <w:rsid w:val="00C41FE4"/>
    <w:rsid w:val="00C42CBB"/>
    <w:rsid w:val="00C44823"/>
    <w:rsid w:val="00C47F83"/>
    <w:rsid w:val="00C5158C"/>
    <w:rsid w:val="00C52D48"/>
    <w:rsid w:val="00C564B6"/>
    <w:rsid w:val="00C56DE0"/>
    <w:rsid w:val="00C67771"/>
    <w:rsid w:val="00C722CF"/>
    <w:rsid w:val="00C72BC6"/>
    <w:rsid w:val="00C86815"/>
    <w:rsid w:val="00C87A36"/>
    <w:rsid w:val="00C9045F"/>
    <w:rsid w:val="00C92275"/>
    <w:rsid w:val="00C95851"/>
    <w:rsid w:val="00CA1B27"/>
    <w:rsid w:val="00CA1BCF"/>
    <w:rsid w:val="00CA3378"/>
    <w:rsid w:val="00CA43AB"/>
    <w:rsid w:val="00CB1217"/>
    <w:rsid w:val="00CB1541"/>
    <w:rsid w:val="00CB7A54"/>
    <w:rsid w:val="00CC4552"/>
    <w:rsid w:val="00CD4B51"/>
    <w:rsid w:val="00CD52C3"/>
    <w:rsid w:val="00CE0697"/>
    <w:rsid w:val="00CE1F8D"/>
    <w:rsid w:val="00CE28D8"/>
    <w:rsid w:val="00CE2B11"/>
    <w:rsid w:val="00CE3632"/>
    <w:rsid w:val="00CE3AF2"/>
    <w:rsid w:val="00CE4FEF"/>
    <w:rsid w:val="00CE5B33"/>
    <w:rsid w:val="00CE7605"/>
    <w:rsid w:val="00CF1A5A"/>
    <w:rsid w:val="00CF3F25"/>
    <w:rsid w:val="00CF7111"/>
    <w:rsid w:val="00D0053B"/>
    <w:rsid w:val="00D01230"/>
    <w:rsid w:val="00D11952"/>
    <w:rsid w:val="00D13331"/>
    <w:rsid w:val="00D147FB"/>
    <w:rsid w:val="00D14E25"/>
    <w:rsid w:val="00D15506"/>
    <w:rsid w:val="00D15E90"/>
    <w:rsid w:val="00D203B2"/>
    <w:rsid w:val="00D2111C"/>
    <w:rsid w:val="00D229EA"/>
    <w:rsid w:val="00D3094F"/>
    <w:rsid w:val="00D32EA0"/>
    <w:rsid w:val="00D34BBF"/>
    <w:rsid w:val="00D42014"/>
    <w:rsid w:val="00D45209"/>
    <w:rsid w:val="00D452FA"/>
    <w:rsid w:val="00D527C1"/>
    <w:rsid w:val="00D5428C"/>
    <w:rsid w:val="00D54797"/>
    <w:rsid w:val="00D736DB"/>
    <w:rsid w:val="00D74E1A"/>
    <w:rsid w:val="00D8177C"/>
    <w:rsid w:val="00D86C46"/>
    <w:rsid w:val="00D94C3B"/>
    <w:rsid w:val="00DA1860"/>
    <w:rsid w:val="00DB02B3"/>
    <w:rsid w:val="00DB1E2A"/>
    <w:rsid w:val="00DB22FB"/>
    <w:rsid w:val="00DB3B27"/>
    <w:rsid w:val="00DB4587"/>
    <w:rsid w:val="00DB6506"/>
    <w:rsid w:val="00DB6EA8"/>
    <w:rsid w:val="00DC1304"/>
    <w:rsid w:val="00DC26B3"/>
    <w:rsid w:val="00DC2C5F"/>
    <w:rsid w:val="00DC2D0A"/>
    <w:rsid w:val="00DC318B"/>
    <w:rsid w:val="00DC3204"/>
    <w:rsid w:val="00DD0930"/>
    <w:rsid w:val="00DD1CC0"/>
    <w:rsid w:val="00DD6462"/>
    <w:rsid w:val="00DE2145"/>
    <w:rsid w:val="00DF3980"/>
    <w:rsid w:val="00DF42B2"/>
    <w:rsid w:val="00DF59F5"/>
    <w:rsid w:val="00E021CB"/>
    <w:rsid w:val="00E02859"/>
    <w:rsid w:val="00E0316B"/>
    <w:rsid w:val="00E07D54"/>
    <w:rsid w:val="00E12851"/>
    <w:rsid w:val="00E12904"/>
    <w:rsid w:val="00E12D06"/>
    <w:rsid w:val="00E17DCF"/>
    <w:rsid w:val="00E217B8"/>
    <w:rsid w:val="00E225B8"/>
    <w:rsid w:val="00E2432A"/>
    <w:rsid w:val="00E249FE"/>
    <w:rsid w:val="00E3192F"/>
    <w:rsid w:val="00E321C7"/>
    <w:rsid w:val="00E35A90"/>
    <w:rsid w:val="00E36C4C"/>
    <w:rsid w:val="00E37A3E"/>
    <w:rsid w:val="00E4051E"/>
    <w:rsid w:val="00E4060F"/>
    <w:rsid w:val="00E414E8"/>
    <w:rsid w:val="00E43C4C"/>
    <w:rsid w:val="00E47929"/>
    <w:rsid w:val="00E50601"/>
    <w:rsid w:val="00E52B53"/>
    <w:rsid w:val="00E54BCD"/>
    <w:rsid w:val="00E55943"/>
    <w:rsid w:val="00E56BB0"/>
    <w:rsid w:val="00E603FB"/>
    <w:rsid w:val="00E61DAB"/>
    <w:rsid w:val="00E67569"/>
    <w:rsid w:val="00E7000B"/>
    <w:rsid w:val="00E71FED"/>
    <w:rsid w:val="00E837F3"/>
    <w:rsid w:val="00E87143"/>
    <w:rsid w:val="00E917B7"/>
    <w:rsid w:val="00E954EB"/>
    <w:rsid w:val="00E96F45"/>
    <w:rsid w:val="00EA0345"/>
    <w:rsid w:val="00EA21A0"/>
    <w:rsid w:val="00EA28EE"/>
    <w:rsid w:val="00EA361A"/>
    <w:rsid w:val="00EB4E81"/>
    <w:rsid w:val="00EB7123"/>
    <w:rsid w:val="00EC6B90"/>
    <w:rsid w:val="00ED4622"/>
    <w:rsid w:val="00EE04E1"/>
    <w:rsid w:val="00EE2180"/>
    <w:rsid w:val="00EE44DA"/>
    <w:rsid w:val="00EE606B"/>
    <w:rsid w:val="00EF6F25"/>
    <w:rsid w:val="00F0320A"/>
    <w:rsid w:val="00F047E6"/>
    <w:rsid w:val="00F04AAB"/>
    <w:rsid w:val="00F07A77"/>
    <w:rsid w:val="00F151DF"/>
    <w:rsid w:val="00F21F18"/>
    <w:rsid w:val="00F23FF9"/>
    <w:rsid w:val="00F26777"/>
    <w:rsid w:val="00F31115"/>
    <w:rsid w:val="00F3227B"/>
    <w:rsid w:val="00F369DD"/>
    <w:rsid w:val="00F40959"/>
    <w:rsid w:val="00F40D7E"/>
    <w:rsid w:val="00F42540"/>
    <w:rsid w:val="00F44491"/>
    <w:rsid w:val="00F44773"/>
    <w:rsid w:val="00F54BE6"/>
    <w:rsid w:val="00F55B12"/>
    <w:rsid w:val="00F56428"/>
    <w:rsid w:val="00F75B8E"/>
    <w:rsid w:val="00F828C5"/>
    <w:rsid w:val="00F953A8"/>
    <w:rsid w:val="00F95489"/>
    <w:rsid w:val="00F958A6"/>
    <w:rsid w:val="00FA06B2"/>
    <w:rsid w:val="00FA3F89"/>
    <w:rsid w:val="00FB104D"/>
    <w:rsid w:val="00FB51AE"/>
    <w:rsid w:val="00FB55DF"/>
    <w:rsid w:val="00FB63D0"/>
    <w:rsid w:val="00FC2F74"/>
    <w:rsid w:val="00FD0CEC"/>
    <w:rsid w:val="00FD4347"/>
    <w:rsid w:val="00FD6882"/>
    <w:rsid w:val="00FE014A"/>
    <w:rsid w:val="00FE1DC3"/>
    <w:rsid w:val="00FE2BCF"/>
    <w:rsid w:val="00FE4168"/>
    <w:rsid w:val="00FE5808"/>
    <w:rsid w:val="00FE7A9C"/>
    <w:rsid w:val="00FF2DE7"/>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48EC"/>
  <w15:docId w15:val="{24B1C0BA-CA6E-4D1E-9F84-5E71472E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Times New Roman" w:eastAsia="Times New Roman" w:hAnsi="Times New Roman"/>
      <w:b/>
      <w:bCs/>
      <w:sz w:val="40"/>
      <w:szCs w:val="40"/>
    </w:rPr>
  </w:style>
  <w:style w:type="paragraph" w:styleId="Heading2">
    <w:name w:val="heading 2"/>
    <w:basedOn w:val="Normal"/>
    <w:uiPriority w:val="1"/>
    <w:qFormat/>
    <w:pPr>
      <w:spacing w:before="19"/>
      <w:ind w:left="700" w:hanging="540"/>
      <w:outlineLvl w:val="1"/>
    </w:pPr>
    <w:rPr>
      <w:rFonts w:ascii="Times New Roman" w:eastAsia="Times New Roman" w:hAnsi="Times New Roman"/>
      <w:b/>
      <w:bCs/>
      <w:sz w:val="32"/>
      <w:szCs w:val="32"/>
    </w:rPr>
  </w:style>
  <w:style w:type="paragraph" w:styleId="Heading3">
    <w:name w:val="heading 3"/>
    <w:basedOn w:val="Normal"/>
    <w:uiPriority w:val="1"/>
    <w:qFormat/>
    <w:pPr>
      <w:ind w:left="880"/>
      <w:outlineLvl w:val="2"/>
    </w:pPr>
    <w:rPr>
      <w:rFonts w:ascii="Times New Roman" w:eastAsia="Times New Roman" w:hAnsi="Times New Roman"/>
      <w:b/>
      <w:bCs/>
      <w:sz w:val="28"/>
      <w:szCs w:val="28"/>
      <w:u w:val="single"/>
    </w:rPr>
  </w:style>
  <w:style w:type="paragraph" w:styleId="Heading4">
    <w:name w:val="heading 4"/>
    <w:basedOn w:val="Normal"/>
    <w:uiPriority w:val="1"/>
    <w:qFormat/>
    <w:pPr>
      <w:ind w:left="1240" w:hanging="1080"/>
      <w:outlineLvl w:val="3"/>
    </w:pPr>
    <w:rPr>
      <w:rFonts w:ascii="Times New Roman" w:eastAsia="Times New Roman" w:hAnsi="Times New Roman"/>
      <w:b/>
      <w:bCs/>
      <w:sz w:val="24"/>
      <w:szCs w:val="24"/>
    </w:rPr>
  </w:style>
  <w:style w:type="paragraph" w:styleId="Heading5">
    <w:name w:val="heading 5"/>
    <w:basedOn w:val="Normal"/>
    <w:uiPriority w:val="1"/>
    <w:qFormat/>
    <w:pPr>
      <w:ind w:left="160"/>
      <w:outlineLvl w:val="4"/>
    </w:pPr>
    <w:rPr>
      <w:rFonts w:ascii="Times New Roman" w:eastAsia="Times New Roman" w:hAnsi="Times New Roman"/>
      <w:sz w:val="24"/>
      <w:szCs w:val="24"/>
    </w:rPr>
  </w:style>
  <w:style w:type="paragraph" w:styleId="Heading6">
    <w:name w:val="heading 6"/>
    <w:basedOn w:val="Normal"/>
    <w:uiPriority w:val="1"/>
    <w:qFormat/>
    <w:pPr>
      <w:ind w:left="352" w:hanging="252"/>
      <w:outlineLvl w:val="5"/>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000" w:hanging="840"/>
    </w:pPr>
    <w:rPr>
      <w:rFonts w:ascii="Times New Roman" w:eastAsia="Times New Roman" w:hAnsi="Times New Roman"/>
      <w:b/>
      <w:bCs/>
      <w:sz w:val="32"/>
      <w:szCs w:val="32"/>
    </w:rPr>
  </w:style>
  <w:style w:type="paragraph" w:styleId="TOC2">
    <w:name w:val="toc 2"/>
    <w:basedOn w:val="Normal"/>
    <w:uiPriority w:val="39"/>
    <w:qFormat/>
    <w:pPr>
      <w:ind w:left="880" w:hanging="480"/>
    </w:pPr>
    <w:rPr>
      <w:rFonts w:ascii="Times New Roman" w:eastAsia="Times New Roman" w:hAnsi="Times New Roman"/>
      <w:sz w:val="24"/>
      <w:szCs w:val="24"/>
    </w:rPr>
  </w:style>
  <w:style w:type="paragraph" w:styleId="TOC3">
    <w:name w:val="toc 3"/>
    <w:basedOn w:val="Normal"/>
    <w:uiPriority w:val="1"/>
    <w:qFormat/>
    <w:pPr>
      <w:ind w:left="400" w:firstLine="840"/>
    </w:pPr>
    <w:rPr>
      <w:rFonts w:ascii="Times New Roman" w:eastAsia="Times New Roman" w:hAnsi="Times New Roman"/>
      <w:sz w:val="24"/>
      <w:szCs w:val="24"/>
    </w:rPr>
  </w:style>
  <w:style w:type="paragraph" w:styleId="BodyText">
    <w:name w:val="Body Text"/>
    <w:basedOn w:val="Normal"/>
    <w:uiPriority w:val="1"/>
    <w:qFormat/>
    <w:pPr>
      <w:ind w:left="100"/>
    </w:pPr>
    <w:rPr>
      <w:rFonts w:ascii="Arial" w:eastAsia="Arial" w:hAnsi="Arial"/>
    </w:rPr>
  </w:style>
  <w:style w:type="paragraph" w:styleId="ListParagraph">
    <w:name w:val="List Paragraph"/>
    <w:aliases w:val="Bullet List,numbered,FooterText,List Bulletized,B1 paragraph"/>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C2885"/>
    <w:rPr>
      <w:sz w:val="16"/>
      <w:szCs w:val="16"/>
    </w:rPr>
  </w:style>
  <w:style w:type="paragraph" w:styleId="CommentText">
    <w:name w:val="annotation text"/>
    <w:basedOn w:val="Normal"/>
    <w:link w:val="CommentTextChar"/>
    <w:uiPriority w:val="99"/>
    <w:unhideWhenUsed/>
    <w:rsid w:val="001C2885"/>
    <w:rPr>
      <w:sz w:val="20"/>
      <w:szCs w:val="20"/>
    </w:rPr>
  </w:style>
  <w:style w:type="character" w:customStyle="1" w:styleId="CommentTextChar">
    <w:name w:val="Comment Text Char"/>
    <w:basedOn w:val="DefaultParagraphFont"/>
    <w:link w:val="CommentText"/>
    <w:uiPriority w:val="99"/>
    <w:rsid w:val="001C2885"/>
    <w:rPr>
      <w:sz w:val="20"/>
      <w:szCs w:val="20"/>
    </w:rPr>
  </w:style>
  <w:style w:type="paragraph" w:styleId="CommentSubject">
    <w:name w:val="annotation subject"/>
    <w:basedOn w:val="CommentText"/>
    <w:next w:val="CommentText"/>
    <w:link w:val="CommentSubjectChar"/>
    <w:uiPriority w:val="99"/>
    <w:semiHidden/>
    <w:unhideWhenUsed/>
    <w:rsid w:val="001C2885"/>
    <w:rPr>
      <w:b/>
      <w:bCs/>
    </w:rPr>
  </w:style>
  <w:style w:type="character" w:customStyle="1" w:styleId="CommentSubjectChar">
    <w:name w:val="Comment Subject Char"/>
    <w:basedOn w:val="CommentTextChar"/>
    <w:link w:val="CommentSubject"/>
    <w:uiPriority w:val="99"/>
    <w:semiHidden/>
    <w:rsid w:val="001C2885"/>
    <w:rPr>
      <w:b/>
      <w:bCs/>
      <w:sz w:val="20"/>
      <w:szCs w:val="20"/>
    </w:rPr>
  </w:style>
  <w:style w:type="paragraph" w:styleId="BalloonText">
    <w:name w:val="Balloon Text"/>
    <w:basedOn w:val="Normal"/>
    <w:link w:val="BalloonTextChar"/>
    <w:uiPriority w:val="99"/>
    <w:semiHidden/>
    <w:unhideWhenUsed/>
    <w:rsid w:val="001C2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85"/>
    <w:rPr>
      <w:rFonts w:ascii="Segoe UI" w:hAnsi="Segoe UI" w:cs="Segoe UI"/>
      <w:sz w:val="18"/>
      <w:szCs w:val="18"/>
    </w:rPr>
  </w:style>
  <w:style w:type="character" w:styleId="Hyperlink">
    <w:name w:val="Hyperlink"/>
    <w:basedOn w:val="DefaultParagraphFont"/>
    <w:uiPriority w:val="99"/>
    <w:unhideWhenUsed/>
    <w:rsid w:val="00E249FE"/>
    <w:rPr>
      <w:color w:val="0000FF" w:themeColor="hyperlink"/>
      <w:u w:val="single"/>
    </w:rPr>
  </w:style>
  <w:style w:type="character" w:customStyle="1" w:styleId="UnresolvedMention1">
    <w:name w:val="Unresolved Mention1"/>
    <w:basedOn w:val="DefaultParagraphFont"/>
    <w:uiPriority w:val="99"/>
    <w:semiHidden/>
    <w:unhideWhenUsed/>
    <w:rsid w:val="00E249FE"/>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2F0005"/>
    <w:pPr>
      <w:widowControl/>
    </w:pPr>
    <w:rPr>
      <w:sz w:val="20"/>
      <w:szCs w:val="20"/>
    </w:rPr>
  </w:style>
  <w:style w:type="character" w:customStyle="1" w:styleId="FootnoteTextChar">
    <w:name w:val="Footnote Text Char"/>
    <w:basedOn w:val="DefaultParagraphFont"/>
    <w:link w:val="FootnoteText1"/>
    <w:uiPriority w:val="99"/>
    <w:semiHidden/>
    <w:rsid w:val="002F0005"/>
    <w:rPr>
      <w:sz w:val="20"/>
      <w:szCs w:val="20"/>
    </w:rPr>
  </w:style>
  <w:style w:type="character" w:styleId="FootnoteReference">
    <w:name w:val="footnote reference"/>
    <w:basedOn w:val="DefaultParagraphFont"/>
    <w:uiPriority w:val="99"/>
    <w:semiHidden/>
    <w:unhideWhenUsed/>
    <w:rsid w:val="002F0005"/>
    <w:rPr>
      <w:vertAlign w:val="superscript"/>
    </w:rPr>
  </w:style>
  <w:style w:type="paragraph" w:customStyle="1" w:styleId="Header1">
    <w:name w:val="Header1"/>
    <w:basedOn w:val="Normal"/>
    <w:next w:val="Header"/>
    <w:link w:val="HeaderChar"/>
    <w:uiPriority w:val="99"/>
    <w:unhideWhenUsed/>
    <w:rsid w:val="002F0005"/>
    <w:pPr>
      <w:widowControl/>
      <w:tabs>
        <w:tab w:val="center" w:pos="4680"/>
        <w:tab w:val="right" w:pos="9360"/>
      </w:tabs>
    </w:pPr>
  </w:style>
  <w:style w:type="character" w:customStyle="1" w:styleId="HeaderChar">
    <w:name w:val="Header Char"/>
    <w:basedOn w:val="DefaultParagraphFont"/>
    <w:link w:val="Header1"/>
    <w:uiPriority w:val="99"/>
    <w:rsid w:val="002F0005"/>
  </w:style>
  <w:style w:type="paragraph" w:customStyle="1" w:styleId="Footer1">
    <w:name w:val="Footer1"/>
    <w:basedOn w:val="Normal"/>
    <w:next w:val="Footer"/>
    <w:link w:val="FooterChar"/>
    <w:uiPriority w:val="99"/>
    <w:unhideWhenUsed/>
    <w:rsid w:val="002F0005"/>
    <w:pPr>
      <w:widowControl/>
      <w:tabs>
        <w:tab w:val="center" w:pos="4680"/>
        <w:tab w:val="right" w:pos="9360"/>
      </w:tabs>
    </w:pPr>
  </w:style>
  <w:style w:type="character" w:customStyle="1" w:styleId="FooterChar">
    <w:name w:val="Footer Char"/>
    <w:basedOn w:val="DefaultParagraphFont"/>
    <w:link w:val="Footer1"/>
    <w:uiPriority w:val="99"/>
    <w:rsid w:val="002F0005"/>
  </w:style>
  <w:style w:type="paragraph" w:styleId="FootnoteText">
    <w:name w:val="footnote text"/>
    <w:basedOn w:val="Normal"/>
    <w:link w:val="FootnoteTextChar1"/>
    <w:uiPriority w:val="99"/>
    <w:semiHidden/>
    <w:unhideWhenUsed/>
    <w:rsid w:val="002F0005"/>
    <w:rPr>
      <w:sz w:val="20"/>
      <w:szCs w:val="20"/>
    </w:rPr>
  </w:style>
  <w:style w:type="character" w:customStyle="1" w:styleId="FootnoteTextChar1">
    <w:name w:val="Footnote Text Char1"/>
    <w:basedOn w:val="DefaultParagraphFont"/>
    <w:link w:val="FootnoteText"/>
    <w:uiPriority w:val="99"/>
    <w:semiHidden/>
    <w:rsid w:val="002F0005"/>
    <w:rPr>
      <w:sz w:val="20"/>
      <w:szCs w:val="20"/>
    </w:rPr>
  </w:style>
  <w:style w:type="paragraph" w:styleId="Header">
    <w:name w:val="header"/>
    <w:basedOn w:val="Normal"/>
    <w:link w:val="HeaderChar1"/>
    <w:uiPriority w:val="99"/>
    <w:unhideWhenUsed/>
    <w:rsid w:val="002F0005"/>
    <w:pPr>
      <w:tabs>
        <w:tab w:val="center" w:pos="4680"/>
        <w:tab w:val="right" w:pos="9360"/>
      </w:tabs>
    </w:pPr>
  </w:style>
  <w:style w:type="character" w:customStyle="1" w:styleId="HeaderChar1">
    <w:name w:val="Header Char1"/>
    <w:basedOn w:val="DefaultParagraphFont"/>
    <w:link w:val="Header"/>
    <w:uiPriority w:val="99"/>
    <w:rsid w:val="002F0005"/>
  </w:style>
  <w:style w:type="paragraph" w:styleId="Footer">
    <w:name w:val="footer"/>
    <w:basedOn w:val="Normal"/>
    <w:link w:val="FooterChar1"/>
    <w:uiPriority w:val="99"/>
    <w:unhideWhenUsed/>
    <w:rsid w:val="002F0005"/>
    <w:pPr>
      <w:tabs>
        <w:tab w:val="center" w:pos="4680"/>
        <w:tab w:val="right" w:pos="9360"/>
      </w:tabs>
    </w:pPr>
  </w:style>
  <w:style w:type="character" w:customStyle="1" w:styleId="FooterChar1">
    <w:name w:val="Footer Char1"/>
    <w:basedOn w:val="DefaultParagraphFont"/>
    <w:link w:val="Footer"/>
    <w:uiPriority w:val="99"/>
    <w:rsid w:val="002F0005"/>
  </w:style>
  <w:style w:type="paragraph" w:styleId="TOCHeading">
    <w:name w:val="TOC Heading"/>
    <w:basedOn w:val="Heading1"/>
    <w:next w:val="Normal"/>
    <w:uiPriority w:val="39"/>
    <w:unhideWhenUsed/>
    <w:qFormat/>
    <w:rsid w:val="0047325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aliases w:val="Bullet List Char,numbered Char,FooterText Char,List Bulletized Char,B1 paragraph Char"/>
    <w:link w:val="ListParagraph"/>
    <w:uiPriority w:val="34"/>
    <w:locked/>
    <w:rsid w:val="00675DD0"/>
  </w:style>
  <w:style w:type="paragraph" w:styleId="Revision">
    <w:name w:val="Revision"/>
    <w:hidden/>
    <w:uiPriority w:val="99"/>
    <w:semiHidden/>
    <w:rsid w:val="00931312"/>
    <w:pPr>
      <w:widowControl/>
    </w:pPr>
  </w:style>
  <w:style w:type="character" w:styleId="Strong">
    <w:name w:val="Strong"/>
    <w:basedOn w:val="DefaultParagraphFont"/>
    <w:uiPriority w:val="22"/>
    <w:qFormat/>
    <w:rsid w:val="006A4B2D"/>
    <w:rPr>
      <w:b/>
      <w:bCs/>
    </w:rPr>
  </w:style>
  <w:style w:type="character" w:customStyle="1" w:styleId="UnresolvedMention2">
    <w:name w:val="Unresolved Mention2"/>
    <w:basedOn w:val="DefaultParagraphFont"/>
    <w:uiPriority w:val="99"/>
    <w:semiHidden/>
    <w:unhideWhenUsed/>
    <w:rsid w:val="00E87143"/>
    <w:rPr>
      <w:color w:val="605E5C"/>
      <w:shd w:val="clear" w:color="auto" w:fill="E1DFDD"/>
    </w:rPr>
  </w:style>
  <w:style w:type="character" w:styleId="FollowedHyperlink">
    <w:name w:val="FollowedHyperlink"/>
    <w:basedOn w:val="DefaultParagraphFont"/>
    <w:uiPriority w:val="99"/>
    <w:semiHidden/>
    <w:unhideWhenUsed/>
    <w:rsid w:val="0022672A"/>
    <w:rPr>
      <w:color w:val="800080" w:themeColor="followedHyperlink"/>
      <w:u w:val="single"/>
    </w:rPr>
  </w:style>
  <w:style w:type="paragraph" w:styleId="NoSpacing">
    <w:name w:val="No Spacing"/>
    <w:link w:val="NoSpacingChar"/>
    <w:uiPriority w:val="1"/>
    <w:qFormat/>
    <w:rsid w:val="00B518EC"/>
    <w:pPr>
      <w:widowControl/>
    </w:pPr>
    <w:rPr>
      <w:rFonts w:eastAsiaTheme="minorEastAsia"/>
    </w:rPr>
  </w:style>
  <w:style w:type="character" w:customStyle="1" w:styleId="NoSpacingChar">
    <w:name w:val="No Spacing Char"/>
    <w:basedOn w:val="DefaultParagraphFont"/>
    <w:link w:val="NoSpacing"/>
    <w:uiPriority w:val="1"/>
    <w:rsid w:val="00B518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35">
      <w:bodyDiv w:val="1"/>
      <w:marLeft w:val="0"/>
      <w:marRight w:val="0"/>
      <w:marTop w:val="0"/>
      <w:marBottom w:val="0"/>
      <w:divBdr>
        <w:top w:val="none" w:sz="0" w:space="0" w:color="auto"/>
        <w:left w:val="none" w:sz="0" w:space="0" w:color="auto"/>
        <w:bottom w:val="none" w:sz="0" w:space="0" w:color="auto"/>
        <w:right w:val="none" w:sz="0" w:space="0" w:color="auto"/>
      </w:divBdr>
    </w:div>
    <w:div w:id="498231443">
      <w:bodyDiv w:val="1"/>
      <w:marLeft w:val="0"/>
      <w:marRight w:val="0"/>
      <w:marTop w:val="0"/>
      <w:marBottom w:val="0"/>
      <w:divBdr>
        <w:top w:val="none" w:sz="0" w:space="0" w:color="auto"/>
        <w:left w:val="none" w:sz="0" w:space="0" w:color="auto"/>
        <w:bottom w:val="none" w:sz="0" w:space="0" w:color="auto"/>
        <w:right w:val="none" w:sz="0" w:space="0" w:color="auto"/>
      </w:divBdr>
    </w:div>
    <w:div w:id="1499227556">
      <w:bodyDiv w:val="1"/>
      <w:marLeft w:val="0"/>
      <w:marRight w:val="0"/>
      <w:marTop w:val="0"/>
      <w:marBottom w:val="0"/>
      <w:divBdr>
        <w:top w:val="none" w:sz="0" w:space="0" w:color="auto"/>
        <w:left w:val="none" w:sz="0" w:space="0" w:color="auto"/>
        <w:bottom w:val="none" w:sz="0" w:space="0" w:color="auto"/>
        <w:right w:val="none" w:sz="0" w:space="0" w:color="auto"/>
      </w:divBdr>
    </w:div>
    <w:div w:id="201537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RM.Solicitations@dca.nj.gov"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MAP-RFQ@dca.nj.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tate.nj.us/treasury/purchase/forms/Waiver%20and%20DPA%20Contract%20Checklis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te.nj.us/treasury/purchase/form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FC91084446446A34037BF0626D27B" ma:contentTypeVersion="10" ma:contentTypeDescription="Create a new document." ma:contentTypeScope="" ma:versionID="57670b28c177c8f7cef1cbbc59f2a7c4">
  <xsd:schema xmlns:xsd="http://www.w3.org/2001/XMLSchema" xmlns:xs="http://www.w3.org/2001/XMLSchema" xmlns:p="http://schemas.microsoft.com/office/2006/metadata/properties" xmlns:ns3="30fc160e-e2bf-4519-8444-da806e3f8646" xmlns:ns4="442afd55-1aac-4c03-87b6-40e61f0f9420" targetNamespace="http://schemas.microsoft.com/office/2006/metadata/properties" ma:root="true" ma:fieldsID="1fb02cb31d9e8a1defad9d894f4c75a5" ns3:_="" ns4:_="">
    <xsd:import namespace="30fc160e-e2bf-4519-8444-da806e3f8646"/>
    <xsd:import namespace="442afd55-1aac-4c03-87b6-40e61f0f94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160e-e2bf-4519-8444-da806e3f86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afd55-1aac-4c03-87b6-40e61f0f94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E3AD4-0305-48A8-A136-86E5C575BF9E}">
  <ds:schemaRefs>
    <ds:schemaRef ds:uri="http://schemas.microsoft.com/sharepoint/v3/contenttype/forms"/>
  </ds:schemaRefs>
</ds:datastoreItem>
</file>

<file path=customXml/itemProps2.xml><?xml version="1.0" encoding="utf-8"?>
<ds:datastoreItem xmlns:ds="http://schemas.openxmlformats.org/officeDocument/2006/customXml" ds:itemID="{D54EC1FE-596A-47D3-A481-CB8F81BD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160e-e2bf-4519-8444-da806e3f8646"/>
    <ds:schemaRef ds:uri="442afd55-1aac-4c03-87b6-40e61f0f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7C52E-2DCE-46A5-8588-74D6D9CE4794}">
  <ds:schemaRefs>
    <ds:schemaRef ds:uri="http://schemas.openxmlformats.org/officeDocument/2006/bibliography"/>
  </ds:schemaRefs>
</ds:datastoreItem>
</file>

<file path=customXml/itemProps4.xml><?xml version="1.0" encoding="utf-8"?>
<ds:datastoreItem xmlns:ds="http://schemas.openxmlformats.org/officeDocument/2006/customXml" ds:itemID="{32E140A9-69D3-4C8B-AA00-052EC9A9FE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Treasury</dc:creator>
  <cp:lastModifiedBy>Mackay, Elizabeth [DCA]</cp:lastModifiedBy>
  <cp:revision>2</cp:revision>
  <cp:lastPrinted>2022-09-09T15:40:00Z</cp:lastPrinted>
  <dcterms:created xsi:type="dcterms:W3CDTF">2022-09-12T16:17:00Z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LastSaved">
    <vt:filetime>2020-03-09T00:00:00Z</vt:filetime>
  </property>
  <property fmtid="{D5CDD505-2E9C-101B-9397-08002B2CF9AE}" pid="4" name="ContentTypeId">
    <vt:lpwstr>0x010100E96FC91084446446A34037BF0626D27B</vt:lpwstr>
  </property>
</Properties>
</file>