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3D" w:rsidRDefault="00C0143D" w:rsidP="00C0143D">
      <w:pPr>
        <w:autoSpaceDE w:val="0"/>
        <w:autoSpaceDN w:val="0"/>
        <w:adjustRightInd w:val="0"/>
        <w:jc w:val="center"/>
        <w:rPr>
          <w:b/>
          <w:bCs/>
        </w:rPr>
      </w:pPr>
      <w:r>
        <w:rPr>
          <w:b/>
          <w:bCs/>
        </w:rPr>
        <w:t>CALENDAR YEAR 20</w:t>
      </w:r>
      <w:r w:rsidR="00965871">
        <w:rPr>
          <w:b/>
          <w:bCs/>
        </w:rPr>
        <w:t>__</w:t>
      </w:r>
    </w:p>
    <w:p w:rsidR="00C0143D" w:rsidRDefault="00C0143D" w:rsidP="00C0143D">
      <w:pPr>
        <w:autoSpaceDE w:val="0"/>
        <w:autoSpaceDN w:val="0"/>
        <w:adjustRightInd w:val="0"/>
        <w:jc w:val="center"/>
        <w:rPr>
          <w:b/>
          <w:bCs/>
          <w:sz w:val="22"/>
        </w:rPr>
      </w:pPr>
      <w:r>
        <w:rPr>
          <w:b/>
          <w:bCs/>
        </w:rPr>
        <w:t xml:space="preserve">MODEL </w:t>
      </w:r>
      <w:r w:rsidR="00C768A5">
        <w:rPr>
          <w:b/>
          <w:bCs/>
        </w:rPr>
        <w:t>RESOLUTION</w:t>
      </w:r>
      <w:r>
        <w:rPr>
          <w:b/>
          <w:bCs/>
        </w:rPr>
        <w:t xml:space="preserve"> </w:t>
      </w:r>
      <w:r w:rsidR="00C768A5">
        <w:rPr>
          <w:b/>
          <w:bCs/>
        </w:rPr>
        <w:t xml:space="preserve">AUTHORIZING COUNTY ENTITY TO EXCEED THE COUNTY ENTITY BUDGET REQUEST CAP </w:t>
      </w:r>
      <w:r w:rsidR="004645D4">
        <w:rPr>
          <w:b/>
          <w:bCs/>
        </w:rPr>
        <w:t>(</w:t>
      </w:r>
      <w:r w:rsidR="00F75104">
        <w:rPr>
          <w:b/>
          <w:bCs/>
        </w:rPr>
        <w:t>P.L. 2015, c.249</w:t>
      </w:r>
      <w:r>
        <w:rPr>
          <w:b/>
          <w:bCs/>
        </w:rPr>
        <w:t>)</w:t>
      </w:r>
    </w:p>
    <w:p w:rsidR="00C0143D" w:rsidRDefault="00C0143D" w:rsidP="00C0143D">
      <w:pPr>
        <w:autoSpaceDE w:val="0"/>
        <w:autoSpaceDN w:val="0"/>
        <w:adjustRightInd w:val="0"/>
        <w:rPr>
          <w:b/>
          <w:bCs/>
          <w:sz w:val="22"/>
        </w:rPr>
      </w:pPr>
    </w:p>
    <w:p w:rsidR="00677B38" w:rsidRPr="00677B38" w:rsidRDefault="00677B38" w:rsidP="009E2883">
      <w:pPr>
        <w:autoSpaceDE w:val="0"/>
        <w:autoSpaceDN w:val="0"/>
        <w:adjustRightInd w:val="0"/>
        <w:spacing w:line="276" w:lineRule="auto"/>
        <w:jc w:val="both"/>
        <w:rPr>
          <w:bCs/>
          <w:sz w:val="22"/>
        </w:rPr>
      </w:pPr>
      <w:r>
        <w:rPr>
          <w:b/>
          <w:bCs/>
          <w:sz w:val="22"/>
        </w:rPr>
        <w:t>WHEREAS</w:t>
      </w:r>
      <w:r>
        <w:rPr>
          <w:bCs/>
          <w:sz w:val="22"/>
        </w:rPr>
        <w:t>, P.L. 2015, c.249 requires a county entity to submit a budget request to the county governing body that is comprised of two parts: the amount to be raised by property taxation, and the amount to be funded wholly through federal or State funds, fees raised by the county entity, or other sources; and</w:t>
      </w:r>
    </w:p>
    <w:p w:rsidR="00677B38" w:rsidRDefault="00677B38" w:rsidP="009E2883">
      <w:pPr>
        <w:autoSpaceDE w:val="0"/>
        <w:autoSpaceDN w:val="0"/>
        <w:adjustRightInd w:val="0"/>
        <w:spacing w:line="276" w:lineRule="auto"/>
        <w:jc w:val="both"/>
        <w:rPr>
          <w:b/>
          <w:bCs/>
          <w:sz w:val="22"/>
        </w:rPr>
      </w:pPr>
    </w:p>
    <w:p w:rsidR="00F75104" w:rsidRPr="00F75104" w:rsidRDefault="00F75104" w:rsidP="009E2883">
      <w:pPr>
        <w:autoSpaceDE w:val="0"/>
        <w:autoSpaceDN w:val="0"/>
        <w:adjustRightInd w:val="0"/>
        <w:spacing w:line="276" w:lineRule="auto"/>
        <w:jc w:val="both"/>
        <w:rPr>
          <w:bCs/>
          <w:sz w:val="22"/>
        </w:rPr>
      </w:pPr>
      <w:r>
        <w:rPr>
          <w:b/>
          <w:bCs/>
          <w:sz w:val="22"/>
        </w:rPr>
        <w:t>WHEREAS</w:t>
      </w:r>
      <w:r>
        <w:rPr>
          <w:bCs/>
          <w:sz w:val="22"/>
        </w:rPr>
        <w:t>, the term “county entity” means a county board of taxation, office of the county superintendent of election, office of the county board of election, office of the county register of deeds and mortgages, office of the county clerk, office of the county surrogate, office of the county prosecutor, and county sheriff’s department; and</w:t>
      </w:r>
    </w:p>
    <w:p w:rsidR="00F75104" w:rsidRDefault="00F75104" w:rsidP="009E2883">
      <w:pPr>
        <w:autoSpaceDE w:val="0"/>
        <w:autoSpaceDN w:val="0"/>
        <w:adjustRightInd w:val="0"/>
        <w:spacing w:line="276" w:lineRule="auto"/>
        <w:jc w:val="both"/>
        <w:rPr>
          <w:b/>
          <w:bCs/>
          <w:sz w:val="22"/>
        </w:rPr>
      </w:pPr>
    </w:p>
    <w:p w:rsidR="00677B38" w:rsidRDefault="00677B38" w:rsidP="009E2883">
      <w:pPr>
        <w:autoSpaceDE w:val="0"/>
        <w:autoSpaceDN w:val="0"/>
        <w:adjustRightInd w:val="0"/>
        <w:spacing w:line="276" w:lineRule="auto"/>
        <w:jc w:val="both"/>
        <w:rPr>
          <w:sz w:val="22"/>
        </w:rPr>
      </w:pPr>
      <w:r>
        <w:rPr>
          <w:b/>
          <w:bCs/>
          <w:sz w:val="22"/>
        </w:rPr>
        <w:t>WHEREAS</w:t>
      </w:r>
      <w:r>
        <w:rPr>
          <w:sz w:val="22"/>
        </w:rPr>
        <w:t xml:space="preserve">, P.L. 2015, c.249 limits the increase in the portion of a county entity budget request funded by property taxation to no more than two percent (2%) of the previous year’s budget request, subject to certain limited exceptions; and  </w:t>
      </w:r>
    </w:p>
    <w:p w:rsidR="00677B38" w:rsidRDefault="00677B38" w:rsidP="009E2883">
      <w:pPr>
        <w:autoSpaceDE w:val="0"/>
        <w:autoSpaceDN w:val="0"/>
        <w:adjustRightInd w:val="0"/>
        <w:spacing w:line="276" w:lineRule="auto"/>
        <w:jc w:val="both"/>
        <w:rPr>
          <w:b/>
          <w:bCs/>
          <w:sz w:val="22"/>
        </w:rPr>
      </w:pPr>
    </w:p>
    <w:p w:rsidR="00D63023" w:rsidRPr="00D63023" w:rsidRDefault="00D63023" w:rsidP="009E2883">
      <w:pPr>
        <w:autoSpaceDE w:val="0"/>
        <w:autoSpaceDN w:val="0"/>
        <w:adjustRightInd w:val="0"/>
        <w:spacing w:line="276" w:lineRule="auto"/>
        <w:jc w:val="both"/>
        <w:rPr>
          <w:bCs/>
          <w:sz w:val="22"/>
        </w:rPr>
      </w:pPr>
      <w:r>
        <w:rPr>
          <w:b/>
          <w:bCs/>
          <w:sz w:val="22"/>
        </w:rPr>
        <w:t>WHEREAS</w:t>
      </w:r>
      <w:r>
        <w:rPr>
          <w:bCs/>
          <w:sz w:val="22"/>
        </w:rPr>
        <w:t>, the portion of the budget request submitted by (</w:t>
      </w:r>
      <w:r w:rsidRPr="00D63023">
        <w:rPr>
          <w:bCs/>
          <w:i/>
          <w:sz w:val="22"/>
          <w:u w:val="single"/>
        </w:rPr>
        <w:t>insert name of county entity</w:t>
      </w:r>
      <w:r>
        <w:rPr>
          <w:bCs/>
          <w:sz w:val="22"/>
        </w:rPr>
        <w:t>) that is funded by property taxation does not exceed the cap imposed by P.L. 2015, c.249; and</w:t>
      </w:r>
    </w:p>
    <w:p w:rsidR="00D63023" w:rsidRDefault="00D63023" w:rsidP="009E2883">
      <w:pPr>
        <w:autoSpaceDE w:val="0"/>
        <w:autoSpaceDN w:val="0"/>
        <w:adjustRightInd w:val="0"/>
        <w:spacing w:line="276" w:lineRule="auto"/>
        <w:jc w:val="both"/>
        <w:rPr>
          <w:b/>
          <w:bCs/>
          <w:sz w:val="22"/>
        </w:rPr>
      </w:pPr>
    </w:p>
    <w:p w:rsidR="00677B38" w:rsidRDefault="00C0143D" w:rsidP="009E2883">
      <w:pPr>
        <w:autoSpaceDE w:val="0"/>
        <w:autoSpaceDN w:val="0"/>
        <w:adjustRightInd w:val="0"/>
        <w:spacing w:line="276" w:lineRule="auto"/>
        <w:jc w:val="both"/>
        <w:rPr>
          <w:sz w:val="22"/>
        </w:rPr>
      </w:pPr>
      <w:r>
        <w:rPr>
          <w:b/>
          <w:bCs/>
          <w:sz w:val="22"/>
        </w:rPr>
        <w:t>WHEREAS</w:t>
      </w:r>
      <w:r>
        <w:rPr>
          <w:sz w:val="22"/>
        </w:rPr>
        <w:t xml:space="preserve">, </w:t>
      </w:r>
      <w:r w:rsidR="00677B38">
        <w:rPr>
          <w:sz w:val="22"/>
        </w:rPr>
        <w:t>notwithstanding the budget request submitted by the (</w:t>
      </w:r>
      <w:r w:rsidR="00677B38" w:rsidRPr="00D63023">
        <w:rPr>
          <w:i/>
          <w:sz w:val="22"/>
          <w:u w:val="single"/>
        </w:rPr>
        <w:t>insert name of county entity</w:t>
      </w:r>
      <w:r w:rsidR="00677B38">
        <w:rPr>
          <w:sz w:val="22"/>
        </w:rPr>
        <w:t xml:space="preserve">), </w:t>
      </w:r>
      <w:r>
        <w:rPr>
          <w:sz w:val="22"/>
        </w:rPr>
        <w:t xml:space="preserve">the </w:t>
      </w:r>
      <w:r w:rsidR="00F75104">
        <w:rPr>
          <w:sz w:val="22"/>
        </w:rPr>
        <w:t xml:space="preserve">Board of Chosen Freeholders </w:t>
      </w:r>
      <w:r>
        <w:rPr>
          <w:sz w:val="22"/>
        </w:rPr>
        <w:t>of the County of (</w:t>
      </w:r>
      <w:r w:rsidR="00677B38" w:rsidRPr="00D63023">
        <w:rPr>
          <w:i/>
          <w:iCs/>
          <w:sz w:val="22"/>
          <w:u w:val="single"/>
        </w:rPr>
        <w:t xml:space="preserve">insert </w:t>
      </w:r>
      <w:r w:rsidRPr="00D63023">
        <w:rPr>
          <w:i/>
          <w:iCs/>
          <w:sz w:val="22"/>
          <w:u w:val="single"/>
        </w:rPr>
        <w:t>name of county</w:t>
      </w:r>
      <w:r>
        <w:rPr>
          <w:sz w:val="22"/>
        </w:rPr>
        <w:t xml:space="preserve">) finds it advisable and necessary </w:t>
      </w:r>
      <w:r w:rsidR="00D63023">
        <w:rPr>
          <w:sz w:val="22"/>
        </w:rPr>
        <w:t xml:space="preserve">for purposes of health, safety and welfare </w:t>
      </w:r>
      <w:r>
        <w:rPr>
          <w:sz w:val="22"/>
        </w:rPr>
        <w:t xml:space="preserve">to </w:t>
      </w:r>
      <w:r w:rsidR="00F75104">
        <w:rPr>
          <w:sz w:val="22"/>
        </w:rPr>
        <w:t xml:space="preserve">authorize </w:t>
      </w:r>
      <w:r w:rsidR="00677B38">
        <w:rPr>
          <w:sz w:val="22"/>
        </w:rPr>
        <w:t>the</w:t>
      </w:r>
      <w:r w:rsidR="00F75104">
        <w:rPr>
          <w:sz w:val="22"/>
        </w:rPr>
        <w:t xml:space="preserve"> </w:t>
      </w:r>
      <w:r w:rsidR="00677B38">
        <w:rPr>
          <w:sz w:val="22"/>
        </w:rPr>
        <w:t>(</w:t>
      </w:r>
      <w:r w:rsidR="00677B38" w:rsidRPr="00D63023">
        <w:rPr>
          <w:i/>
          <w:sz w:val="22"/>
          <w:u w:val="single"/>
        </w:rPr>
        <w:t>insert name of county entity</w:t>
      </w:r>
      <w:r w:rsidR="00677B38">
        <w:rPr>
          <w:sz w:val="22"/>
        </w:rPr>
        <w:t>)</w:t>
      </w:r>
      <w:r>
        <w:rPr>
          <w:sz w:val="22"/>
        </w:rPr>
        <w:t xml:space="preserve"> </w:t>
      </w:r>
      <w:r w:rsidR="00677B38">
        <w:rPr>
          <w:sz w:val="22"/>
        </w:rPr>
        <w:t>to increase its appropriations beyond the maximum permitted by the budget request cap set forth in P.L. 2015, c.249; and</w:t>
      </w:r>
    </w:p>
    <w:p w:rsidR="00677B38" w:rsidRDefault="00677B38" w:rsidP="009E2883">
      <w:pPr>
        <w:autoSpaceDE w:val="0"/>
        <w:autoSpaceDN w:val="0"/>
        <w:adjustRightInd w:val="0"/>
        <w:spacing w:line="276" w:lineRule="auto"/>
        <w:jc w:val="both"/>
        <w:rPr>
          <w:sz w:val="22"/>
        </w:rPr>
      </w:pPr>
    </w:p>
    <w:p w:rsidR="00C0143D" w:rsidRDefault="00677B38" w:rsidP="009E2883">
      <w:pPr>
        <w:autoSpaceDE w:val="0"/>
        <w:autoSpaceDN w:val="0"/>
        <w:adjustRightInd w:val="0"/>
        <w:spacing w:line="276" w:lineRule="auto"/>
        <w:jc w:val="both"/>
        <w:rPr>
          <w:sz w:val="22"/>
        </w:rPr>
      </w:pPr>
      <w:r w:rsidRPr="00677B38">
        <w:rPr>
          <w:b/>
          <w:sz w:val="22"/>
        </w:rPr>
        <w:t>WHEREAS</w:t>
      </w:r>
      <w:r>
        <w:rPr>
          <w:sz w:val="22"/>
        </w:rPr>
        <w:t>,</w:t>
      </w:r>
      <w:r w:rsidR="00D63023">
        <w:rPr>
          <w:sz w:val="22"/>
        </w:rPr>
        <w:t xml:space="preserve"> </w:t>
      </w:r>
      <w:r w:rsidR="00C0143D">
        <w:rPr>
          <w:sz w:val="22"/>
        </w:rPr>
        <w:t xml:space="preserve">the </w:t>
      </w:r>
      <w:r>
        <w:rPr>
          <w:sz w:val="22"/>
        </w:rPr>
        <w:t>Board of Chosen Freeholders of the County of (</w:t>
      </w:r>
      <w:r w:rsidRPr="00D63023">
        <w:rPr>
          <w:i/>
          <w:sz w:val="22"/>
          <w:u w:val="single"/>
        </w:rPr>
        <w:t>insert name of county</w:t>
      </w:r>
      <w:r>
        <w:rPr>
          <w:sz w:val="22"/>
        </w:rPr>
        <w:t xml:space="preserve">) </w:t>
      </w:r>
      <w:r w:rsidR="00C0143D">
        <w:rPr>
          <w:sz w:val="22"/>
        </w:rPr>
        <w:t>hereby determines that a (</w:t>
      </w:r>
      <w:r w:rsidR="00C0143D">
        <w:rPr>
          <w:i/>
          <w:iCs/>
          <w:sz w:val="22"/>
          <w:u w:val="single"/>
        </w:rPr>
        <w:t>insert the rate of increase</w:t>
      </w:r>
      <w:r w:rsidR="00C0143D">
        <w:rPr>
          <w:sz w:val="22"/>
        </w:rPr>
        <w:t xml:space="preserve">) % increase </w:t>
      </w:r>
      <w:r w:rsidR="00D63023">
        <w:rPr>
          <w:sz w:val="22"/>
        </w:rPr>
        <w:t>beyond the maximum increase permitted by the budget request cap set forth in P.L. 2015, c.249</w:t>
      </w:r>
      <w:r w:rsidR="00C0143D">
        <w:rPr>
          <w:sz w:val="22"/>
        </w:rPr>
        <w:t>,</w:t>
      </w:r>
      <w:r w:rsidR="00D63023">
        <w:rPr>
          <w:sz w:val="22"/>
        </w:rPr>
        <w:t xml:space="preserve"> which</w:t>
      </w:r>
      <w:r w:rsidR="00C0143D">
        <w:rPr>
          <w:sz w:val="22"/>
        </w:rPr>
        <w:t xml:space="preserve"> amount</w:t>
      </w:r>
      <w:r w:rsidR="00D63023">
        <w:rPr>
          <w:sz w:val="22"/>
        </w:rPr>
        <w:t>s</w:t>
      </w:r>
      <w:r w:rsidR="00C0143D">
        <w:rPr>
          <w:sz w:val="22"/>
        </w:rPr>
        <w:t xml:space="preserve"> to $ (</w:t>
      </w:r>
      <w:r w:rsidR="00C0143D">
        <w:rPr>
          <w:i/>
          <w:iCs/>
          <w:sz w:val="22"/>
          <w:u w:val="single"/>
        </w:rPr>
        <w:t>insert the dollar amount increase</w:t>
      </w:r>
      <w:r w:rsidR="00C0143D">
        <w:rPr>
          <w:sz w:val="22"/>
        </w:rPr>
        <w:t xml:space="preserve">) </w:t>
      </w:r>
      <w:proofErr w:type="gramStart"/>
      <w:r w:rsidR="00C0143D">
        <w:rPr>
          <w:sz w:val="22"/>
        </w:rPr>
        <w:t>in excess of</w:t>
      </w:r>
      <w:proofErr w:type="gramEnd"/>
      <w:r w:rsidR="00C0143D">
        <w:rPr>
          <w:sz w:val="22"/>
        </w:rPr>
        <w:t xml:space="preserve"> the </w:t>
      </w:r>
      <w:r w:rsidR="00D63023">
        <w:rPr>
          <w:sz w:val="22"/>
        </w:rPr>
        <w:t>increase in the portion of the budget request funded by property taxation</w:t>
      </w:r>
      <w:r w:rsidR="00C0143D">
        <w:rPr>
          <w:sz w:val="22"/>
        </w:rPr>
        <w:t xml:space="preserve"> otherwise permitted </w:t>
      </w:r>
      <w:r w:rsidR="00D63023">
        <w:rPr>
          <w:sz w:val="22"/>
        </w:rPr>
        <w:t>P.L. 2015, c.249</w:t>
      </w:r>
      <w:r w:rsidR="00C0143D">
        <w:rPr>
          <w:sz w:val="22"/>
        </w:rPr>
        <w:t>, is advisable and necessary</w:t>
      </w:r>
      <w:r w:rsidR="00965871">
        <w:rPr>
          <w:sz w:val="22"/>
        </w:rPr>
        <w:t>*; and</w:t>
      </w:r>
    </w:p>
    <w:p w:rsidR="00777EA0" w:rsidRDefault="00777EA0" w:rsidP="009E2883">
      <w:pPr>
        <w:autoSpaceDE w:val="0"/>
        <w:autoSpaceDN w:val="0"/>
        <w:adjustRightInd w:val="0"/>
        <w:spacing w:line="276" w:lineRule="auto"/>
        <w:jc w:val="both"/>
        <w:rPr>
          <w:sz w:val="22"/>
        </w:rPr>
      </w:pPr>
    </w:p>
    <w:p w:rsidR="00777EA0" w:rsidRPr="00945EB9" w:rsidRDefault="00777EA0" w:rsidP="009E2883">
      <w:pPr>
        <w:autoSpaceDE w:val="0"/>
        <w:autoSpaceDN w:val="0"/>
        <w:adjustRightInd w:val="0"/>
        <w:spacing w:line="276" w:lineRule="auto"/>
        <w:jc w:val="both"/>
        <w:rPr>
          <w:b/>
          <w:sz w:val="22"/>
        </w:rPr>
      </w:pPr>
      <w:r>
        <w:rPr>
          <w:b/>
          <w:sz w:val="22"/>
        </w:rPr>
        <w:t>WHEREAS</w:t>
      </w:r>
      <w:r w:rsidRPr="00945EB9">
        <w:rPr>
          <w:sz w:val="22"/>
        </w:rPr>
        <w:t>, the Board of Chose</w:t>
      </w:r>
      <w:r w:rsidRPr="00777EA0">
        <w:rPr>
          <w:sz w:val="22"/>
        </w:rPr>
        <w:t xml:space="preserve">n Freeholders of the County </w:t>
      </w:r>
      <w:r>
        <w:rPr>
          <w:sz w:val="22"/>
        </w:rPr>
        <w:t>of (</w:t>
      </w:r>
      <w:r w:rsidRPr="00D63023">
        <w:rPr>
          <w:i/>
          <w:sz w:val="22"/>
          <w:u w:val="single"/>
        </w:rPr>
        <w:t>insert name of county</w:t>
      </w:r>
      <w:r>
        <w:rPr>
          <w:sz w:val="22"/>
        </w:rPr>
        <w:t>)</w:t>
      </w:r>
      <w:r w:rsidR="00965871">
        <w:rPr>
          <w:sz w:val="22"/>
        </w:rPr>
        <w:t xml:space="preserve"> </w:t>
      </w:r>
      <w:r>
        <w:rPr>
          <w:sz w:val="22"/>
        </w:rPr>
        <w:t>has determined that a (</w:t>
      </w:r>
      <w:r>
        <w:rPr>
          <w:i/>
          <w:iCs/>
          <w:sz w:val="22"/>
          <w:u w:val="single"/>
        </w:rPr>
        <w:t>insert the rate of increase</w:t>
      </w:r>
      <w:r>
        <w:rPr>
          <w:sz w:val="22"/>
        </w:rPr>
        <w:t>) % increase beyond the maximum increase permitted by the budget request cap set forth in P.L. 2015, c.249 shall not cause the County of (</w:t>
      </w:r>
      <w:r w:rsidRPr="00D63023">
        <w:rPr>
          <w:i/>
          <w:sz w:val="22"/>
          <w:u w:val="single"/>
        </w:rPr>
        <w:t>insert name of county</w:t>
      </w:r>
      <w:r>
        <w:rPr>
          <w:sz w:val="22"/>
        </w:rPr>
        <w:t xml:space="preserve">) to exceed the levy caps set forth in </w:t>
      </w:r>
      <w:r w:rsidR="00B221FC" w:rsidRPr="00B25A4E">
        <w:rPr>
          <w:sz w:val="22"/>
        </w:rPr>
        <w:t>1</w:t>
      </w:r>
      <w:r w:rsidR="00B221FC" w:rsidRPr="00680171">
        <w:rPr>
          <w:sz w:val="22"/>
        </w:rPr>
        <w:t>977 and 2010 levy cap laws (</w:t>
      </w:r>
      <w:r w:rsidR="00B221FC" w:rsidRPr="00945EB9">
        <w:rPr>
          <w:sz w:val="22"/>
          <w:u w:val="single"/>
        </w:rPr>
        <w:t>N.J.S.A.</w:t>
      </w:r>
      <w:r w:rsidR="00B221FC" w:rsidRPr="00680171">
        <w:rPr>
          <w:sz w:val="22"/>
        </w:rPr>
        <w:t xml:space="preserve"> 40A:4-45.4 and </w:t>
      </w:r>
      <w:r w:rsidR="00680171" w:rsidRPr="00945EB9">
        <w:rPr>
          <w:sz w:val="22"/>
          <w:u w:val="single"/>
        </w:rPr>
        <w:t>N.J.S.A.</w:t>
      </w:r>
      <w:r w:rsidR="00680171" w:rsidRPr="00680171">
        <w:rPr>
          <w:sz w:val="22"/>
        </w:rPr>
        <w:t xml:space="preserve"> </w:t>
      </w:r>
      <w:r w:rsidR="00B221FC" w:rsidRPr="00680171">
        <w:rPr>
          <w:sz w:val="22"/>
        </w:rPr>
        <w:t>40A:4-45.45 respectively)</w:t>
      </w:r>
      <w:r w:rsidRPr="00680171">
        <w:rPr>
          <w:sz w:val="22"/>
        </w:rPr>
        <w:t>.</w:t>
      </w:r>
      <w:r w:rsidR="00C97530">
        <w:rPr>
          <w:sz w:val="22"/>
        </w:rPr>
        <w:t xml:space="preserve"> </w:t>
      </w:r>
    </w:p>
    <w:p w:rsidR="00CE7EB3" w:rsidRDefault="00CE7EB3" w:rsidP="009E2883">
      <w:pPr>
        <w:autoSpaceDE w:val="0"/>
        <w:autoSpaceDN w:val="0"/>
        <w:adjustRightInd w:val="0"/>
        <w:spacing w:line="276" w:lineRule="auto"/>
        <w:jc w:val="both"/>
        <w:rPr>
          <w:b/>
          <w:sz w:val="22"/>
        </w:rPr>
      </w:pPr>
    </w:p>
    <w:p w:rsidR="00C0143D" w:rsidRDefault="00C0143D" w:rsidP="009E2883">
      <w:pPr>
        <w:autoSpaceDE w:val="0"/>
        <w:autoSpaceDN w:val="0"/>
        <w:adjustRightInd w:val="0"/>
        <w:spacing w:line="276" w:lineRule="auto"/>
        <w:jc w:val="both"/>
        <w:rPr>
          <w:sz w:val="22"/>
        </w:rPr>
      </w:pPr>
      <w:r>
        <w:rPr>
          <w:b/>
          <w:bCs/>
          <w:sz w:val="22"/>
        </w:rPr>
        <w:t>NOW THEREFORE BE IT ORDAINED</w:t>
      </w:r>
      <w:r>
        <w:rPr>
          <w:sz w:val="22"/>
        </w:rPr>
        <w:t xml:space="preserve">, by the </w:t>
      </w:r>
      <w:r w:rsidR="00D63023">
        <w:rPr>
          <w:sz w:val="22"/>
        </w:rPr>
        <w:t xml:space="preserve">Board of Chosen Freeholders of the County of </w:t>
      </w:r>
      <w:r>
        <w:rPr>
          <w:sz w:val="22"/>
        </w:rPr>
        <w:t>(</w:t>
      </w:r>
      <w:r>
        <w:rPr>
          <w:i/>
          <w:iCs/>
          <w:sz w:val="22"/>
          <w:u w:val="single"/>
        </w:rPr>
        <w:t xml:space="preserve">insert the name of the </w:t>
      </w:r>
      <w:r w:rsidR="00D63023">
        <w:rPr>
          <w:i/>
          <w:iCs/>
          <w:sz w:val="22"/>
          <w:u w:val="single"/>
        </w:rPr>
        <w:t>county</w:t>
      </w:r>
      <w:r>
        <w:rPr>
          <w:sz w:val="22"/>
        </w:rPr>
        <w:t>), a majority of this governing body affirmatively concurring, that, in the CY 201</w:t>
      </w:r>
      <w:r w:rsidR="00505CFE">
        <w:rPr>
          <w:sz w:val="22"/>
        </w:rPr>
        <w:t>7</w:t>
      </w:r>
      <w:r>
        <w:rPr>
          <w:sz w:val="22"/>
        </w:rPr>
        <w:t xml:space="preserve"> budget year, the final appropriations of the </w:t>
      </w:r>
      <w:r w:rsidRPr="00D63023">
        <w:rPr>
          <w:i/>
          <w:sz w:val="22"/>
        </w:rPr>
        <w:t>(</w:t>
      </w:r>
      <w:r w:rsidR="00D63023" w:rsidRPr="00D63023">
        <w:rPr>
          <w:i/>
          <w:sz w:val="22"/>
        </w:rPr>
        <w:t>insert name of county entity</w:t>
      </w:r>
      <w:r>
        <w:rPr>
          <w:sz w:val="22"/>
        </w:rPr>
        <w:t xml:space="preserve">) shall, in accordance with this </w:t>
      </w:r>
      <w:r w:rsidR="00D63023">
        <w:rPr>
          <w:sz w:val="22"/>
        </w:rPr>
        <w:t>resolution</w:t>
      </w:r>
      <w:r>
        <w:rPr>
          <w:sz w:val="22"/>
        </w:rPr>
        <w:t>, be increased by (</w:t>
      </w:r>
      <w:r>
        <w:rPr>
          <w:i/>
          <w:iCs/>
          <w:sz w:val="22"/>
          <w:u w:val="single"/>
        </w:rPr>
        <w:t>insert the rate increase</w:t>
      </w:r>
      <w:r>
        <w:rPr>
          <w:sz w:val="22"/>
        </w:rPr>
        <w:t>) %</w:t>
      </w:r>
      <w:r w:rsidR="00D63023">
        <w:rPr>
          <w:sz w:val="22"/>
        </w:rPr>
        <w:t xml:space="preserve"> beyond the maximum increase permitted by the budget request cap set forth in P.L. 2015, c.249,</w:t>
      </w:r>
      <w:r>
        <w:rPr>
          <w:sz w:val="22"/>
        </w:rPr>
        <w:t xml:space="preserve"> amounting to $ (</w:t>
      </w:r>
      <w:r>
        <w:rPr>
          <w:i/>
          <w:iCs/>
          <w:sz w:val="22"/>
          <w:u w:val="single"/>
        </w:rPr>
        <w:t>insert the dollar amount increase</w:t>
      </w:r>
      <w:r>
        <w:rPr>
          <w:sz w:val="22"/>
        </w:rPr>
        <w:t>)</w:t>
      </w:r>
      <w:r w:rsidR="00613C90">
        <w:rPr>
          <w:sz w:val="22"/>
        </w:rPr>
        <w:t xml:space="preserve"> </w:t>
      </w:r>
      <w:r w:rsidR="00613C90" w:rsidRPr="00613C90">
        <w:rPr>
          <w:sz w:val="22"/>
        </w:rPr>
        <w:t>in excess of the increase in the portion of the budget request funded by property taxation otherwise permitted P.L. 2015, c.249</w:t>
      </w:r>
      <w:r>
        <w:rPr>
          <w:sz w:val="22"/>
        </w:rPr>
        <w:t>, and that</w:t>
      </w:r>
      <w:r w:rsidR="00613C90">
        <w:rPr>
          <w:sz w:val="22"/>
        </w:rPr>
        <w:t xml:space="preserve"> said increase shall be presented as part of the county budget submission to be </w:t>
      </w:r>
      <w:r w:rsidR="00613C90">
        <w:rPr>
          <w:sz w:val="22"/>
        </w:rPr>
        <w:lastRenderedPageBreak/>
        <w:t>approved by the Director of the Division of Local Government Services in the Department of Community Affairs</w:t>
      </w:r>
      <w:r>
        <w:rPr>
          <w:sz w:val="22"/>
        </w:rPr>
        <w:t xml:space="preserve">; and, </w:t>
      </w:r>
    </w:p>
    <w:p w:rsidR="00CE7EB3" w:rsidRDefault="00CE7EB3" w:rsidP="009E2883">
      <w:pPr>
        <w:autoSpaceDE w:val="0"/>
        <w:autoSpaceDN w:val="0"/>
        <w:adjustRightInd w:val="0"/>
        <w:spacing w:line="276" w:lineRule="auto"/>
        <w:jc w:val="both"/>
        <w:rPr>
          <w:b/>
          <w:bCs/>
          <w:sz w:val="22"/>
        </w:rPr>
      </w:pPr>
    </w:p>
    <w:p w:rsidR="00C0143D" w:rsidRDefault="00C0143D" w:rsidP="009E2883">
      <w:pPr>
        <w:autoSpaceDE w:val="0"/>
        <w:autoSpaceDN w:val="0"/>
        <w:adjustRightInd w:val="0"/>
        <w:spacing w:line="276" w:lineRule="auto"/>
        <w:jc w:val="both"/>
        <w:rPr>
          <w:sz w:val="22"/>
        </w:rPr>
      </w:pPr>
      <w:r>
        <w:rPr>
          <w:b/>
          <w:bCs/>
          <w:sz w:val="22"/>
        </w:rPr>
        <w:t>BE IT FURTHER ORDAINED</w:t>
      </w:r>
      <w:r>
        <w:rPr>
          <w:sz w:val="22"/>
        </w:rPr>
        <w:t xml:space="preserve">, that a certified copy of this </w:t>
      </w:r>
      <w:r w:rsidR="00613C90">
        <w:rPr>
          <w:sz w:val="22"/>
        </w:rPr>
        <w:t>resolution shall be submitted to the Director of the Division of Local Government Services alongside all other documents required to be submitted with the introduced county budget.</w:t>
      </w:r>
    </w:p>
    <w:p w:rsidR="0052566B" w:rsidRDefault="0052566B"/>
    <w:p w:rsidR="00965871" w:rsidRDefault="00965871"/>
    <w:p w:rsidR="00965871" w:rsidRPr="009E2883" w:rsidRDefault="005B7E94" w:rsidP="009E2883">
      <w:pPr>
        <w:jc w:val="both"/>
        <w:rPr>
          <w:sz w:val="22"/>
        </w:rPr>
      </w:pPr>
      <w:r w:rsidRPr="009E2883">
        <w:rPr>
          <w:sz w:val="22"/>
        </w:rPr>
        <w:t xml:space="preserve">* </w:t>
      </w:r>
      <w:r w:rsidR="009E2883" w:rsidRPr="009E2883">
        <w:rPr>
          <w:rFonts w:asciiTheme="minorHAnsi" w:hAnsiTheme="minorHAnsi"/>
          <w:sz w:val="22"/>
        </w:rPr>
        <w:t xml:space="preserve">If the Freeholder Board agrees that the increase beyond the limit set forth in P.L. 2015, c.249 to become the base from which county entity budget request increases </w:t>
      </w:r>
      <w:r w:rsidR="00145D75">
        <w:rPr>
          <w:rFonts w:asciiTheme="minorHAnsi" w:hAnsiTheme="minorHAnsi"/>
          <w:sz w:val="22"/>
        </w:rPr>
        <w:t xml:space="preserve">in subsequent years </w:t>
      </w:r>
      <w:r w:rsidR="009E2883" w:rsidRPr="009E2883">
        <w:rPr>
          <w:rFonts w:asciiTheme="minorHAnsi" w:hAnsiTheme="minorHAnsi"/>
          <w:sz w:val="22"/>
        </w:rPr>
        <w:t>are to be measured, the resolution must expressly state that; otherwise the maximum statutorily permitted budget request increase for the prior year shall serve</w:t>
      </w:r>
      <w:bookmarkStart w:id="0" w:name="_GoBack"/>
      <w:bookmarkEnd w:id="0"/>
      <w:r w:rsidR="009E2883" w:rsidRPr="009E2883">
        <w:rPr>
          <w:rFonts w:asciiTheme="minorHAnsi" w:hAnsiTheme="minorHAnsi"/>
          <w:sz w:val="22"/>
        </w:rPr>
        <w:t xml:space="preserve"> as the base.</w:t>
      </w:r>
    </w:p>
    <w:sectPr w:rsidR="00965871" w:rsidRPr="009E2883" w:rsidSect="0052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3D"/>
    <w:rsid w:val="000930E9"/>
    <w:rsid w:val="000B6F74"/>
    <w:rsid w:val="00106303"/>
    <w:rsid w:val="0014243D"/>
    <w:rsid w:val="00143ABA"/>
    <w:rsid w:val="00145D75"/>
    <w:rsid w:val="00150C31"/>
    <w:rsid w:val="00167BEF"/>
    <w:rsid w:val="001E2576"/>
    <w:rsid w:val="001E4DAB"/>
    <w:rsid w:val="001F6CB6"/>
    <w:rsid w:val="00261511"/>
    <w:rsid w:val="002D52C4"/>
    <w:rsid w:val="002D6523"/>
    <w:rsid w:val="002E0610"/>
    <w:rsid w:val="002E43FB"/>
    <w:rsid w:val="00410DBE"/>
    <w:rsid w:val="004451CC"/>
    <w:rsid w:val="004645D4"/>
    <w:rsid w:val="004B4E57"/>
    <w:rsid w:val="00505CFE"/>
    <w:rsid w:val="0052566B"/>
    <w:rsid w:val="0053184E"/>
    <w:rsid w:val="005427CF"/>
    <w:rsid w:val="005B7E94"/>
    <w:rsid w:val="005D052E"/>
    <w:rsid w:val="00613C90"/>
    <w:rsid w:val="006559B9"/>
    <w:rsid w:val="00677B38"/>
    <w:rsid w:val="00680171"/>
    <w:rsid w:val="00740428"/>
    <w:rsid w:val="00752F80"/>
    <w:rsid w:val="007666A8"/>
    <w:rsid w:val="007735E1"/>
    <w:rsid w:val="00777EA0"/>
    <w:rsid w:val="00796E19"/>
    <w:rsid w:val="00847784"/>
    <w:rsid w:val="00887F8F"/>
    <w:rsid w:val="008A6382"/>
    <w:rsid w:val="008B5157"/>
    <w:rsid w:val="009055FA"/>
    <w:rsid w:val="00926BEF"/>
    <w:rsid w:val="00945EB9"/>
    <w:rsid w:val="00965871"/>
    <w:rsid w:val="00976C27"/>
    <w:rsid w:val="009C5C95"/>
    <w:rsid w:val="009E2883"/>
    <w:rsid w:val="00A31F57"/>
    <w:rsid w:val="00A55A10"/>
    <w:rsid w:val="00AD0B34"/>
    <w:rsid w:val="00B1035D"/>
    <w:rsid w:val="00B221FC"/>
    <w:rsid w:val="00B25A4E"/>
    <w:rsid w:val="00B7101D"/>
    <w:rsid w:val="00B80BC3"/>
    <w:rsid w:val="00BB3C5F"/>
    <w:rsid w:val="00BD784D"/>
    <w:rsid w:val="00BE21F0"/>
    <w:rsid w:val="00C0143D"/>
    <w:rsid w:val="00C44768"/>
    <w:rsid w:val="00C71C1D"/>
    <w:rsid w:val="00C768A5"/>
    <w:rsid w:val="00C77ADB"/>
    <w:rsid w:val="00C97530"/>
    <w:rsid w:val="00CC6D1F"/>
    <w:rsid w:val="00CE7EB3"/>
    <w:rsid w:val="00D00ADE"/>
    <w:rsid w:val="00D32E01"/>
    <w:rsid w:val="00D42D6B"/>
    <w:rsid w:val="00D63023"/>
    <w:rsid w:val="00D74C5D"/>
    <w:rsid w:val="00D831AD"/>
    <w:rsid w:val="00DF4153"/>
    <w:rsid w:val="00E60B90"/>
    <w:rsid w:val="00F0549E"/>
    <w:rsid w:val="00F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F816"/>
  <w15:docId w15:val="{FAD23C78-631B-47BF-BF0C-4215128E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4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7EA0"/>
    <w:rPr>
      <w:sz w:val="16"/>
      <w:szCs w:val="16"/>
    </w:rPr>
  </w:style>
  <w:style w:type="paragraph" w:styleId="CommentText">
    <w:name w:val="annotation text"/>
    <w:basedOn w:val="Normal"/>
    <w:link w:val="CommentTextChar"/>
    <w:uiPriority w:val="99"/>
    <w:semiHidden/>
    <w:unhideWhenUsed/>
    <w:rsid w:val="00777EA0"/>
    <w:rPr>
      <w:sz w:val="20"/>
      <w:szCs w:val="20"/>
    </w:rPr>
  </w:style>
  <w:style w:type="character" w:customStyle="1" w:styleId="CommentTextChar">
    <w:name w:val="Comment Text Char"/>
    <w:basedOn w:val="DefaultParagraphFont"/>
    <w:link w:val="CommentText"/>
    <w:uiPriority w:val="99"/>
    <w:semiHidden/>
    <w:rsid w:val="00777E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77EA0"/>
    <w:rPr>
      <w:b/>
      <w:bCs/>
    </w:rPr>
  </w:style>
  <w:style w:type="character" w:customStyle="1" w:styleId="CommentSubjectChar">
    <w:name w:val="Comment Subject Char"/>
    <w:basedOn w:val="CommentTextChar"/>
    <w:link w:val="CommentSubject"/>
    <w:uiPriority w:val="99"/>
    <w:semiHidden/>
    <w:rsid w:val="00777EA0"/>
    <w:rPr>
      <w:rFonts w:ascii="Times New Roman" w:eastAsia="Times New Roman" w:hAnsi="Times New Roman"/>
      <w:b/>
      <w:bCs/>
    </w:rPr>
  </w:style>
  <w:style w:type="paragraph" w:styleId="BalloonText">
    <w:name w:val="Balloon Text"/>
    <w:basedOn w:val="Normal"/>
    <w:link w:val="BalloonTextChar"/>
    <w:uiPriority w:val="99"/>
    <w:semiHidden/>
    <w:unhideWhenUsed/>
    <w:rsid w:val="00777EA0"/>
    <w:rPr>
      <w:rFonts w:ascii="Tahoma" w:hAnsi="Tahoma" w:cs="Tahoma"/>
      <w:sz w:val="16"/>
      <w:szCs w:val="16"/>
    </w:rPr>
  </w:style>
  <w:style w:type="character" w:customStyle="1" w:styleId="BalloonTextChar">
    <w:name w:val="Balloon Text Char"/>
    <w:basedOn w:val="DefaultParagraphFont"/>
    <w:link w:val="BalloonText"/>
    <w:uiPriority w:val="99"/>
    <w:semiHidden/>
    <w:rsid w:val="00777EA0"/>
    <w:rPr>
      <w:rFonts w:ascii="Tahoma" w:eastAsia="Times New Roman" w:hAnsi="Tahoma" w:cs="Tahoma"/>
      <w:sz w:val="16"/>
      <w:szCs w:val="16"/>
    </w:rPr>
  </w:style>
  <w:style w:type="paragraph" w:styleId="ListParagraph">
    <w:name w:val="List Paragraph"/>
    <w:basedOn w:val="Normal"/>
    <w:uiPriority w:val="34"/>
    <w:qFormat/>
    <w:rsid w:val="0096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CALENDAR YEAR 2011</vt:lpstr>
    </vt:vector>
  </TitlesOfParts>
  <Company>NJ Department of Community Affairs</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2011</dc:title>
  <dc:creator>mpfeiffer</dc:creator>
  <cp:lastModifiedBy>Martucci, Jason</cp:lastModifiedBy>
  <cp:revision>6</cp:revision>
  <cp:lastPrinted>2017-12-04T16:13:00Z</cp:lastPrinted>
  <dcterms:created xsi:type="dcterms:W3CDTF">2017-12-04T15:58:00Z</dcterms:created>
  <dcterms:modified xsi:type="dcterms:W3CDTF">2017-12-04T16:15:00Z</dcterms:modified>
</cp:coreProperties>
</file>