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8A6B" w14:textId="77777777" w:rsidR="002C6487" w:rsidRPr="004A4D65" w:rsidRDefault="002C6487" w:rsidP="00B36A99">
      <w:pPr>
        <w:spacing w:line="240" w:lineRule="auto"/>
        <w:ind w:firstLine="2"/>
        <w:jc w:val="center"/>
        <w:rPr>
          <w:rFonts w:ascii="Times New Roman" w:hAnsi="Times New Roman" w:cs="Times New Roman"/>
          <w:b/>
          <w:sz w:val="24"/>
          <w:szCs w:val="24"/>
        </w:rPr>
      </w:pPr>
      <w:bookmarkStart w:id="0" w:name="_Hlk52786539"/>
      <w:r w:rsidRPr="004A4D65">
        <w:rPr>
          <w:rFonts w:ascii="Times New Roman" w:hAnsi="Times New Roman" w:cs="Times New Roman"/>
          <w:b/>
          <w:sz w:val="24"/>
          <w:szCs w:val="24"/>
        </w:rPr>
        <w:t>AVISO PÚBLICO COMBINADO</w:t>
      </w:r>
    </w:p>
    <w:p w14:paraId="2694E8FD" w14:textId="77777777" w:rsidR="002C6487" w:rsidRPr="004A4D65" w:rsidRDefault="002C6487" w:rsidP="00B36A99">
      <w:pPr>
        <w:spacing w:line="240" w:lineRule="auto"/>
        <w:ind w:firstLine="2"/>
        <w:jc w:val="center"/>
        <w:rPr>
          <w:rFonts w:ascii="Times New Roman" w:hAnsi="Times New Roman" w:cs="Times New Roman"/>
          <w:b/>
          <w:sz w:val="24"/>
          <w:szCs w:val="24"/>
        </w:rPr>
      </w:pPr>
      <w:r w:rsidRPr="004A4D65">
        <w:rPr>
          <w:rFonts w:ascii="Times New Roman" w:hAnsi="Times New Roman" w:cs="Times New Roman"/>
          <w:b/>
          <w:sz w:val="24"/>
          <w:szCs w:val="24"/>
        </w:rPr>
        <w:t>AVISO DE INTENCIÓN DE SOLICITUD DE LIBERACIÓN DE FONDOS Y AVISO FINAL Y EXPLICACIÓN PÚBLICA DE UNA ACTIVIDAD PROPUESTA EN UNA PLANICIE DE INUNDACIÓN CORRESPONDIENTE A 100 AÑOS</w:t>
      </w:r>
      <w:bookmarkEnd w:id="0"/>
      <w:r w:rsidRPr="004A4D65">
        <w:rPr>
          <w:rFonts w:ascii="Times New Roman" w:hAnsi="Times New Roman" w:cs="Times New Roman"/>
          <w:b/>
          <w:sz w:val="24"/>
          <w:szCs w:val="24"/>
        </w:rPr>
        <w:t xml:space="preserve"> </w:t>
      </w:r>
    </w:p>
    <w:p w14:paraId="39BAFBA4" w14:textId="77777777" w:rsidR="002C6487" w:rsidRPr="004A4D65" w:rsidRDefault="002C6487" w:rsidP="00B36A99">
      <w:pPr>
        <w:spacing w:before="100" w:beforeAutospacing="1" w:after="100" w:afterAutospacing="1" w:line="240" w:lineRule="auto"/>
        <w:jc w:val="center"/>
        <w:rPr>
          <w:rFonts w:ascii="Times New Roman" w:eastAsia="Times New Roman" w:hAnsi="Times New Roman" w:cs="Times New Roman"/>
          <w:b/>
          <w:bCs/>
          <w:sz w:val="24"/>
          <w:szCs w:val="24"/>
        </w:rPr>
      </w:pPr>
      <w:r w:rsidRPr="004A4D65">
        <w:rPr>
          <w:rFonts w:ascii="Times New Roman" w:eastAsia="Times New Roman" w:hAnsi="Times New Roman" w:cs="Times New Roman"/>
          <w:b/>
          <w:bCs/>
          <w:sz w:val="24"/>
          <w:szCs w:val="24"/>
        </w:rPr>
        <w:t>CONDADO DE ATLANTIC</w:t>
      </w:r>
    </w:p>
    <w:p w14:paraId="5554923A" w14:textId="77777777" w:rsidR="002C6487" w:rsidRPr="004A4D65" w:rsidRDefault="002C6487" w:rsidP="00B36A99">
      <w:pPr>
        <w:spacing w:after="0" w:line="240" w:lineRule="auto"/>
        <w:jc w:val="both"/>
        <w:rPr>
          <w:rFonts w:ascii="Times New Roman" w:eastAsia="Times New Roman" w:hAnsi="Times New Roman" w:cs="Times New Roman"/>
          <w:color w:val="FF0000"/>
          <w:sz w:val="24"/>
          <w:szCs w:val="24"/>
        </w:rPr>
      </w:pPr>
    </w:p>
    <w:p w14:paraId="287A9822" w14:textId="25799683" w:rsidR="002C6487" w:rsidRPr="004A4D65" w:rsidRDefault="0004030D" w:rsidP="00B36A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2C6487" w:rsidRPr="004A4D65">
        <w:rPr>
          <w:rFonts w:ascii="Times New Roman" w:eastAsia="Times New Roman" w:hAnsi="Times New Roman" w:cs="Times New Roman"/>
          <w:sz w:val="24"/>
          <w:szCs w:val="24"/>
        </w:rPr>
        <w:t xml:space="preserve"> de octubre de 2020</w:t>
      </w:r>
    </w:p>
    <w:p w14:paraId="022B1AC2" w14:textId="77777777" w:rsidR="002C6487" w:rsidRPr="004A4D65" w:rsidRDefault="002C6487" w:rsidP="00B36A99">
      <w:pPr>
        <w:spacing w:after="0" w:line="240" w:lineRule="auto"/>
        <w:jc w:val="both"/>
        <w:rPr>
          <w:rFonts w:ascii="Times New Roman" w:eastAsia="Times New Roman" w:hAnsi="Times New Roman" w:cs="Times New Roman"/>
          <w:color w:val="FF0000"/>
          <w:sz w:val="24"/>
          <w:szCs w:val="24"/>
        </w:rPr>
      </w:pPr>
    </w:p>
    <w:p w14:paraId="4AAE461D" w14:textId="77777777" w:rsidR="002C6487" w:rsidRPr="004A4D65" w:rsidRDefault="002C6487" w:rsidP="00B36A99">
      <w:pPr>
        <w:spacing w:after="0" w:line="240" w:lineRule="auto"/>
        <w:jc w:val="both"/>
        <w:rPr>
          <w:rFonts w:ascii="Times New Roman" w:eastAsia="Times New Roman" w:hAnsi="Times New Roman" w:cs="Times New Roman"/>
          <w:color w:val="000000"/>
          <w:sz w:val="24"/>
          <w:szCs w:val="24"/>
        </w:rPr>
      </w:pPr>
      <w:r w:rsidRPr="004A4D65">
        <w:rPr>
          <w:rFonts w:ascii="Times New Roman" w:eastAsia="Times New Roman" w:hAnsi="Times New Roman" w:cs="Times New Roman"/>
          <w:color w:val="000000"/>
          <w:sz w:val="24"/>
          <w:szCs w:val="24"/>
        </w:rPr>
        <w:t xml:space="preserve">Departamento de Asuntos Comunitarios de New Jersey </w:t>
      </w:r>
    </w:p>
    <w:p w14:paraId="4918A834" w14:textId="77777777" w:rsidR="0029160C" w:rsidRPr="00A9228B" w:rsidRDefault="0029160C" w:rsidP="00B36A99">
      <w:pPr>
        <w:spacing w:after="0" w:line="240" w:lineRule="auto"/>
        <w:jc w:val="both"/>
        <w:rPr>
          <w:rFonts w:ascii="Times New Roman" w:eastAsia="Times New Roman" w:hAnsi="Times New Roman" w:cs="Times New Roman"/>
          <w:color w:val="000000"/>
          <w:sz w:val="24"/>
          <w:szCs w:val="24"/>
        </w:rPr>
      </w:pPr>
      <w:r w:rsidRPr="00A9228B">
        <w:rPr>
          <w:rFonts w:ascii="Times New Roman" w:eastAsia="Times New Roman" w:hAnsi="Times New Roman" w:cs="Times New Roman"/>
          <w:color w:val="000000"/>
          <w:sz w:val="24"/>
          <w:szCs w:val="24"/>
        </w:rPr>
        <w:t xml:space="preserve">101 South Broad Street </w:t>
      </w:r>
    </w:p>
    <w:p w14:paraId="4918A835" w14:textId="77777777" w:rsidR="0029160C" w:rsidRPr="00A9228B" w:rsidRDefault="0029160C" w:rsidP="00B36A99">
      <w:pPr>
        <w:spacing w:after="0" w:line="240" w:lineRule="auto"/>
        <w:jc w:val="both"/>
        <w:rPr>
          <w:rFonts w:ascii="Times New Roman" w:eastAsia="Times New Roman" w:hAnsi="Times New Roman" w:cs="Times New Roman"/>
          <w:color w:val="000000"/>
          <w:sz w:val="24"/>
          <w:szCs w:val="24"/>
        </w:rPr>
      </w:pPr>
      <w:r w:rsidRPr="00A9228B">
        <w:rPr>
          <w:rFonts w:ascii="Times New Roman" w:eastAsia="Times New Roman" w:hAnsi="Times New Roman" w:cs="Times New Roman"/>
          <w:color w:val="000000"/>
          <w:sz w:val="24"/>
          <w:szCs w:val="24"/>
        </w:rPr>
        <w:t>PO Box 800</w:t>
      </w:r>
    </w:p>
    <w:p w14:paraId="4918A836" w14:textId="70845683" w:rsidR="0029160C" w:rsidRPr="00A9228B" w:rsidRDefault="0029160C" w:rsidP="00B36A99">
      <w:pPr>
        <w:spacing w:after="0" w:line="240" w:lineRule="auto"/>
        <w:jc w:val="both"/>
        <w:rPr>
          <w:rFonts w:ascii="Times New Roman" w:eastAsia="Times New Roman" w:hAnsi="Times New Roman" w:cs="Times New Roman"/>
          <w:color w:val="000000"/>
          <w:sz w:val="24"/>
          <w:szCs w:val="24"/>
        </w:rPr>
      </w:pPr>
      <w:r w:rsidRPr="00A9228B">
        <w:rPr>
          <w:rFonts w:ascii="Times New Roman" w:eastAsia="Times New Roman" w:hAnsi="Times New Roman" w:cs="Times New Roman"/>
          <w:color w:val="000000"/>
          <w:sz w:val="24"/>
          <w:szCs w:val="24"/>
        </w:rPr>
        <w:t>Trenton, NJ 08625-0800</w:t>
      </w:r>
    </w:p>
    <w:p w14:paraId="1FF7E0D9" w14:textId="77777777" w:rsidR="00704C01" w:rsidRPr="00A9228B" w:rsidRDefault="00704C01" w:rsidP="00B36A99">
      <w:pPr>
        <w:spacing w:after="0" w:line="240" w:lineRule="auto"/>
        <w:jc w:val="both"/>
        <w:rPr>
          <w:rFonts w:ascii="Times New Roman" w:eastAsia="Times New Roman" w:hAnsi="Times New Roman" w:cs="Times New Roman"/>
          <w:color w:val="000000"/>
          <w:sz w:val="24"/>
          <w:szCs w:val="24"/>
        </w:rPr>
      </w:pPr>
    </w:p>
    <w:p w14:paraId="5BC6230D" w14:textId="77777777" w:rsidR="002C6487" w:rsidRPr="004A4D65" w:rsidRDefault="002C6487" w:rsidP="00B36A99">
      <w:pPr>
        <w:pStyle w:val="BodyText"/>
        <w:spacing w:after="240" w:line="240" w:lineRule="auto"/>
        <w:jc w:val="both"/>
        <w:rPr>
          <w:rFonts w:ascii="Times New Roman" w:hAnsi="Times New Roman" w:cs="Times New Roman"/>
          <w:sz w:val="24"/>
          <w:szCs w:val="24"/>
        </w:rPr>
      </w:pPr>
      <w:r w:rsidRPr="004A4D65">
        <w:rPr>
          <w:rFonts w:ascii="Times New Roman" w:hAnsi="Times New Roman" w:cs="Times New Roman"/>
          <w:sz w:val="24"/>
          <w:szCs w:val="24"/>
        </w:rPr>
        <w:t xml:space="preserve">Este Aviso está relacionado a la asistencia Federal proporcionada en respuesta al desastre declarado por el </w:t>
      </w:r>
      <w:proofErr w:type="gramStart"/>
      <w:r w:rsidRPr="004A4D65">
        <w:rPr>
          <w:rFonts w:ascii="Times New Roman" w:hAnsi="Times New Roman" w:cs="Times New Roman"/>
          <w:sz w:val="24"/>
          <w:szCs w:val="24"/>
        </w:rPr>
        <w:t>Presidente</w:t>
      </w:r>
      <w:proofErr w:type="gramEnd"/>
      <w:r w:rsidRPr="004A4D65">
        <w:rPr>
          <w:rFonts w:ascii="Times New Roman" w:hAnsi="Times New Roman" w:cs="Times New Roman"/>
          <w:sz w:val="24"/>
          <w:szCs w:val="24"/>
        </w:rPr>
        <w:t>, Súper Tormenta Sandy. Este aviso debe satisfacer dos requisitos procesales separados pero relacionados para las actividades a ser desarrolladas por el Departamento de Asuntos Comunitarios de New Jersey (DCA, por sus siglas en inglés).</w:t>
      </w:r>
    </w:p>
    <w:p w14:paraId="4918A83B" w14:textId="54A689B8" w:rsidR="002B1F7B" w:rsidRPr="00A9228B" w:rsidRDefault="00726B78" w:rsidP="00B36A99">
      <w:pPr>
        <w:spacing w:after="0" w:line="240" w:lineRule="auto"/>
        <w:jc w:val="both"/>
        <w:rPr>
          <w:rFonts w:ascii="Times New Roman" w:eastAsia="Times New Roman" w:hAnsi="Times New Roman" w:cs="Times New Roman"/>
          <w:color w:val="000000"/>
          <w:sz w:val="24"/>
          <w:szCs w:val="24"/>
        </w:rPr>
      </w:pPr>
      <w:r w:rsidRPr="004A4D65">
        <w:rPr>
          <w:rFonts w:ascii="Times New Roman" w:hAnsi="Times New Roman" w:cs="Times New Roman"/>
          <w:sz w:val="24"/>
          <w:szCs w:val="24"/>
        </w:rPr>
        <w:t xml:space="preserve">En o alrededor del 19 de octubre de 2020, el DCA presentará una solicitud a HUD para la liberación de fondos Federales bajo el marco del Programa de Subvención en Bloque para el Desarrollo Comunitario (CDBG, por sus siglas en inglés) conforme a la ley de Apropiaciones de 2013 de Alivio ante Desastres (DR) (Ley Pública 113-2, aprobada el 29 de enero de 2013) para el Programa de Resiliencia de </w:t>
      </w:r>
      <w:r w:rsidRPr="004A4D65">
        <w:rPr>
          <w:rFonts w:ascii="Times New Roman" w:eastAsia="Times New Roman" w:hAnsi="Times New Roman" w:cs="Times New Roman"/>
          <w:sz w:val="24"/>
          <w:szCs w:val="24"/>
        </w:rPr>
        <w:t xml:space="preserve">Atlantic City (ACRP, por sus siglas en inglés). </w:t>
      </w:r>
      <w:r w:rsidRPr="004A4D65">
        <w:rPr>
          <w:rFonts w:ascii="Times New Roman" w:hAnsi="Times New Roman" w:cs="Times New Roman"/>
          <w:color w:val="000000"/>
          <w:sz w:val="24"/>
          <w:szCs w:val="24"/>
        </w:rPr>
        <w:t xml:space="preserve">DCA </w:t>
      </w:r>
      <w:r w:rsidRPr="004A4D65">
        <w:rPr>
          <w:rFonts w:ascii="Times New Roman" w:hAnsi="Times New Roman" w:cs="Times New Roman"/>
          <w:sz w:val="24"/>
          <w:szCs w:val="24"/>
        </w:rPr>
        <w:t>espera financiar el proyecto utilizando aproximadamente</w:t>
      </w:r>
      <w:r w:rsidRPr="004A4D65">
        <w:rPr>
          <w:rFonts w:ascii="Times New Roman" w:eastAsia="Times New Roman" w:hAnsi="Times New Roman" w:cs="Times New Roman"/>
          <w:sz w:val="24"/>
          <w:szCs w:val="24"/>
        </w:rPr>
        <w:t xml:space="preserve"> </w:t>
      </w:r>
      <w:r w:rsidR="00F94257" w:rsidRPr="00A9228B">
        <w:rPr>
          <w:rFonts w:ascii="Times New Roman" w:eastAsia="Times New Roman" w:hAnsi="Times New Roman" w:cs="Times New Roman"/>
          <w:sz w:val="24"/>
          <w:szCs w:val="24"/>
        </w:rPr>
        <w:t>$</w:t>
      </w:r>
      <w:r w:rsidR="00704C01" w:rsidRPr="00A9228B">
        <w:rPr>
          <w:rFonts w:ascii="Times New Roman" w:hAnsi="Times New Roman" w:cs="Times New Roman"/>
          <w:sz w:val="24"/>
          <w:szCs w:val="24"/>
        </w:rPr>
        <w:t>1,2</w:t>
      </w:r>
      <w:r w:rsidR="00237E8B" w:rsidRPr="00A9228B">
        <w:rPr>
          <w:rFonts w:ascii="Times New Roman" w:hAnsi="Times New Roman" w:cs="Times New Roman"/>
          <w:sz w:val="24"/>
          <w:szCs w:val="24"/>
        </w:rPr>
        <w:t>00</w:t>
      </w:r>
      <w:r w:rsidR="00704C01" w:rsidRPr="00A9228B">
        <w:rPr>
          <w:rFonts w:ascii="Times New Roman" w:hAnsi="Times New Roman" w:cs="Times New Roman"/>
          <w:sz w:val="24"/>
          <w:szCs w:val="24"/>
        </w:rPr>
        <w:t>,000</w:t>
      </w:r>
      <w:r w:rsidR="00237E8B" w:rsidRPr="00A9228B">
        <w:rPr>
          <w:rFonts w:ascii="Times New Roman" w:hAnsi="Times New Roman" w:cs="Times New Roman"/>
          <w:sz w:val="24"/>
          <w:szCs w:val="24"/>
        </w:rPr>
        <w:t>.00</w:t>
      </w:r>
      <w:r w:rsidR="00F94257" w:rsidRPr="00A9228B">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de fondos de </w:t>
      </w:r>
      <w:r w:rsidR="00237E8B" w:rsidRPr="00A9228B">
        <w:rPr>
          <w:rFonts w:ascii="Times New Roman" w:eastAsia="Times New Roman" w:hAnsi="Times New Roman" w:cs="Times New Roman"/>
          <w:sz w:val="24"/>
          <w:szCs w:val="24"/>
        </w:rPr>
        <w:t>ACRP</w:t>
      </w:r>
      <w:r w:rsidR="00F94257" w:rsidRPr="00A9228B">
        <w:rPr>
          <w:rFonts w:ascii="Times New Roman" w:eastAsia="Times New Roman" w:hAnsi="Times New Roman" w:cs="Times New Roman"/>
          <w:sz w:val="24"/>
          <w:szCs w:val="24"/>
        </w:rPr>
        <w:t>.</w:t>
      </w:r>
      <w:r w:rsidR="00D55B29" w:rsidRPr="00A9228B">
        <w:rPr>
          <w:rFonts w:ascii="Times New Roman" w:eastAsia="Times New Roman" w:hAnsi="Times New Roman" w:cs="Times New Roman"/>
          <w:sz w:val="24"/>
          <w:szCs w:val="24"/>
        </w:rPr>
        <w:t xml:space="preserve"> </w:t>
      </w:r>
    </w:p>
    <w:p w14:paraId="4918A83C" w14:textId="77777777" w:rsidR="002B1F7B" w:rsidRPr="00A9228B" w:rsidRDefault="002B1F7B" w:rsidP="00B36A99">
      <w:pPr>
        <w:spacing w:after="0" w:line="240" w:lineRule="auto"/>
        <w:jc w:val="both"/>
        <w:rPr>
          <w:rFonts w:ascii="Times New Roman" w:eastAsia="Times New Roman" w:hAnsi="Times New Roman" w:cs="Times New Roman"/>
          <w:color w:val="000000"/>
          <w:sz w:val="24"/>
          <w:szCs w:val="24"/>
        </w:rPr>
      </w:pPr>
    </w:p>
    <w:p w14:paraId="0305C52B" w14:textId="77777777" w:rsidR="00F36AF7" w:rsidRPr="004A4D65" w:rsidRDefault="00F36AF7" w:rsidP="00B36A99">
      <w:pPr>
        <w:spacing w:after="0" w:line="240" w:lineRule="auto"/>
        <w:jc w:val="both"/>
        <w:rPr>
          <w:rFonts w:ascii="Times New Roman" w:eastAsia="Times New Roman" w:hAnsi="Times New Roman" w:cs="Times New Roman"/>
          <w:b/>
          <w:bCs/>
          <w:color w:val="000000"/>
          <w:sz w:val="24"/>
          <w:szCs w:val="24"/>
        </w:rPr>
      </w:pPr>
      <w:r w:rsidRPr="004A4D65">
        <w:rPr>
          <w:rFonts w:ascii="Times New Roman" w:eastAsia="Times New Roman" w:hAnsi="Times New Roman" w:cs="Times New Roman"/>
          <w:b/>
          <w:bCs/>
          <w:color w:val="000000"/>
          <w:sz w:val="24"/>
          <w:szCs w:val="24"/>
        </w:rPr>
        <w:t>DESCRIPCIÓN DEL PROYECTO</w:t>
      </w:r>
    </w:p>
    <w:p w14:paraId="0F69C563" w14:textId="77777777" w:rsidR="00F36AF7" w:rsidRPr="004A4D65" w:rsidRDefault="00F36AF7" w:rsidP="00B36A99">
      <w:pPr>
        <w:spacing w:after="0" w:line="240" w:lineRule="auto"/>
        <w:jc w:val="both"/>
        <w:rPr>
          <w:rFonts w:ascii="Times New Roman" w:eastAsia="Times New Roman" w:hAnsi="Times New Roman" w:cs="Times New Roman"/>
          <w:color w:val="000000"/>
          <w:sz w:val="24"/>
          <w:szCs w:val="24"/>
        </w:rPr>
      </w:pPr>
    </w:p>
    <w:p w14:paraId="4918A83F" w14:textId="67C6145F" w:rsidR="00F15F0C" w:rsidRPr="00A9228B" w:rsidRDefault="00F36AF7" w:rsidP="00B36A99">
      <w:pPr>
        <w:spacing w:after="0" w:line="240" w:lineRule="auto"/>
        <w:jc w:val="both"/>
        <w:rPr>
          <w:rFonts w:ascii="Times New Roman" w:eastAsia="Times New Roman" w:hAnsi="Times New Roman" w:cs="Times New Roman"/>
          <w:sz w:val="24"/>
          <w:szCs w:val="24"/>
        </w:rPr>
      </w:pPr>
      <w:r w:rsidRPr="004A4D65">
        <w:rPr>
          <w:rFonts w:ascii="Times New Roman" w:eastAsia="Times New Roman" w:hAnsi="Times New Roman" w:cs="Times New Roman"/>
          <w:color w:val="000000"/>
          <w:sz w:val="24"/>
          <w:szCs w:val="24"/>
        </w:rPr>
        <w:t>Número de Identificación de la Aplicación</w:t>
      </w:r>
      <w:r w:rsidR="00F15F0C" w:rsidRPr="00A9228B">
        <w:rPr>
          <w:rFonts w:ascii="Times New Roman" w:eastAsia="Times New Roman" w:hAnsi="Times New Roman" w:cs="Times New Roman"/>
          <w:sz w:val="24"/>
          <w:szCs w:val="24"/>
        </w:rPr>
        <w:t xml:space="preserve">: </w:t>
      </w:r>
      <w:r w:rsidR="00237E8B" w:rsidRPr="00A9228B">
        <w:rPr>
          <w:rFonts w:ascii="Times New Roman" w:eastAsia="Times New Roman" w:hAnsi="Times New Roman" w:cs="Times New Roman"/>
          <w:sz w:val="24"/>
          <w:szCs w:val="24"/>
        </w:rPr>
        <w:t xml:space="preserve">AC </w:t>
      </w:r>
      <w:proofErr w:type="spellStart"/>
      <w:r w:rsidR="008050E1" w:rsidRPr="00A9228B">
        <w:rPr>
          <w:rFonts w:ascii="Times New Roman" w:eastAsia="Times New Roman" w:hAnsi="Times New Roman" w:cs="Times New Roman"/>
          <w:sz w:val="24"/>
          <w:szCs w:val="24"/>
        </w:rPr>
        <w:t>Check</w:t>
      </w:r>
      <w:proofErr w:type="spellEnd"/>
      <w:r w:rsidR="008050E1" w:rsidRPr="00A9228B">
        <w:rPr>
          <w:rFonts w:ascii="Times New Roman" w:eastAsia="Times New Roman" w:hAnsi="Times New Roman" w:cs="Times New Roman"/>
          <w:sz w:val="24"/>
          <w:szCs w:val="24"/>
        </w:rPr>
        <w:t xml:space="preserve"> </w:t>
      </w:r>
      <w:proofErr w:type="spellStart"/>
      <w:r w:rsidR="008050E1" w:rsidRPr="00A9228B">
        <w:rPr>
          <w:rFonts w:ascii="Times New Roman" w:eastAsia="Times New Roman" w:hAnsi="Times New Roman" w:cs="Times New Roman"/>
          <w:sz w:val="24"/>
          <w:szCs w:val="24"/>
        </w:rPr>
        <w:t>Valves</w:t>
      </w:r>
      <w:proofErr w:type="spellEnd"/>
    </w:p>
    <w:p w14:paraId="4918A840" w14:textId="140DC9A3" w:rsidR="00F15F0C" w:rsidRPr="00A9228B" w:rsidRDefault="00F36AF7" w:rsidP="00B36A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Título del Proyecto</w:t>
      </w:r>
      <w:r w:rsidR="00F15F0C" w:rsidRPr="00A9228B">
        <w:rPr>
          <w:rFonts w:ascii="Times New Roman" w:eastAsia="Times New Roman" w:hAnsi="Times New Roman" w:cs="Times New Roman"/>
          <w:sz w:val="24"/>
          <w:szCs w:val="24"/>
        </w:rPr>
        <w:t xml:space="preserve">: </w:t>
      </w:r>
      <w:r w:rsidR="00237E8B" w:rsidRPr="00A9228B">
        <w:rPr>
          <w:rFonts w:ascii="Times New Roman" w:eastAsia="Times New Roman" w:hAnsi="Times New Roman" w:cs="Times New Roman"/>
          <w:sz w:val="24"/>
          <w:szCs w:val="24"/>
        </w:rPr>
        <w:t xml:space="preserve">AC </w:t>
      </w:r>
      <w:proofErr w:type="spellStart"/>
      <w:r w:rsidR="008050E1" w:rsidRPr="00A9228B">
        <w:rPr>
          <w:rFonts w:ascii="Times New Roman" w:eastAsia="Times New Roman" w:hAnsi="Times New Roman" w:cs="Times New Roman"/>
          <w:sz w:val="24"/>
          <w:szCs w:val="24"/>
        </w:rPr>
        <w:t>Check</w:t>
      </w:r>
      <w:proofErr w:type="spellEnd"/>
      <w:r w:rsidR="008050E1" w:rsidRPr="00A9228B">
        <w:rPr>
          <w:rFonts w:ascii="Times New Roman" w:eastAsia="Times New Roman" w:hAnsi="Times New Roman" w:cs="Times New Roman"/>
          <w:sz w:val="24"/>
          <w:szCs w:val="24"/>
        </w:rPr>
        <w:t xml:space="preserve"> </w:t>
      </w:r>
      <w:proofErr w:type="spellStart"/>
      <w:r w:rsidR="008050E1" w:rsidRPr="00A9228B">
        <w:rPr>
          <w:rFonts w:ascii="Times New Roman" w:eastAsia="Times New Roman" w:hAnsi="Times New Roman" w:cs="Times New Roman"/>
          <w:sz w:val="24"/>
          <w:szCs w:val="24"/>
        </w:rPr>
        <w:t>Valves</w:t>
      </w:r>
      <w:proofErr w:type="spellEnd"/>
    </w:p>
    <w:p w14:paraId="4918A841" w14:textId="49AA6D08" w:rsidR="00F15F0C" w:rsidRPr="00A9228B" w:rsidRDefault="00F36AF7" w:rsidP="00B36A9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Ubicació</w:t>
      </w:r>
      <w:r w:rsidR="00F15F0C" w:rsidRPr="00A9228B">
        <w:rPr>
          <w:rFonts w:ascii="Times New Roman" w:eastAsia="Times New Roman" w:hAnsi="Times New Roman" w:cs="Times New Roman"/>
          <w:sz w:val="24"/>
          <w:szCs w:val="24"/>
        </w:rPr>
        <w:t>n:</w:t>
      </w:r>
      <w:r w:rsidR="00F15F0C" w:rsidRPr="00A9228B">
        <w:rPr>
          <w:rFonts w:ascii="Times New Roman" w:eastAsia="Times New Roman" w:hAnsi="Times New Roman" w:cs="Times New Roman"/>
          <w:b/>
          <w:sz w:val="24"/>
          <w:szCs w:val="24"/>
        </w:rPr>
        <w:t xml:space="preserve">  </w:t>
      </w:r>
      <w:r w:rsidR="00C4766D">
        <w:rPr>
          <w:rFonts w:ascii="Times New Roman" w:eastAsia="Times New Roman" w:hAnsi="Times New Roman" w:cs="Times New Roman"/>
          <w:sz w:val="24"/>
          <w:szCs w:val="24"/>
        </w:rPr>
        <w:t xml:space="preserve">Vía Navegable Interior </w:t>
      </w:r>
      <w:proofErr w:type="spellStart"/>
      <w:r w:rsidR="008050E1" w:rsidRPr="00A9228B">
        <w:rPr>
          <w:rFonts w:ascii="Times New Roman" w:eastAsia="Times New Roman" w:hAnsi="Times New Roman" w:cs="Times New Roman"/>
          <w:sz w:val="24"/>
          <w:szCs w:val="24"/>
        </w:rPr>
        <w:t>Thorofare</w:t>
      </w:r>
      <w:proofErr w:type="spellEnd"/>
      <w:r w:rsidR="008050E1" w:rsidRPr="00A9228B">
        <w:rPr>
          <w:rFonts w:ascii="Times New Roman" w:eastAsia="Times New Roman" w:hAnsi="Times New Roman" w:cs="Times New Roman"/>
          <w:sz w:val="24"/>
          <w:szCs w:val="24"/>
        </w:rPr>
        <w:t xml:space="preserve">, </w:t>
      </w:r>
      <w:r w:rsidR="00C4766D">
        <w:rPr>
          <w:rFonts w:ascii="Times New Roman" w:eastAsia="Times New Roman" w:hAnsi="Times New Roman" w:cs="Times New Roman"/>
          <w:sz w:val="24"/>
          <w:szCs w:val="24"/>
        </w:rPr>
        <w:t xml:space="preserve">Bahía </w:t>
      </w:r>
      <w:proofErr w:type="spellStart"/>
      <w:r w:rsidR="008050E1" w:rsidRPr="00A9228B">
        <w:rPr>
          <w:rFonts w:ascii="Times New Roman" w:eastAsia="Times New Roman" w:hAnsi="Times New Roman" w:cs="Times New Roman"/>
          <w:sz w:val="24"/>
          <w:szCs w:val="24"/>
        </w:rPr>
        <w:t>Absecon</w:t>
      </w:r>
      <w:proofErr w:type="spellEnd"/>
      <w:r w:rsidR="008050E1" w:rsidRPr="00A92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008050E1" w:rsidRPr="00A9228B">
        <w:rPr>
          <w:rFonts w:ascii="Times New Roman" w:eastAsia="Times New Roman" w:hAnsi="Times New Roman" w:cs="Times New Roman"/>
          <w:sz w:val="24"/>
          <w:szCs w:val="24"/>
        </w:rPr>
        <w:t xml:space="preserve"> </w:t>
      </w:r>
      <w:r w:rsidR="00C4766D">
        <w:rPr>
          <w:rFonts w:ascii="Times New Roman" w:eastAsia="Times New Roman" w:hAnsi="Times New Roman" w:cs="Times New Roman"/>
          <w:sz w:val="24"/>
          <w:szCs w:val="24"/>
        </w:rPr>
        <w:t xml:space="preserve">Bahía </w:t>
      </w:r>
      <w:proofErr w:type="spellStart"/>
      <w:r w:rsidR="008050E1" w:rsidRPr="00A9228B">
        <w:rPr>
          <w:rFonts w:ascii="Times New Roman" w:eastAsia="Times New Roman" w:hAnsi="Times New Roman" w:cs="Times New Roman"/>
          <w:sz w:val="24"/>
          <w:szCs w:val="24"/>
        </w:rPr>
        <w:t>Shelter</w:t>
      </w:r>
      <w:proofErr w:type="spellEnd"/>
      <w:r w:rsidR="008050E1" w:rsidRPr="00A9228B">
        <w:rPr>
          <w:rFonts w:ascii="Times New Roman" w:eastAsia="Times New Roman" w:hAnsi="Times New Roman" w:cs="Times New Roman"/>
          <w:sz w:val="24"/>
          <w:szCs w:val="24"/>
        </w:rPr>
        <w:t xml:space="preserve"> </w:t>
      </w:r>
    </w:p>
    <w:p w14:paraId="4918A842" w14:textId="23010CBC" w:rsidR="00F15F0C" w:rsidRPr="00A9228B" w:rsidRDefault="004B65CE" w:rsidP="00B36A99">
      <w:pPr>
        <w:spacing w:after="0" w:line="240" w:lineRule="auto"/>
        <w:jc w:val="both"/>
        <w:rPr>
          <w:rFonts w:ascii="Times New Roman" w:eastAsia="Times New Roman" w:hAnsi="Times New Roman" w:cs="Times New Roman"/>
          <w:color w:val="FF0000"/>
          <w:sz w:val="24"/>
          <w:szCs w:val="24"/>
        </w:rPr>
      </w:pPr>
      <w:r w:rsidRPr="004A4D65">
        <w:rPr>
          <w:rFonts w:ascii="Times New Roman" w:eastAsia="Times New Roman" w:hAnsi="Times New Roman" w:cs="Times New Roman"/>
          <w:sz w:val="24"/>
          <w:szCs w:val="24"/>
        </w:rPr>
        <w:t xml:space="preserve">El costo total estimado del proyecto es </w:t>
      </w:r>
      <w:r w:rsidR="00F15F0C" w:rsidRPr="00A9228B">
        <w:rPr>
          <w:rFonts w:ascii="Times New Roman" w:eastAsia="Times New Roman" w:hAnsi="Times New Roman" w:cs="Times New Roman"/>
          <w:color w:val="000000"/>
          <w:sz w:val="24"/>
          <w:szCs w:val="24"/>
        </w:rPr>
        <w:t>$</w:t>
      </w:r>
      <w:r w:rsidR="008050E1" w:rsidRPr="00A9228B">
        <w:rPr>
          <w:rFonts w:ascii="Times New Roman" w:eastAsia="Times New Roman" w:hAnsi="Times New Roman" w:cs="Times New Roman"/>
          <w:sz w:val="24"/>
          <w:szCs w:val="24"/>
        </w:rPr>
        <w:t>1</w:t>
      </w:r>
      <w:r w:rsidR="00237E8B" w:rsidRPr="00A9228B">
        <w:rPr>
          <w:rFonts w:ascii="Times New Roman" w:eastAsia="Times New Roman" w:hAnsi="Times New Roman" w:cs="Times New Roman"/>
          <w:sz w:val="24"/>
          <w:szCs w:val="24"/>
        </w:rPr>
        <w:t>,</w:t>
      </w:r>
      <w:r w:rsidR="008050E1" w:rsidRPr="00A9228B">
        <w:rPr>
          <w:rFonts w:ascii="Times New Roman" w:eastAsia="Times New Roman" w:hAnsi="Times New Roman" w:cs="Times New Roman"/>
          <w:sz w:val="24"/>
          <w:szCs w:val="24"/>
        </w:rPr>
        <w:t>2</w:t>
      </w:r>
      <w:r w:rsidR="00237E8B" w:rsidRPr="00A9228B">
        <w:rPr>
          <w:rFonts w:ascii="Times New Roman" w:eastAsia="Times New Roman" w:hAnsi="Times New Roman" w:cs="Times New Roman"/>
          <w:sz w:val="24"/>
          <w:szCs w:val="24"/>
        </w:rPr>
        <w:t>00</w:t>
      </w:r>
      <w:r w:rsidR="003E0A3D" w:rsidRPr="00A9228B">
        <w:rPr>
          <w:rFonts w:ascii="Times New Roman" w:eastAsia="Times New Roman" w:hAnsi="Times New Roman" w:cs="Times New Roman"/>
          <w:sz w:val="24"/>
          <w:szCs w:val="24"/>
        </w:rPr>
        <w:t>,</w:t>
      </w:r>
      <w:r w:rsidR="00237E8B" w:rsidRPr="00A9228B">
        <w:rPr>
          <w:rFonts w:ascii="Times New Roman" w:eastAsia="Times New Roman" w:hAnsi="Times New Roman" w:cs="Times New Roman"/>
          <w:sz w:val="24"/>
          <w:szCs w:val="24"/>
        </w:rPr>
        <w:t>000.00</w:t>
      </w:r>
      <w:r w:rsidR="00F15F0C" w:rsidRPr="00A9228B">
        <w:rPr>
          <w:rFonts w:ascii="Times New Roman" w:eastAsia="Times New Roman" w:hAnsi="Times New Roman" w:cs="Times New Roman"/>
          <w:sz w:val="24"/>
          <w:szCs w:val="24"/>
        </w:rPr>
        <w:t xml:space="preserve"> </w:t>
      </w:r>
    </w:p>
    <w:p w14:paraId="4D2F2952" w14:textId="77777777" w:rsidR="003E0A3D" w:rsidRPr="00A9228B" w:rsidRDefault="003E0A3D" w:rsidP="00B36A99">
      <w:pPr>
        <w:spacing w:after="0" w:line="240" w:lineRule="auto"/>
        <w:jc w:val="both"/>
        <w:rPr>
          <w:rFonts w:ascii="Times New Roman" w:eastAsia="Times New Roman" w:hAnsi="Times New Roman" w:cs="Times New Roman"/>
          <w:color w:val="FF0000"/>
          <w:sz w:val="24"/>
          <w:szCs w:val="24"/>
        </w:rPr>
      </w:pPr>
    </w:p>
    <w:p w14:paraId="016AB9A2" w14:textId="11247DC3" w:rsidR="008050E1" w:rsidRPr="00A9228B" w:rsidRDefault="009D4003" w:rsidP="00B36A99">
      <w:pPr>
        <w:autoSpaceDE w:val="0"/>
        <w:autoSpaceDN w:val="0"/>
        <w:adjustRightInd w:val="0"/>
        <w:spacing w:after="0" w:line="240" w:lineRule="auto"/>
        <w:jc w:val="both"/>
        <w:rPr>
          <w:rFonts w:ascii="Times New Roman" w:eastAsia="Times New Roman" w:hAnsi="Times New Roman" w:cs="Times New Roman"/>
          <w:sz w:val="24"/>
          <w:szCs w:val="24"/>
        </w:rPr>
      </w:pPr>
      <w:bookmarkStart w:id="1" w:name="_Hlk46753575"/>
      <w:r>
        <w:rPr>
          <w:rFonts w:ascii="Times New Roman" w:eastAsia="Times New Roman" w:hAnsi="Times New Roman" w:cs="Times New Roman"/>
          <w:sz w:val="24"/>
          <w:szCs w:val="24"/>
        </w:rPr>
        <w:t xml:space="preserve">El proyecto de mejora propuesto incluye la inspección, diseño, y reemplazo de aproximadamente 100 válvulas de retención de aguas de tormenta ubicadas a lo largo de la vía navegable interior de </w:t>
      </w:r>
      <w:proofErr w:type="spellStart"/>
      <w:r w:rsidR="008050E1" w:rsidRPr="00A9228B">
        <w:rPr>
          <w:rFonts w:ascii="Times New Roman" w:eastAsia="Times New Roman" w:hAnsi="Times New Roman" w:cs="Times New Roman"/>
          <w:sz w:val="24"/>
          <w:szCs w:val="24"/>
        </w:rPr>
        <w:t>Thorofare</w:t>
      </w:r>
      <w:proofErr w:type="spellEnd"/>
      <w:r w:rsidR="008050E1" w:rsidRPr="00A92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008050E1" w:rsidRPr="00A9228B">
        <w:rPr>
          <w:rFonts w:ascii="Times New Roman" w:eastAsia="Times New Roman" w:hAnsi="Times New Roman" w:cs="Times New Roman"/>
          <w:sz w:val="24"/>
          <w:szCs w:val="24"/>
        </w:rPr>
        <w:t xml:space="preserve"> Atlantic City. </w:t>
      </w:r>
      <w:r w:rsidR="001C17A8">
        <w:rPr>
          <w:rFonts w:ascii="Times New Roman" w:eastAsia="Times New Roman" w:hAnsi="Times New Roman" w:cs="Times New Roman"/>
          <w:sz w:val="24"/>
          <w:szCs w:val="24"/>
        </w:rPr>
        <w:t xml:space="preserve">En años recientes, la Ciudad ha observado un incremento de inundaciones en áreas que utilizan estas válvulas en o cerca de los puntos de descarga, posiblemente debido al mal funcionamiento y/o válvulas de retención rotas. </w:t>
      </w:r>
      <w:r w:rsidR="008050E1" w:rsidRPr="00A9228B">
        <w:rPr>
          <w:rFonts w:ascii="Times New Roman" w:eastAsia="Times New Roman" w:hAnsi="Times New Roman" w:cs="Times New Roman"/>
          <w:sz w:val="24"/>
          <w:szCs w:val="24"/>
        </w:rPr>
        <w:t xml:space="preserve"> </w:t>
      </w:r>
    </w:p>
    <w:bookmarkEnd w:id="1"/>
    <w:p w14:paraId="4918A844" w14:textId="77777777" w:rsidR="002B1F7B" w:rsidRPr="00A9228B" w:rsidRDefault="002B1F7B" w:rsidP="00B36A99">
      <w:pPr>
        <w:spacing w:after="0" w:line="240" w:lineRule="auto"/>
        <w:jc w:val="both"/>
        <w:rPr>
          <w:rFonts w:ascii="Times New Roman" w:eastAsia="Times New Roman" w:hAnsi="Times New Roman" w:cs="Times New Roman"/>
          <w:color w:val="FF0000"/>
          <w:sz w:val="24"/>
          <w:szCs w:val="24"/>
        </w:rPr>
      </w:pPr>
    </w:p>
    <w:p w14:paraId="4918A845" w14:textId="4BD256C7" w:rsidR="003933C4" w:rsidRPr="00A9228B" w:rsidRDefault="00AF12EE" w:rsidP="00B36A9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Entidad Responsable, DCA, </w:t>
      </w:r>
      <w:r>
        <w:rPr>
          <w:rFonts w:ascii="Times New Roman" w:eastAsia="Times New Roman" w:hAnsi="Times New Roman"/>
          <w:sz w:val="24"/>
          <w:szCs w:val="24"/>
        </w:rPr>
        <w:t>ha determinado que el proyecto propuesto está Categóricamente Excluido Sujeto a las autoridades del §58.5 según el Título</w:t>
      </w:r>
      <w:r>
        <w:rPr>
          <w:rFonts w:ascii="Times New Roman" w:eastAsia="Times New Roman" w:hAnsi="Times New Roman" w:cs="Times New Roman"/>
          <w:sz w:val="24"/>
          <w:szCs w:val="24"/>
        </w:rPr>
        <w:t xml:space="preserve"> 24 de CFR 58.35(a). </w:t>
      </w:r>
      <w:r>
        <w:rPr>
          <w:rFonts w:ascii="Times New Roman" w:eastAsia="Times New Roman" w:hAnsi="Times New Roman"/>
          <w:sz w:val="24"/>
          <w:szCs w:val="24"/>
        </w:rPr>
        <w:t xml:space="preserve">Como tal, una Lista Legal ha sido completada para determinar si el proyecto cumple con las autoridades citado en el Título </w:t>
      </w:r>
      <w:r>
        <w:rPr>
          <w:rFonts w:ascii="Times New Roman" w:eastAsia="Times New Roman" w:hAnsi="Times New Roman" w:cs="Times New Roman"/>
          <w:sz w:val="24"/>
          <w:szCs w:val="24"/>
        </w:rPr>
        <w:t>24 de CFR§58.5</w:t>
      </w:r>
      <w:r w:rsidR="003933C4" w:rsidRPr="00A9228B">
        <w:rPr>
          <w:rFonts w:ascii="Times New Roman" w:eastAsia="Times New Roman" w:hAnsi="Times New Roman" w:cs="Times New Roman"/>
          <w:sz w:val="24"/>
          <w:szCs w:val="24"/>
        </w:rPr>
        <w:t xml:space="preserve">.  </w:t>
      </w:r>
    </w:p>
    <w:p w14:paraId="4918A846" w14:textId="77777777" w:rsidR="00E3185C" w:rsidRPr="00A9228B" w:rsidRDefault="00E3185C" w:rsidP="00B36A99">
      <w:pPr>
        <w:spacing w:after="0" w:line="240" w:lineRule="auto"/>
        <w:jc w:val="both"/>
        <w:rPr>
          <w:rFonts w:ascii="Times New Roman" w:eastAsia="Times New Roman" w:hAnsi="Times New Roman" w:cs="Times New Roman"/>
          <w:sz w:val="24"/>
          <w:szCs w:val="24"/>
        </w:rPr>
      </w:pPr>
    </w:p>
    <w:p w14:paraId="4918A847" w14:textId="4DA7D9B3" w:rsidR="00E3185C" w:rsidRPr="00A9228B" w:rsidRDefault="00E85C6B" w:rsidP="00B36A9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La información adicional del proyecto está contenida en el Registro de Revisión Ambiental (ERR, por sus siglas en inglés) en archivo en el Departamento de Asuntos Comunitarios de </w:t>
      </w:r>
      <w:r>
        <w:rPr>
          <w:rFonts w:ascii="Times New Roman" w:eastAsia="Times New Roman" w:hAnsi="Times New Roman" w:cs="Times New Roman"/>
          <w:sz w:val="24"/>
          <w:szCs w:val="24"/>
        </w:rPr>
        <w:t xml:space="preserve">New Jersey, División de Recuperación de Sandy, 101 South Broad Street, Trenton, NJ 08625-0800. El registro está disponible para revisión y puede ser examinado o copiado de lunes a viernes de 9 A.M. a 5 P.M. o puede verse en internet en </w:t>
      </w:r>
      <w:r w:rsidR="00CD3C81" w:rsidRPr="00A9228B">
        <w:rPr>
          <w:rFonts w:ascii="Times New Roman" w:hAnsi="Times New Roman" w:cs="Times New Roman"/>
          <w:color w:val="000000" w:themeColor="text1"/>
          <w:sz w:val="24"/>
          <w:szCs w:val="24"/>
        </w:rPr>
        <w:t>http://www.nj.gov/dca/divisions/sandyrecovery/review/.</w:t>
      </w:r>
    </w:p>
    <w:p w14:paraId="4918A848" w14:textId="77777777" w:rsidR="00481F5C" w:rsidRPr="00A9228B" w:rsidRDefault="00481F5C" w:rsidP="00B36A99">
      <w:pPr>
        <w:spacing w:after="0" w:line="240" w:lineRule="auto"/>
        <w:jc w:val="both"/>
        <w:rPr>
          <w:rFonts w:ascii="Times New Roman" w:eastAsia="Times New Roman" w:hAnsi="Times New Roman" w:cs="Times New Roman"/>
          <w:sz w:val="24"/>
          <w:szCs w:val="24"/>
        </w:rPr>
      </w:pPr>
    </w:p>
    <w:p w14:paraId="7E3F2EC8" w14:textId="77777777" w:rsidR="000F155D" w:rsidRDefault="000F155D" w:rsidP="00B36A99">
      <w:pPr>
        <w:spacing w:after="0" w:line="240" w:lineRule="auto"/>
        <w:rPr>
          <w:rFonts w:ascii="Times New Roman" w:hAnsi="Times New Roman" w:cs="Times New Roman"/>
          <w:b/>
          <w:bCs/>
          <w:sz w:val="24"/>
          <w:szCs w:val="24"/>
        </w:rPr>
      </w:pPr>
      <w:r w:rsidRPr="00583552">
        <w:rPr>
          <w:rFonts w:ascii="Times New Roman" w:eastAsia="Times New Roman" w:hAnsi="Times New Roman" w:cs="Times New Roman"/>
          <w:b/>
          <w:bCs/>
          <w:sz w:val="24"/>
          <w:szCs w:val="24"/>
        </w:rPr>
        <w:t xml:space="preserve">AVISO FINAL Y EXPLICACIÓN PÚBLICA DE UNA </w:t>
      </w:r>
      <w:r w:rsidRPr="00583552">
        <w:rPr>
          <w:rFonts w:ascii="Times New Roman" w:hAnsi="Times New Roman" w:cs="Times New Roman"/>
          <w:b/>
          <w:bCs/>
          <w:sz w:val="24"/>
          <w:szCs w:val="24"/>
        </w:rPr>
        <w:t>ACTIVIDAD PROPUESTA EN UNA PLANICIE DE INUNDACIÓN CORRESPONDIENTE A 100 AÑOS</w:t>
      </w:r>
    </w:p>
    <w:p w14:paraId="58F29F7F" w14:textId="77777777" w:rsidR="000F155D" w:rsidRPr="00583552" w:rsidRDefault="000F155D" w:rsidP="00B36A99">
      <w:pPr>
        <w:spacing w:after="0" w:line="240" w:lineRule="auto"/>
        <w:rPr>
          <w:rFonts w:ascii="Times New Roman" w:eastAsia="Times New Roman" w:hAnsi="Times New Roman" w:cs="Times New Roman"/>
          <w:b/>
          <w:bCs/>
          <w:sz w:val="24"/>
          <w:szCs w:val="24"/>
        </w:rPr>
      </w:pPr>
    </w:p>
    <w:p w14:paraId="4918A84B" w14:textId="6EDDBA41" w:rsidR="00650D90" w:rsidRPr="00A9228B" w:rsidRDefault="000F155D" w:rsidP="00B36A99">
      <w:pPr>
        <w:spacing w:after="0" w:line="240" w:lineRule="auto"/>
        <w:jc w:val="both"/>
        <w:rPr>
          <w:rFonts w:ascii="Times New Roman" w:hAnsi="Times New Roman" w:cs="Times New Roman"/>
          <w:sz w:val="24"/>
          <w:szCs w:val="24"/>
        </w:rPr>
      </w:pPr>
      <w:r w:rsidRPr="004A4D65">
        <w:rPr>
          <w:rFonts w:ascii="Times New Roman" w:hAnsi="Times New Roman" w:cs="Times New Roman"/>
          <w:sz w:val="24"/>
          <w:szCs w:val="24"/>
        </w:rPr>
        <w:t xml:space="preserve">Este es para dar aviso que </w:t>
      </w:r>
      <w:r w:rsidRPr="004A4D65">
        <w:rPr>
          <w:rFonts w:ascii="Times New Roman" w:eastAsia="Times New Roman" w:hAnsi="Times New Roman" w:cs="Times New Roman"/>
          <w:sz w:val="24"/>
          <w:szCs w:val="24"/>
        </w:rPr>
        <w:t xml:space="preserve">DCA ha llevado a cabo una evaluación requerida por la Orden Ejecutiva 11988, de conformidad con las regulaciones de HUD en el Título 24 CFR 55.20 </w:t>
      </w:r>
      <w:proofErr w:type="spellStart"/>
      <w:r w:rsidRPr="004A4D65">
        <w:rPr>
          <w:rFonts w:ascii="Times New Roman" w:eastAsia="Times New Roman" w:hAnsi="Times New Roman" w:cs="Times New Roman"/>
          <w:sz w:val="24"/>
          <w:szCs w:val="24"/>
        </w:rPr>
        <w:t>Subparte</w:t>
      </w:r>
      <w:proofErr w:type="spellEnd"/>
      <w:r w:rsidRPr="004A4D65">
        <w:rPr>
          <w:rFonts w:ascii="Times New Roman" w:eastAsia="Times New Roman" w:hAnsi="Times New Roman" w:cs="Times New Roman"/>
          <w:sz w:val="24"/>
          <w:szCs w:val="24"/>
        </w:rPr>
        <w:t xml:space="preserve"> C, Procedimientos para la Toma de Decisiones sobre la Gestión de Planicie de Inundación y Protección de Humedales. La actividad está financiada con los fondos de Recuperación de Desastres de la </w:t>
      </w:r>
      <w:r w:rsidRPr="004A4D65">
        <w:rPr>
          <w:rFonts w:ascii="Times New Roman" w:eastAsia="Times New Roman" w:hAnsi="Times New Roman"/>
          <w:sz w:val="24"/>
          <w:szCs w:val="24"/>
        </w:rPr>
        <w:t xml:space="preserve">Subvención en Bloque para el Desarrollo Comunitario </w:t>
      </w:r>
      <w:r w:rsidRPr="004A4D65">
        <w:rPr>
          <w:rFonts w:ascii="Times New Roman" w:eastAsia="Times New Roman" w:hAnsi="Times New Roman" w:cs="Times New Roman"/>
          <w:sz w:val="24"/>
          <w:szCs w:val="24"/>
        </w:rPr>
        <w:t xml:space="preserve">(CDBG-DR) bajo la subvención de HUD número </w:t>
      </w:r>
      <w:r w:rsidRPr="004A4D65">
        <w:rPr>
          <w:rFonts w:ascii="Times New Roman" w:hAnsi="Times New Roman" w:cs="Times New Roman"/>
          <w:sz w:val="24"/>
          <w:szCs w:val="24"/>
        </w:rPr>
        <w:t>B-13-DS-34-0001</w:t>
      </w:r>
      <w:r w:rsidR="00333DA2" w:rsidRPr="00A9228B">
        <w:rPr>
          <w:rFonts w:ascii="Times New Roman" w:hAnsi="Times New Roman" w:cs="Times New Roman"/>
          <w:sz w:val="24"/>
          <w:szCs w:val="24"/>
        </w:rPr>
        <w:t xml:space="preserve">. </w:t>
      </w:r>
    </w:p>
    <w:p w14:paraId="2A370AF9" w14:textId="29DBEBAA" w:rsidR="007C0F40" w:rsidRPr="00A9228B" w:rsidRDefault="007C0F40" w:rsidP="00B36A99">
      <w:pPr>
        <w:spacing w:after="0" w:line="240" w:lineRule="auto"/>
        <w:jc w:val="both"/>
        <w:rPr>
          <w:rFonts w:ascii="Times New Roman" w:hAnsi="Times New Roman" w:cs="Times New Roman"/>
          <w:sz w:val="24"/>
          <w:szCs w:val="24"/>
        </w:rPr>
      </w:pPr>
    </w:p>
    <w:p w14:paraId="74ECAED9" w14:textId="23E09198" w:rsidR="007C0F40" w:rsidRPr="00A9228B" w:rsidRDefault="001B0DB9" w:rsidP="00B36A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Pr="00171FB0">
        <w:rPr>
          <w:rFonts w:ascii="Times New Roman" w:eastAsia="Times New Roman" w:hAnsi="Times New Roman" w:cs="Times New Roman"/>
          <w:sz w:val="24"/>
          <w:szCs w:val="24"/>
        </w:rPr>
        <w:t xml:space="preserve"> DCA </w:t>
      </w:r>
      <w:r>
        <w:rPr>
          <w:rFonts w:ascii="Times New Roman" w:eastAsia="Times New Roman" w:hAnsi="Times New Roman" w:cs="Times New Roman"/>
          <w:sz w:val="24"/>
          <w:szCs w:val="24"/>
        </w:rPr>
        <w:t xml:space="preserve">como Entidad Responsable designada por HUD ha solicitado que la Ciudad de </w:t>
      </w:r>
      <w:r w:rsidRPr="00171FB0">
        <w:rPr>
          <w:rFonts w:ascii="Times New Roman" w:eastAsia="Times New Roman" w:hAnsi="Times New Roman" w:cs="Times New Roman"/>
          <w:sz w:val="24"/>
          <w:szCs w:val="24"/>
        </w:rPr>
        <w:t>Atlantic City</w:t>
      </w:r>
      <w:r>
        <w:rPr>
          <w:rFonts w:ascii="Times New Roman" w:eastAsia="Times New Roman" w:hAnsi="Times New Roman" w:cs="Times New Roman"/>
          <w:sz w:val="24"/>
          <w:szCs w:val="24"/>
        </w:rPr>
        <w:t xml:space="preserve"> lleve a cabo el nivel de revisión ambiental apropiado para evaluar los posibles impactos ambientales asociados con el proyecto de mitigación de inundaciones descrito a continuación. El proyecto no contiene humedales; sin embargo, el proyecto está ubicado dentro de la planicie de inundación correspondiente a 100 años (es decir, una probabilidad anual del uno por ciento). La acción propuesta no contribuiría a ninguna pérdida apreciable con respecto a la capacidad de control de inundaciones</w:t>
      </w:r>
      <w:r w:rsidR="006A6F1B" w:rsidRPr="00A9228B">
        <w:rPr>
          <w:rFonts w:ascii="Times New Roman" w:eastAsia="Times New Roman" w:hAnsi="Times New Roman" w:cs="Times New Roman"/>
          <w:sz w:val="24"/>
          <w:szCs w:val="24"/>
        </w:rPr>
        <w:t>.</w:t>
      </w:r>
    </w:p>
    <w:p w14:paraId="4918A84C" w14:textId="77777777" w:rsidR="00650D90" w:rsidRPr="00A9228B" w:rsidRDefault="00650D90" w:rsidP="00B36A99">
      <w:pPr>
        <w:spacing w:after="0" w:line="240" w:lineRule="auto"/>
        <w:jc w:val="both"/>
        <w:rPr>
          <w:rFonts w:ascii="Times New Roman" w:hAnsi="Times New Roman" w:cs="Times New Roman"/>
          <w:color w:val="FF0000"/>
          <w:sz w:val="24"/>
          <w:szCs w:val="24"/>
        </w:rPr>
      </w:pPr>
    </w:p>
    <w:p w14:paraId="3E00FD7D" w14:textId="554DFEF6" w:rsidR="008050E1" w:rsidRPr="00A9228B" w:rsidRDefault="009C777A" w:rsidP="00B36A9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mejora propuesto incluye la inspección, diseño, y reemplazo de aproximadamente 100 válvulas de retención de aguas de tormenta ubicadas a lo largo de la vía navegable interior de </w:t>
      </w:r>
      <w:proofErr w:type="spellStart"/>
      <w:r w:rsidRPr="00A9228B">
        <w:rPr>
          <w:rFonts w:ascii="Times New Roman" w:eastAsia="Times New Roman" w:hAnsi="Times New Roman" w:cs="Times New Roman"/>
          <w:sz w:val="24"/>
          <w:szCs w:val="24"/>
        </w:rPr>
        <w:t>Thorofare</w:t>
      </w:r>
      <w:proofErr w:type="spellEnd"/>
      <w:r w:rsidRPr="00A92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Pr="00A9228B">
        <w:rPr>
          <w:rFonts w:ascii="Times New Roman" w:eastAsia="Times New Roman" w:hAnsi="Times New Roman" w:cs="Times New Roman"/>
          <w:sz w:val="24"/>
          <w:szCs w:val="24"/>
        </w:rPr>
        <w:t xml:space="preserve"> Atlantic City</w:t>
      </w:r>
      <w:r w:rsidR="008050E1" w:rsidRPr="00A9228B">
        <w:rPr>
          <w:rFonts w:ascii="Times New Roman" w:eastAsia="Times New Roman" w:hAnsi="Times New Roman" w:cs="Times New Roman"/>
          <w:sz w:val="24"/>
          <w:szCs w:val="24"/>
        </w:rPr>
        <w:t xml:space="preserve">. </w:t>
      </w:r>
      <w:r w:rsidR="009024A0">
        <w:rPr>
          <w:rFonts w:ascii="Times New Roman" w:eastAsia="Times New Roman" w:hAnsi="Times New Roman" w:cs="Times New Roman"/>
          <w:sz w:val="24"/>
          <w:szCs w:val="24"/>
        </w:rPr>
        <w:t>La vía navegable</w:t>
      </w:r>
      <w:r w:rsidR="008050E1" w:rsidRPr="00A9228B">
        <w:rPr>
          <w:rFonts w:ascii="Times New Roman" w:eastAsia="Times New Roman" w:hAnsi="Times New Roman" w:cs="Times New Roman"/>
          <w:sz w:val="24"/>
          <w:szCs w:val="24"/>
        </w:rPr>
        <w:t xml:space="preserve"> </w:t>
      </w:r>
      <w:proofErr w:type="spellStart"/>
      <w:r w:rsidR="008050E1" w:rsidRPr="00A9228B">
        <w:rPr>
          <w:rFonts w:ascii="Times New Roman" w:eastAsia="Times New Roman" w:hAnsi="Times New Roman" w:cs="Times New Roman"/>
          <w:sz w:val="24"/>
          <w:szCs w:val="24"/>
        </w:rPr>
        <w:t>Thorofare</w:t>
      </w:r>
      <w:proofErr w:type="spellEnd"/>
      <w:r w:rsidR="008050E1" w:rsidRPr="00A9228B">
        <w:rPr>
          <w:rFonts w:ascii="Times New Roman" w:eastAsia="Times New Roman" w:hAnsi="Times New Roman" w:cs="Times New Roman"/>
          <w:sz w:val="24"/>
          <w:szCs w:val="24"/>
        </w:rPr>
        <w:t xml:space="preserve"> </w:t>
      </w:r>
      <w:r w:rsidR="009024A0">
        <w:rPr>
          <w:rFonts w:ascii="Times New Roman" w:eastAsia="Times New Roman" w:hAnsi="Times New Roman" w:cs="Times New Roman"/>
          <w:sz w:val="24"/>
          <w:szCs w:val="24"/>
        </w:rPr>
        <w:t xml:space="preserve">es un cuerpo de agua de marea que conecta a la Bahía </w:t>
      </w:r>
      <w:proofErr w:type="spellStart"/>
      <w:r w:rsidR="009024A0">
        <w:rPr>
          <w:rFonts w:ascii="Times New Roman" w:eastAsia="Times New Roman" w:hAnsi="Times New Roman" w:cs="Times New Roman"/>
          <w:sz w:val="24"/>
          <w:szCs w:val="24"/>
        </w:rPr>
        <w:t>Absecon</w:t>
      </w:r>
      <w:proofErr w:type="spellEnd"/>
      <w:r w:rsidR="009024A0">
        <w:rPr>
          <w:rFonts w:ascii="Times New Roman" w:eastAsia="Times New Roman" w:hAnsi="Times New Roman" w:cs="Times New Roman"/>
          <w:sz w:val="24"/>
          <w:szCs w:val="24"/>
        </w:rPr>
        <w:t xml:space="preserve"> y la Bahía </w:t>
      </w:r>
      <w:proofErr w:type="spellStart"/>
      <w:r w:rsidR="009024A0">
        <w:rPr>
          <w:rFonts w:ascii="Times New Roman" w:eastAsia="Times New Roman" w:hAnsi="Times New Roman" w:cs="Times New Roman"/>
          <w:sz w:val="24"/>
          <w:szCs w:val="24"/>
        </w:rPr>
        <w:t>Shelter</w:t>
      </w:r>
      <w:proofErr w:type="spellEnd"/>
      <w:r w:rsidR="009024A0">
        <w:rPr>
          <w:rFonts w:ascii="Times New Roman" w:eastAsia="Times New Roman" w:hAnsi="Times New Roman" w:cs="Times New Roman"/>
          <w:sz w:val="24"/>
          <w:szCs w:val="24"/>
        </w:rPr>
        <w:t xml:space="preserve"> Island</w:t>
      </w:r>
      <w:r w:rsidR="008050E1" w:rsidRPr="00A9228B">
        <w:rPr>
          <w:rFonts w:ascii="Times New Roman" w:eastAsia="Times New Roman" w:hAnsi="Times New Roman" w:cs="Times New Roman"/>
          <w:sz w:val="24"/>
          <w:szCs w:val="24"/>
        </w:rPr>
        <w:t xml:space="preserve">. </w:t>
      </w:r>
      <w:r w:rsidR="009024A0">
        <w:rPr>
          <w:rFonts w:ascii="Times New Roman" w:eastAsia="Times New Roman" w:hAnsi="Times New Roman" w:cs="Times New Roman"/>
          <w:sz w:val="24"/>
          <w:szCs w:val="24"/>
        </w:rPr>
        <w:t>En años recientes, la Ciudad ha observado un incremento en las inundaciones en las áreas que utilizan estas válvulas en o cerca de los puntos de descarga posiblemente debido al malfuncionamiento y válvulas de retención rotas.</w:t>
      </w:r>
      <w:r w:rsidR="008050E1" w:rsidRPr="00A9228B">
        <w:rPr>
          <w:rFonts w:ascii="Times New Roman" w:eastAsia="Times New Roman" w:hAnsi="Times New Roman" w:cs="Times New Roman"/>
          <w:sz w:val="24"/>
          <w:szCs w:val="24"/>
        </w:rPr>
        <w:t xml:space="preserve"> </w:t>
      </w:r>
      <w:r w:rsidR="00B94E69">
        <w:rPr>
          <w:rFonts w:ascii="Times New Roman" w:eastAsia="Times New Roman" w:hAnsi="Times New Roman" w:cs="Times New Roman"/>
          <w:sz w:val="24"/>
          <w:szCs w:val="24"/>
        </w:rPr>
        <w:t xml:space="preserve">Todas las válvulas de retención propiedad de la Ciudad están ubicadas en propiedad pública. Toda la propiedad del proyecto está ubicada dentro de la Zona A8 del Área Especial de Riesgo de Inundación como se muestra en los números </w:t>
      </w:r>
      <w:r w:rsidR="00B94E69" w:rsidRPr="00A9228B">
        <w:rPr>
          <w:rFonts w:ascii="Times New Roman" w:eastAsia="Times New Roman" w:hAnsi="Times New Roman" w:cs="Times New Roman"/>
          <w:sz w:val="24"/>
          <w:szCs w:val="24"/>
        </w:rPr>
        <w:t xml:space="preserve">3452780004D </w:t>
      </w:r>
      <w:r w:rsidR="00B94E69">
        <w:rPr>
          <w:rFonts w:ascii="Times New Roman" w:eastAsia="Times New Roman" w:hAnsi="Times New Roman" w:cs="Times New Roman"/>
          <w:sz w:val="24"/>
          <w:szCs w:val="24"/>
        </w:rPr>
        <w:t>de FIRM de FEMA y la Zona V</w:t>
      </w:r>
      <w:proofErr w:type="gramStart"/>
      <w:r w:rsidR="00B94E69">
        <w:rPr>
          <w:rFonts w:ascii="Times New Roman" w:eastAsia="Times New Roman" w:hAnsi="Times New Roman" w:cs="Times New Roman"/>
          <w:sz w:val="24"/>
          <w:szCs w:val="24"/>
        </w:rPr>
        <w:t>10  en</w:t>
      </w:r>
      <w:proofErr w:type="gramEnd"/>
      <w:r w:rsidR="008050E1" w:rsidRPr="00A9228B">
        <w:rPr>
          <w:rFonts w:ascii="Times New Roman" w:eastAsia="Times New Roman" w:hAnsi="Times New Roman" w:cs="Times New Roman"/>
          <w:sz w:val="24"/>
          <w:szCs w:val="24"/>
        </w:rPr>
        <w:t xml:space="preserve"> 3452780005D </w:t>
      </w:r>
      <w:r w:rsidR="00B94E69">
        <w:rPr>
          <w:rFonts w:ascii="Times New Roman" w:eastAsia="Times New Roman" w:hAnsi="Times New Roman" w:cs="Times New Roman"/>
          <w:sz w:val="24"/>
          <w:szCs w:val="24"/>
        </w:rPr>
        <w:t>con fecha el 15 de agosto de</w:t>
      </w:r>
      <w:r w:rsidR="008050E1" w:rsidRPr="00A9228B">
        <w:rPr>
          <w:rFonts w:ascii="Times New Roman" w:eastAsia="Times New Roman" w:hAnsi="Times New Roman" w:cs="Times New Roman"/>
          <w:sz w:val="24"/>
          <w:szCs w:val="24"/>
        </w:rPr>
        <w:t xml:space="preserve"> 1983.</w:t>
      </w:r>
    </w:p>
    <w:p w14:paraId="4918A84E" w14:textId="77777777" w:rsidR="004244C0" w:rsidRPr="00A9228B" w:rsidRDefault="004244C0" w:rsidP="00B36A99">
      <w:pPr>
        <w:spacing w:after="0" w:line="240" w:lineRule="auto"/>
        <w:jc w:val="both"/>
        <w:rPr>
          <w:rFonts w:ascii="Times New Roman" w:eastAsia="Times New Roman" w:hAnsi="Times New Roman" w:cs="Times New Roman"/>
          <w:color w:val="000000" w:themeColor="text1"/>
          <w:sz w:val="24"/>
          <w:szCs w:val="24"/>
        </w:rPr>
      </w:pPr>
    </w:p>
    <w:p w14:paraId="6FCF4805" w14:textId="44BF4F8B" w:rsidR="00E7791F" w:rsidRPr="00A9228B" w:rsidRDefault="00FA404D" w:rsidP="00B36A99">
      <w:pPr>
        <w:spacing w:after="0" w:line="240" w:lineRule="auto"/>
        <w:jc w:val="both"/>
        <w:rPr>
          <w:rFonts w:ascii="Times New Roman" w:hAnsi="Times New Roman" w:cs="Times New Roman"/>
          <w:sz w:val="24"/>
          <w:szCs w:val="24"/>
        </w:rPr>
      </w:pPr>
      <w:r w:rsidRPr="004A4D65">
        <w:rPr>
          <w:rFonts w:ascii="Times New Roman" w:hAnsi="Times New Roman" w:cs="Times New Roman"/>
          <w:sz w:val="24"/>
          <w:szCs w:val="24"/>
        </w:rPr>
        <w:t xml:space="preserve">DCA ha considerado las siguientes alternativas y medidas de mitigación para minimizar los impactos adversos y para restaurar y preservar los valores naturales y beneficiosos: </w:t>
      </w:r>
      <w:r>
        <w:rPr>
          <w:rFonts w:ascii="Times New Roman" w:hAnsi="Times New Roman" w:cs="Times New Roman"/>
          <w:sz w:val="24"/>
          <w:szCs w:val="24"/>
        </w:rPr>
        <w:t>Entre las alternativas estaban</w:t>
      </w:r>
      <w:r w:rsidRPr="004A4D65">
        <w:rPr>
          <w:rFonts w:ascii="Times New Roman" w:hAnsi="Times New Roman" w:cs="Times New Roman"/>
          <w:sz w:val="24"/>
          <w:szCs w:val="24"/>
        </w:rPr>
        <w:t>, (i) re</w:t>
      </w:r>
      <w:r>
        <w:rPr>
          <w:rFonts w:ascii="Times New Roman" w:hAnsi="Times New Roman" w:cs="Times New Roman"/>
          <w:sz w:val="24"/>
          <w:szCs w:val="24"/>
        </w:rPr>
        <w:t>ubicar el proyecto fuera de la planicie de inundación</w:t>
      </w:r>
      <w:r w:rsidRPr="004A4D65">
        <w:rPr>
          <w:rFonts w:ascii="Times New Roman" w:hAnsi="Times New Roman" w:cs="Times New Roman"/>
          <w:sz w:val="24"/>
          <w:szCs w:val="24"/>
        </w:rPr>
        <w:t>, (</w:t>
      </w:r>
      <w:proofErr w:type="spellStart"/>
      <w:r w:rsidRPr="004A4D65">
        <w:rPr>
          <w:rFonts w:ascii="Times New Roman" w:hAnsi="Times New Roman" w:cs="Times New Roman"/>
          <w:sz w:val="24"/>
          <w:szCs w:val="24"/>
        </w:rPr>
        <w:t>ii</w:t>
      </w:r>
      <w:proofErr w:type="spellEnd"/>
      <w:r w:rsidRPr="004A4D65">
        <w:rPr>
          <w:rFonts w:ascii="Times New Roman" w:hAnsi="Times New Roman" w:cs="Times New Roman"/>
          <w:sz w:val="24"/>
          <w:szCs w:val="24"/>
        </w:rPr>
        <w:t>) n</w:t>
      </w:r>
      <w:r>
        <w:rPr>
          <w:rFonts w:ascii="Times New Roman" w:hAnsi="Times New Roman" w:cs="Times New Roman"/>
          <w:sz w:val="24"/>
          <w:szCs w:val="24"/>
        </w:rPr>
        <w:t>o realizar el proyecto en absoluto</w:t>
      </w:r>
      <w:r w:rsidRPr="004A4D65">
        <w:rPr>
          <w:rFonts w:ascii="Times New Roman" w:hAnsi="Times New Roman" w:cs="Times New Roman"/>
          <w:sz w:val="24"/>
          <w:szCs w:val="24"/>
        </w:rPr>
        <w:t xml:space="preserve"> (No A</w:t>
      </w:r>
      <w:r>
        <w:rPr>
          <w:rFonts w:ascii="Times New Roman" w:hAnsi="Times New Roman" w:cs="Times New Roman"/>
          <w:sz w:val="24"/>
          <w:szCs w:val="24"/>
        </w:rPr>
        <w:t>cción</w:t>
      </w:r>
      <w:r w:rsidRPr="004A4D65">
        <w:rPr>
          <w:rFonts w:ascii="Times New Roman" w:hAnsi="Times New Roman" w:cs="Times New Roman"/>
          <w:sz w:val="24"/>
          <w:szCs w:val="24"/>
        </w:rPr>
        <w:t xml:space="preserve">) </w:t>
      </w:r>
      <w:r>
        <w:rPr>
          <w:rFonts w:ascii="Times New Roman" w:hAnsi="Times New Roman" w:cs="Times New Roman"/>
          <w:sz w:val="24"/>
          <w:szCs w:val="24"/>
        </w:rPr>
        <w:t>y</w:t>
      </w:r>
      <w:r w:rsidRPr="004A4D65">
        <w:rPr>
          <w:rFonts w:ascii="Times New Roman" w:hAnsi="Times New Roman" w:cs="Times New Roman"/>
          <w:sz w:val="24"/>
          <w:szCs w:val="24"/>
        </w:rPr>
        <w:t xml:space="preserve"> (</w:t>
      </w:r>
      <w:proofErr w:type="spellStart"/>
      <w:r w:rsidRPr="004A4D65">
        <w:rPr>
          <w:rFonts w:ascii="Times New Roman" w:hAnsi="Times New Roman" w:cs="Times New Roman"/>
          <w:sz w:val="24"/>
          <w:szCs w:val="24"/>
        </w:rPr>
        <w:t>iii</w:t>
      </w:r>
      <w:proofErr w:type="spellEnd"/>
      <w:r w:rsidRPr="004A4D65">
        <w:rPr>
          <w:rFonts w:ascii="Times New Roman" w:hAnsi="Times New Roman" w:cs="Times New Roman"/>
          <w:sz w:val="24"/>
          <w:szCs w:val="24"/>
        </w:rPr>
        <w:t xml:space="preserve">) </w:t>
      </w:r>
      <w:r>
        <w:rPr>
          <w:rFonts w:ascii="Times New Roman" w:hAnsi="Times New Roman" w:cs="Times New Roman"/>
          <w:sz w:val="24"/>
          <w:szCs w:val="24"/>
        </w:rPr>
        <w:t>realizar el proyecto según lo propuesto</w:t>
      </w:r>
      <w:r w:rsidR="003F4322" w:rsidRPr="00A9228B">
        <w:rPr>
          <w:rFonts w:ascii="Times New Roman" w:hAnsi="Times New Roman" w:cs="Times New Roman"/>
          <w:sz w:val="24"/>
          <w:szCs w:val="24"/>
        </w:rPr>
        <w:t xml:space="preserve">. </w:t>
      </w:r>
    </w:p>
    <w:p w14:paraId="2C00F99E" w14:textId="3C74E203" w:rsidR="00E7791F" w:rsidRPr="00A9228B" w:rsidRDefault="00E7791F" w:rsidP="00B36A99">
      <w:pPr>
        <w:spacing w:after="0" w:line="240" w:lineRule="auto"/>
        <w:jc w:val="both"/>
        <w:rPr>
          <w:rFonts w:ascii="Times New Roman" w:hAnsi="Times New Roman" w:cs="Times New Roman"/>
          <w:sz w:val="24"/>
          <w:szCs w:val="24"/>
        </w:rPr>
      </w:pPr>
    </w:p>
    <w:p w14:paraId="60B996C0" w14:textId="371A284F" w:rsidR="00E7791F" w:rsidRPr="00A9228B" w:rsidRDefault="00263EC9" w:rsidP="00B36A99">
      <w:pPr>
        <w:pStyle w:val="ListParagraph"/>
        <w:numPr>
          <w:ilvl w:val="0"/>
          <w:numId w:val="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Gran parte de la Ciudad está ubicada dentro de la planicie de inundación costera de alto riesgo y el proyecto está situado en un área densamente urbanizada. Consecuentemente, no hay alternativa para reubicar el proyecto fuera de la planicie de inundación correspondiente a 100 años. </w:t>
      </w:r>
    </w:p>
    <w:p w14:paraId="3174D9B3" w14:textId="103941F2" w:rsidR="008050E1" w:rsidRPr="00A9228B" w:rsidRDefault="00C918D2" w:rsidP="00B36A99">
      <w:pPr>
        <w:pStyle w:val="ListParagraph"/>
        <w:numPr>
          <w:ilvl w:val="0"/>
          <w:numId w:val="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La alternativa de no acción fue considerada y rechazada debido a que no tomar ninguna acción permitiría que las válvulas de retención continúen deteriorándose y estarían </w:t>
      </w:r>
      <w:r>
        <w:rPr>
          <w:rFonts w:ascii="Times New Roman" w:hAnsi="Times New Roman" w:cs="Times New Roman"/>
          <w:sz w:val="24"/>
          <w:szCs w:val="24"/>
        </w:rPr>
        <w:lastRenderedPageBreak/>
        <w:t xml:space="preserve">expuestas a los impactos de eventos de inundación. Un aumento de las inundaciones sería esperado como resultado del mal funcionamiento y o válvulas de retención rotas. </w:t>
      </w:r>
    </w:p>
    <w:p w14:paraId="249EA4F6" w14:textId="177FE9D7" w:rsidR="001B780A" w:rsidRPr="00A9228B" w:rsidRDefault="004602AB" w:rsidP="00B36A99">
      <w:pPr>
        <w:pStyle w:val="ListParagraph"/>
        <w:numPr>
          <w:ilvl w:val="0"/>
          <w:numId w:val="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Realizar el proyecto como se propone no tendría ningún impacto adverso en el nivel de inundación, riesgo de inundación o el flujo de las aguas de inundación. El proyecto propuesto abordaría la necesidad de inspeccionar las válvulas y reparar y reemplazar según sea necesario. </w:t>
      </w:r>
    </w:p>
    <w:p w14:paraId="4918A850" w14:textId="77777777" w:rsidR="004244C0" w:rsidRPr="00A9228B" w:rsidRDefault="004244C0" w:rsidP="00B36A99">
      <w:pPr>
        <w:spacing w:after="0" w:line="240" w:lineRule="auto"/>
        <w:jc w:val="both"/>
        <w:rPr>
          <w:rFonts w:ascii="Times New Roman" w:hAnsi="Times New Roman" w:cs="Times New Roman"/>
          <w:sz w:val="24"/>
          <w:szCs w:val="24"/>
        </w:rPr>
      </w:pPr>
    </w:p>
    <w:p w14:paraId="4918A851" w14:textId="688E6548" w:rsidR="004244C0" w:rsidRPr="00A9228B" w:rsidRDefault="00DE0AF7" w:rsidP="00B36A99">
      <w:pPr>
        <w:spacing w:after="0" w:line="240" w:lineRule="auto"/>
        <w:jc w:val="both"/>
        <w:rPr>
          <w:rFonts w:ascii="Times New Roman" w:hAnsi="Times New Roman" w:cs="Times New Roman"/>
          <w:b/>
          <w:sz w:val="24"/>
          <w:szCs w:val="24"/>
        </w:rPr>
      </w:pPr>
      <w:r w:rsidRPr="00555550">
        <w:rPr>
          <w:rFonts w:ascii="Times New Roman" w:hAnsi="Times New Roman" w:cs="Times New Roman"/>
          <w:sz w:val="24"/>
          <w:szCs w:val="24"/>
        </w:rPr>
        <w:t>DCA ha reevaluado las alternativas para construir en la planicie de inundación y ha determinado que no tiene otra alternativa viable. Los archivos ambientales que documentan el cumplimiento con los pasos del 3 al 6 de las Orden Ejecutiva 11988, están disponibles para inspección pública, revisión y copia bajo solicitud en el momento y lugar descrito en la sección de Comentarios Púbicos de este aviso</w:t>
      </w:r>
      <w:r w:rsidR="004244C0" w:rsidRPr="00A9228B">
        <w:rPr>
          <w:rFonts w:ascii="Times New Roman" w:hAnsi="Times New Roman" w:cs="Times New Roman"/>
          <w:sz w:val="24"/>
          <w:szCs w:val="24"/>
        </w:rPr>
        <w:t xml:space="preserve">.  </w:t>
      </w:r>
    </w:p>
    <w:p w14:paraId="4918A852" w14:textId="77777777" w:rsidR="004244C0" w:rsidRPr="00A9228B" w:rsidRDefault="004244C0" w:rsidP="00B36A99">
      <w:pPr>
        <w:spacing w:after="0" w:line="240" w:lineRule="auto"/>
        <w:jc w:val="both"/>
        <w:rPr>
          <w:rFonts w:ascii="Times New Roman" w:hAnsi="Times New Roman" w:cs="Times New Roman"/>
          <w:sz w:val="24"/>
          <w:szCs w:val="24"/>
        </w:rPr>
      </w:pPr>
    </w:p>
    <w:p w14:paraId="4918A853" w14:textId="507F5364" w:rsidR="004244C0" w:rsidRPr="00A9228B" w:rsidRDefault="00535399" w:rsidP="00B36A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Hay tres propósitos principales para este aviso. Primero, las personas que pueden verse afectadas por las actividades en las planicies de inundación y aquellos que tienen un interés en la protección del medio ambiente natural se les debe de dar la oportunidad de expresar sus inquietudes y proporcionar información acerca de estas áreas. En segundo lugar, un programa adecuado de avisos públicos puede ser una herramienta educativa pública importante. La difusión de información y el pedido de opiniones públicas acerca de las planicies de inundación pueden facilitar y mejorar los esfuerzos Federales para reducir los riesgos e impactos asociados con la ocupación y modificación de estas áreas especiales. En tercer lugar, como una cuestión de justicia, cuando el gobierno Federal determina que participará en acciones que tienen lugar en las planicies de inundación, debe informar a aquellos que puedan ponerse en riesgos mayores o continuos</w:t>
      </w:r>
      <w:r w:rsidR="004244C0" w:rsidRPr="00A9228B">
        <w:rPr>
          <w:rFonts w:ascii="Times New Roman" w:hAnsi="Times New Roman" w:cs="Times New Roman"/>
          <w:sz w:val="24"/>
          <w:szCs w:val="24"/>
        </w:rPr>
        <w:t>.</w:t>
      </w:r>
    </w:p>
    <w:p w14:paraId="3E66C5EC" w14:textId="77777777" w:rsidR="008A7B76" w:rsidRPr="00C51CA2" w:rsidRDefault="008A7B76" w:rsidP="00B36A99">
      <w:pPr>
        <w:spacing w:before="100" w:beforeAutospacing="1" w:after="100" w:afterAutospacing="1" w:line="240" w:lineRule="auto"/>
        <w:rPr>
          <w:rFonts w:ascii="Times New Roman" w:eastAsia="Times New Roman" w:hAnsi="Times New Roman" w:cs="Times New Roman"/>
          <w:b/>
          <w:bCs/>
          <w:color w:val="000000"/>
          <w:sz w:val="24"/>
          <w:szCs w:val="24"/>
          <w:lang w:eastAsia="es-MX"/>
        </w:rPr>
      </w:pPr>
      <w:r w:rsidRPr="00C51CA2">
        <w:rPr>
          <w:rFonts w:ascii="Times New Roman" w:eastAsia="Times New Roman" w:hAnsi="Times New Roman" w:cs="Times New Roman"/>
          <w:b/>
          <w:bCs/>
          <w:color w:val="000000"/>
          <w:sz w:val="24"/>
          <w:szCs w:val="24"/>
          <w:lang w:eastAsia="es-MX"/>
        </w:rPr>
        <w:t>COMENTARIOS PÚBLICOS</w:t>
      </w:r>
    </w:p>
    <w:p w14:paraId="07C3C0A2" w14:textId="4C8E319B" w:rsidR="008A7B76" w:rsidRPr="008770FE" w:rsidRDefault="008A7B76" w:rsidP="00B36A99">
      <w:pPr>
        <w:spacing w:after="0" w:line="240" w:lineRule="auto"/>
        <w:jc w:val="both"/>
        <w:rPr>
          <w:rFonts w:ascii="Times New Roman" w:eastAsia="Times New Roman" w:hAnsi="Times New Roman" w:cs="Times New Roman"/>
          <w:color w:val="000000"/>
          <w:sz w:val="24"/>
          <w:szCs w:val="24"/>
        </w:rPr>
      </w:pPr>
      <w:r w:rsidRPr="004A4D65">
        <w:rPr>
          <w:rFonts w:ascii="Times New Roman" w:eastAsia="Times New Roman" w:hAnsi="Times New Roman" w:cs="Times New Roman"/>
          <w:sz w:val="24"/>
          <w:szCs w:val="24"/>
        </w:rPr>
        <w:t xml:space="preserve">Cualquier individuo, grupo o agencia que no esté de acuerdo con esta determinación o que deseen hacer comentarios sobre este proyecto puede enviar sus comentarios por escrito a </w:t>
      </w:r>
      <w:r w:rsidRPr="004A4D65">
        <w:rPr>
          <w:rFonts w:ascii="Times New Roman" w:eastAsia="Times New Roman" w:hAnsi="Times New Roman" w:cs="Times New Roman"/>
          <w:color w:val="000000"/>
          <w:sz w:val="24"/>
          <w:szCs w:val="24"/>
        </w:rPr>
        <w:t xml:space="preserve">Samuel Viavattine, Director de la División de Recuperación de Sandy, Departamento de Asuntos comunitarios de New Jersey, 101 South Broad Street, PO Box 800, Trenton, NJ 08625-0800 o por internet en </w:t>
      </w:r>
      <w:r w:rsidRPr="004A4D65">
        <w:rPr>
          <w:rFonts w:ascii="Times New Roman" w:hAnsi="Times New Roman" w:cs="Times New Roman"/>
          <w:color w:val="000000" w:themeColor="text1"/>
          <w:sz w:val="24"/>
          <w:szCs w:val="24"/>
        </w:rPr>
        <w:t xml:space="preserve">http://www.nj.gov/dca/divisions/sandyrecovery/review/ </w:t>
      </w:r>
      <w:r w:rsidRPr="004A4D65">
        <w:rPr>
          <w:rFonts w:ascii="Times New Roman" w:hAnsi="Times New Roman" w:cs="Times New Roman"/>
          <w:color w:val="000000"/>
          <w:sz w:val="24"/>
          <w:szCs w:val="24"/>
        </w:rPr>
        <w:t xml:space="preserve">y a </w:t>
      </w:r>
      <w:proofErr w:type="spellStart"/>
      <w:r w:rsidRPr="004A4D65">
        <w:rPr>
          <w:rFonts w:ascii="Times New Roman" w:hAnsi="Times New Roman" w:cs="Times New Roman"/>
          <w:color w:val="000000"/>
          <w:sz w:val="24"/>
          <w:szCs w:val="24"/>
        </w:rPr>
        <w:t>Tennille</w:t>
      </w:r>
      <w:proofErr w:type="spellEnd"/>
      <w:r w:rsidRPr="004A4D65">
        <w:rPr>
          <w:rFonts w:ascii="Times New Roman" w:hAnsi="Times New Roman" w:cs="Times New Roman"/>
          <w:color w:val="000000"/>
          <w:sz w:val="24"/>
          <w:szCs w:val="24"/>
        </w:rPr>
        <w:t xml:space="preserve"> Smith Parker, DRS, Director Interino de la División, HUD, 451 </w:t>
      </w:r>
      <w:proofErr w:type="spellStart"/>
      <w:r w:rsidRPr="004A4D65">
        <w:rPr>
          <w:rFonts w:ascii="Times New Roman" w:hAnsi="Times New Roman" w:cs="Times New Roman"/>
          <w:color w:val="000000"/>
          <w:sz w:val="24"/>
          <w:szCs w:val="24"/>
        </w:rPr>
        <w:t>Seventh</w:t>
      </w:r>
      <w:proofErr w:type="spellEnd"/>
      <w:r w:rsidRPr="004A4D65">
        <w:rPr>
          <w:rFonts w:ascii="Times New Roman" w:hAnsi="Times New Roman" w:cs="Times New Roman"/>
          <w:color w:val="000000"/>
          <w:sz w:val="24"/>
          <w:szCs w:val="24"/>
        </w:rPr>
        <w:t xml:space="preserve"> Street SW, Washington, D.C. 20410</w:t>
      </w:r>
      <w:r w:rsidRPr="004A4D65">
        <w:rPr>
          <w:rFonts w:ascii="Times New Roman" w:hAnsi="Times New Roman" w:cs="Times New Roman"/>
          <w:color w:val="000000" w:themeColor="text1"/>
          <w:sz w:val="24"/>
          <w:szCs w:val="24"/>
        </w:rPr>
        <w:t xml:space="preserve">.  </w:t>
      </w:r>
      <w:r w:rsidRPr="004A4D65">
        <w:rPr>
          <w:rFonts w:ascii="Times New Roman" w:hAnsi="Times New Roman" w:cs="Times New Roman"/>
          <w:sz w:val="24"/>
          <w:szCs w:val="24"/>
        </w:rPr>
        <w:t xml:space="preserve">Todos los comentarios recibidos antes del </w:t>
      </w:r>
      <w:r w:rsidR="0004030D">
        <w:rPr>
          <w:rFonts w:ascii="Times New Roman" w:hAnsi="Times New Roman" w:cs="Times New Roman"/>
          <w:sz w:val="24"/>
          <w:szCs w:val="24"/>
        </w:rPr>
        <w:t>26</w:t>
      </w:r>
      <w:r>
        <w:rPr>
          <w:rFonts w:ascii="Times New Roman" w:eastAsia="Times New Roman" w:hAnsi="Times New Roman" w:cs="Times New Roman"/>
          <w:sz w:val="24"/>
          <w:szCs w:val="24"/>
        </w:rPr>
        <w:t xml:space="preserve"> de octubre de</w:t>
      </w:r>
      <w:r w:rsidRPr="008770FE">
        <w:rPr>
          <w:rFonts w:ascii="Times New Roman" w:eastAsia="Times New Roman" w:hAnsi="Times New Roman" w:cs="Times New Roman"/>
          <w:sz w:val="24"/>
          <w:szCs w:val="24"/>
        </w:rPr>
        <w:t xml:space="preserve"> 2020, </w:t>
      </w:r>
      <w:r>
        <w:rPr>
          <w:rFonts w:ascii="Times New Roman" w:eastAsia="Times New Roman" w:hAnsi="Times New Roman" w:cs="Times New Roman"/>
          <w:sz w:val="24"/>
          <w:szCs w:val="24"/>
        </w:rPr>
        <w:t>o siete</w:t>
      </w:r>
      <w:r w:rsidRPr="008770FE">
        <w:rPr>
          <w:rFonts w:ascii="Times New Roman" w:eastAsia="Times New Roman" w:hAnsi="Times New Roman" w:cs="Times New Roman"/>
          <w:sz w:val="24"/>
          <w:szCs w:val="24"/>
        </w:rPr>
        <w:t xml:space="preserve"> (7) </w:t>
      </w:r>
      <w:r w:rsidRPr="004A4D65">
        <w:rPr>
          <w:rFonts w:ascii="Times New Roman" w:eastAsia="Times New Roman" w:hAnsi="Times New Roman" w:cs="Times New Roman"/>
          <w:sz w:val="24"/>
          <w:szCs w:val="24"/>
        </w:rPr>
        <w:t>días a partir de la fecha efectiva de publicación, la que sea posterior, será considerado por DCA. Los comentarios deben especificar cuál aviso están abordando</w:t>
      </w:r>
      <w:r w:rsidRPr="004A4D65">
        <w:rPr>
          <w:rFonts w:ascii="Times New Roman" w:eastAsia="Times New Roman" w:hAnsi="Times New Roman" w:cs="Times New Roman"/>
          <w:color w:val="000000"/>
          <w:sz w:val="24"/>
          <w:szCs w:val="24"/>
        </w:rPr>
        <w:t>.</w:t>
      </w:r>
      <w:r w:rsidRPr="008770FE">
        <w:rPr>
          <w:rFonts w:ascii="Times New Roman" w:eastAsia="Times New Roman" w:hAnsi="Times New Roman" w:cs="Times New Roman"/>
          <w:color w:val="000000"/>
          <w:sz w:val="24"/>
          <w:szCs w:val="24"/>
        </w:rPr>
        <w:t xml:space="preserve"> </w:t>
      </w:r>
    </w:p>
    <w:p w14:paraId="2D6EEA40" w14:textId="77777777" w:rsidR="00303651" w:rsidRDefault="00303651" w:rsidP="00B36A99">
      <w:pPr>
        <w:spacing w:before="100" w:beforeAutospacing="1" w:after="100" w:afterAutospacing="1" w:line="240" w:lineRule="auto"/>
        <w:rPr>
          <w:rFonts w:ascii="Times New Roman" w:eastAsia="Times New Roman" w:hAnsi="Times New Roman" w:cs="Times New Roman"/>
          <w:b/>
          <w:bCs/>
          <w:color w:val="000000"/>
          <w:sz w:val="24"/>
          <w:szCs w:val="24"/>
        </w:rPr>
      </w:pPr>
      <w:r w:rsidRPr="00C51CA2">
        <w:rPr>
          <w:rFonts w:ascii="Times New Roman" w:eastAsia="Times New Roman" w:hAnsi="Times New Roman" w:cs="Times New Roman"/>
          <w:b/>
          <w:bCs/>
          <w:color w:val="000000"/>
          <w:sz w:val="24"/>
          <w:szCs w:val="24"/>
        </w:rPr>
        <w:t>CERTIFICACIÓN AMBIENTAL</w:t>
      </w:r>
    </w:p>
    <w:p w14:paraId="4918A857" w14:textId="696B06D5" w:rsidR="00A27C40" w:rsidRPr="00A9228B" w:rsidRDefault="00303651" w:rsidP="00B36A99">
      <w:pPr>
        <w:spacing w:after="0" w:line="240" w:lineRule="auto"/>
        <w:jc w:val="both"/>
        <w:rPr>
          <w:rFonts w:ascii="Times New Roman" w:eastAsia="Times New Roman" w:hAnsi="Times New Roman" w:cs="Times New Roman"/>
          <w:color w:val="000000"/>
          <w:sz w:val="24"/>
          <w:szCs w:val="24"/>
        </w:rPr>
      </w:pPr>
      <w:r w:rsidRPr="004A4D65">
        <w:rPr>
          <w:rFonts w:ascii="Times New Roman" w:eastAsia="Times New Roman" w:hAnsi="Times New Roman" w:cs="Times New Roman"/>
          <w:sz w:val="24"/>
          <w:szCs w:val="24"/>
        </w:rPr>
        <w:t xml:space="preserve">El DCA certifica a HUD que </w:t>
      </w:r>
      <w:r w:rsidRPr="004A4D65">
        <w:rPr>
          <w:rFonts w:ascii="Times New Roman" w:eastAsia="Times New Roman" w:hAnsi="Times New Roman" w:cs="Times New Roman"/>
          <w:color w:val="000000"/>
          <w:sz w:val="24"/>
          <w:szCs w:val="24"/>
        </w:rPr>
        <w:t xml:space="preserve">Samuel Viavattine, en su capacidad de Oficial Certificador </w:t>
      </w:r>
      <w:r w:rsidRPr="004A4D65">
        <w:rPr>
          <w:rFonts w:ascii="Times New Roman" w:eastAsia="Times New Roman" w:hAnsi="Times New Roman" w:cs="Times New Roman"/>
          <w:sz w:val="24"/>
          <w:szCs w:val="24"/>
        </w:rPr>
        <w:t>da su consentimiento para aceptar la jurisdicción de la Corte Federal si una acción es llevada para hacer cumplir las responsabilidades en relación con el proceso de revisión ambiental y que estas responsabilidades han sido satisfechas</w:t>
      </w:r>
      <w:r w:rsidRPr="004A4D65">
        <w:rPr>
          <w:rFonts w:ascii="Times New Roman" w:eastAsia="Times New Roman" w:hAnsi="Times New Roman" w:cs="Times New Roman"/>
          <w:color w:val="000000"/>
          <w:sz w:val="24"/>
          <w:szCs w:val="24"/>
        </w:rPr>
        <w:t xml:space="preserve">. </w:t>
      </w:r>
      <w:r w:rsidRPr="004A4D65">
        <w:rPr>
          <w:rFonts w:ascii="Times New Roman" w:eastAsia="Times New Roman" w:hAnsi="Times New Roman" w:cs="Times New Roman"/>
          <w:sz w:val="24"/>
          <w:szCs w:val="24"/>
        </w:rPr>
        <w:t>La aprobación de HUD de la certificación cumple con sus responsabilidades bajo la Ley Nacional de Política Ambiental, las leyes relacionadas y las autoridades y permite al DCA utilizar los fondos de CDBG-DR</w:t>
      </w:r>
      <w:r w:rsidR="00A27C40" w:rsidRPr="00A9228B">
        <w:rPr>
          <w:rFonts w:ascii="Times New Roman" w:eastAsia="Times New Roman" w:hAnsi="Times New Roman" w:cs="Times New Roman"/>
          <w:color w:val="000000"/>
          <w:sz w:val="24"/>
          <w:szCs w:val="24"/>
        </w:rPr>
        <w:t xml:space="preserve">. </w:t>
      </w:r>
    </w:p>
    <w:p w14:paraId="770E3F70" w14:textId="77777777" w:rsidR="0004030D" w:rsidRDefault="0004030D">
      <w:pPr>
        <w:rPr>
          <w:rFonts w:ascii="Times New Roman" w:eastAsia="Times New Roman" w:hAnsi="Times New Roman" w:cs="Times New Roman"/>
          <w:b/>
          <w:bCs/>
          <w:color w:val="000000"/>
          <w:sz w:val="24"/>
          <w:szCs w:val="24"/>
          <w:lang w:eastAsia="es-MX"/>
        </w:rPr>
      </w:pPr>
      <w:r>
        <w:rPr>
          <w:rFonts w:ascii="Times New Roman" w:eastAsia="Times New Roman" w:hAnsi="Times New Roman" w:cs="Times New Roman"/>
          <w:b/>
          <w:bCs/>
          <w:color w:val="000000"/>
          <w:sz w:val="24"/>
          <w:szCs w:val="24"/>
          <w:lang w:eastAsia="es-MX"/>
        </w:rPr>
        <w:br w:type="page"/>
      </w:r>
    </w:p>
    <w:p w14:paraId="0DE746B7" w14:textId="0611E1C0" w:rsidR="00A24DF9" w:rsidRPr="00C51CA2" w:rsidRDefault="00A24DF9" w:rsidP="00B36A99">
      <w:pPr>
        <w:spacing w:before="100" w:beforeAutospacing="1" w:after="100" w:afterAutospacing="1" w:line="240" w:lineRule="auto"/>
        <w:rPr>
          <w:rFonts w:ascii="Times New Roman" w:eastAsia="Times New Roman" w:hAnsi="Times New Roman" w:cs="Times New Roman"/>
          <w:b/>
          <w:bCs/>
          <w:color w:val="000000"/>
          <w:sz w:val="24"/>
          <w:szCs w:val="24"/>
        </w:rPr>
      </w:pPr>
      <w:r w:rsidRPr="00C51CA2">
        <w:rPr>
          <w:rFonts w:ascii="Times New Roman" w:eastAsia="Times New Roman" w:hAnsi="Times New Roman" w:cs="Times New Roman"/>
          <w:b/>
          <w:bCs/>
          <w:color w:val="000000"/>
          <w:sz w:val="24"/>
          <w:szCs w:val="24"/>
          <w:lang w:eastAsia="es-MX"/>
        </w:rPr>
        <w:lastRenderedPageBreak/>
        <w:t>OBJECIONES PARA LA LIBERACIÓN DE FONDOS</w:t>
      </w:r>
    </w:p>
    <w:p w14:paraId="7C908543" w14:textId="77777777" w:rsidR="00A24DF9" w:rsidRPr="004A4D65" w:rsidRDefault="00A24DF9" w:rsidP="00B36A99">
      <w:pPr>
        <w:spacing w:after="0" w:line="240" w:lineRule="auto"/>
        <w:jc w:val="both"/>
        <w:rPr>
          <w:rFonts w:ascii="Times New Roman" w:eastAsia="Times New Roman" w:hAnsi="Times New Roman" w:cs="Times New Roman"/>
          <w:color w:val="000000"/>
          <w:sz w:val="24"/>
          <w:szCs w:val="24"/>
        </w:rPr>
      </w:pPr>
      <w:r w:rsidRPr="004A4D65">
        <w:rPr>
          <w:rFonts w:ascii="Times New Roman" w:eastAsia="Times New Roman" w:hAnsi="Times New Roman" w:cs="Times New Roman"/>
          <w:sz w:val="24"/>
          <w:szCs w:val="24"/>
        </w:rPr>
        <w:t>HUD aceptará objeciones a su liberación de fondos y a la certificación del DCA por un periodo de</w:t>
      </w:r>
      <w:r w:rsidRPr="004A4D65">
        <w:rPr>
          <w:rFonts w:ascii="Times New Roman" w:eastAsia="Times New Roman" w:hAnsi="Times New Roman" w:cs="Times New Roman"/>
          <w:color w:val="000000"/>
          <w:sz w:val="24"/>
          <w:szCs w:val="24"/>
        </w:rPr>
        <w:t xml:space="preserve"> quince (15) </w:t>
      </w:r>
      <w:r w:rsidRPr="004A4D65">
        <w:rPr>
          <w:rFonts w:ascii="Times New Roman" w:eastAsia="Times New Roman" w:hAnsi="Times New Roman" w:cs="Times New Roman"/>
          <w:sz w:val="24"/>
          <w:szCs w:val="24"/>
        </w:rPr>
        <w:t>días después de la fecha de entrega prevista o de que se reciba la solicitud (la que fuera posterior) únicamente si estas se dan sobre las siguientes bases</w:t>
      </w:r>
      <w:r w:rsidRPr="004A4D65">
        <w:rPr>
          <w:rFonts w:ascii="Times New Roman" w:eastAsia="Times New Roman" w:hAnsi="Times New Roman" w:cs="Times New Roman"/>
          <w:color w:val="000000"/>
          <w:sz w:val="24"/>
          <w:szCs w:val="24"/>
        </w:rPr>
        <w:t xml:space="preserve">: (a) </w:t>
      </w:r>
      <w:r w:rsidRPr="004A4D65">
        <w:rPr>
          <w:rFonts w:ascii="Times New Roman" w:eastAsia="Times New Roman" w:hAnsi="Times New Roman" w:cs="Times New Roman"/>
          <w:sz w:val="24"/>
          <w:szCs w:val="24"/>
        </w:rPr>
        <w:t>la certificación no fue ejecutada por el Oficial Certificador del DCA</w:t>
      </w:r>
      <w:r w:rsidRPr="004A4D65">
        <w:rPr>
          <w:rFonts w:ascii="Times New Roman" w:eastAsia="Times New Roman" w:hAnsi="Times New Roman" w:cs="Times New Roman"/>
          <w:color w:val="000000"/>
          <w:sz w:val="24"/>
          <w:szCs w:val="24"/>
        </w:rPr>
        <w:t xml:space="preserve">; (b) </w:t>
      </w:r>
      <w:r w:rsidRPr="004A4D65">
        <w:rPr>
          <w:rFonts w:ascii="Times New Roman" w:eastAsia="Times New Roman" w:hAnsi="Times New Roman" w:cs="Times New Roman"/>
          <w:sz w:val="24"/>
          <w:szCs w:val="24"/>
        </w:rPr>
        <w:t>el DCA ha omitido un paso o no ha podido tomar una decisión o considerar un resultado exigido por las regulaciones de HUD en el Título 24 de CFR Parte 58</w:t>
      </w:r>
      <w:r w:rsidRPr="004A4D65">
        <w:rPr>
          <w:rFonts w:ascii="Times New Roman" w:eastAsia="Times New Roman" w:hAnsi="Times New Roman" w:cs="Times New Roman"/>
          <w:color w:val="000000"/>
          <w:sz w:val="24"/>
          <w:szCs w:val="24"/>
        </w:rPr>
        <w:t xml:space="preserve">; (c) </w:t>
      </w:r>
      <w:r w:rsidRPr="004A4D65">
        <w:rPr>
          <w:rFonts w:ascii="Times New Roman" w:eastAsia="Times New Roman" w:hAnsi="Times New Roman" w:cs="Times New Roman"/>
          <w:sz w:val="24"/>
          <w:szCs w:val="24"/>
        </w:rPr>
        <w:t>el beneficiario de la subvención ha comprometido fondos o ha incurrido en gastos no autorizados por el Título 24 de CFR Parte 58 antes de la aprobación de la liberación de los fondos por HUD;</w:t>
      </w:r>
      <w:r w:rsidRPr="004A4D65">
        <w:rPr>
          <w:rFonts w:ascii="Times New Roman" w:eastAsia="Times New Roman" w:hAnsi="Times New Roman" w:cs="Times New Roman"/>
          <w:color w:val="000000"/>
          <w:sz w:val="24"/>
          <w:szCs w:val="24"/>
        </w:rPr>
        <w:t xml:space="preserve"> o (d) </w:t>
      </w:r>
      <w:r w:rsidRPr="004A4D65">
        <w:rPr>
          <w:rFonts w:ascii="Times New Roman" w:eastAsia="Times New Roman" w:hAnsi="Times New Roman" w:cs="Times New Roman"/>
          <w:sz w:val="24"/>
          <w:szCs w:val="24"/>
        </w:rPr>
        <w:t>otra Agencia Federal, actuando en virtud del Título 40 de CFR Parte 1504, ha presentado una decisión escrita que el proyecto</w:t>
      </w:r>
      <w:r w:rsidRPr="004A4D65">
        <w:rPr>
          <w:rFonts w:ascii="Times New Roman" w:eastAsia="Times New Roman" w:hAnsi="Times New Roman" w:cs="Times New Roman"/>
          <w:color w:val="000000"/>
          <w:sz w:val="24"/>
          <w:szCs w:val="24"/>
        </w:rPr>
        <w:t xml:space="preserve"> no es satisfactorio desde el punto de vista de calidad ambiental. Las objeciones deben prepararse y presentarse de conformidad con los procedimientos requeridos (Título 24 de CFR Parte 58.76) y deben dirigirse a</w:t>
      </w:r>
      <w:r w:rsidRPr="004A4D65">
        <w:rPr>
          <w:rFonts w:ascii="Times New Roman" w:eastAsia="Times New Roman" w:hAnsi="Times New Roman" w:cs="Times New Roman"/>
          <w:sz w:val="24"/>
          <w:szCs w:val="24"/>
        </w:rPr>
        <w:t xml:space="preserve"> </w:t>
      </w:r>
      <w:proofErr w:type="spellStart"/>
      <w:r w:rsidRPr="004A4D65">
        <w:rPr>
          <w:rFonts w:ascii="Times New Roman" w:eastAsia="Times New Roman" w:hAnsi="Times New Roman" w:cs="Times New Roman"/>
          <w:sz w:val="24"/>
          <w:szCs w:val="24"/>
        </w:rPr>
        <w:t>Tennille</w:t>
      </w:r>
      <w:proofErr w:type="spellEnd"/>
      <w:r w:rsidRPr="004A4D65">
        <w:rPr>
          <w:rFonts w:ascii="Times New Roman" w:eastAsia="Times New Roman" w:hAnsi="Times New Roman" w:cs="Times New Roman"/>
          <w:sz w:val="24"/>
          <w:szCs w:val="24"/>
        </w:rPr>
        <w:t xml:space="preserve"> Smith Parker, DRS, Directora Interina de la División,</w:t>
      </w:r>
      <w:r w:rsidRPr="004A4D65">
        <w:rPr>
          <w:rFonts w:ascii="Times New Roman" w:eastAsia="Times New Roman" w:hAnsi="Times New Roman" w:cs="Times New Roman"/>
          <w:color w:val="000000"/>
          <w:sz w:val="24"/>
          <w:szCs w:val="24"/>
        </w:rPr>
        <w:t xml:space="preserve"> HUD, 451 </w:t>
      </w:r>
      <w:proofErr w:type="spellStart"/>
      <w:r w:rsidRPr="004A4D65">
        <w:rPr>
          <w:rFonts w:ascii="Times New Roman" w:eastAsia="Times New Roman" w:hAnsi="Times New Roman" w:cs="Times New Roman"/>
          <w:color w:val="000000"/>
          <w:sz w:val="24"/>
          <w:szCs w:val="24"/>
        </w:rPr>
        <w:t>Seventh</w:t>
      </w:r>
      <w:proofErr w:type="spellEnd"/>
      <w:r w:rsidRPr="004A4D65">
        <w:rPr>
          <w:rFonts w:ascii="Times New Roman" w:eastAsia="Times New Roman" w:hAnsi="Times New Roman" w:cs="Times New Roman"/>
          <w:color w:val="000000"/>
          <w:sz w:val="24"/>
          <w:szCs w:val="24"/>
        </w:rPr>
        <w:t xml:space="preserve"> Street SW, Washington, D.C. 20410. </w:t>
      </w:r>
      <w:r w:rsidRPr="004A4D65">
        <w:rPr>
          <w:rFonts w:ascii="Times New Roman" w:eastAsia="Times New Roman" w:hAnsi="Times New Roman" w:cs="Times New Roman"/>
          <w:sz w:val="24"/>
          <w:szCs w:val="24"/>
        </w:rPr>
        <w:t>Objetores potenciales deberán contactar a HUD para verificar el último día del periodo de objeción</w:t>
      </w:r>
      <w:r w:rsidRPr="004A4D65">
        <w:rPr>
          <w:rFonts w:ascii="Times New Roman" w:eastAsia="Times New Roman" w:hAnsi="Times New Roman" w:cs="Times New Roman"/>
          <w:color w:val="000000"/>
          <w:sz w:val="24"/>
          <w:szCs w:val="24"/>
        </w:rPr>
        <w:t xml:space="preserve">. </w:t>
      </w:r>
    </w:p>
    <w:p w14:paraId="4F5567AE" w14:textId="77777777" w:rsidR="00A24DF9" w:rsidRPr="004A4D65" w:rsidRDefault="00A24DF9" w:rsidP="00B36A99">
      <w:pPr>
        <w:spacing w:after="0" w:line="240" w:lineRule="auto"/>
        <w:jc w:val="both"/>
        <w:rPr>
          <w:rFonts w:ascii="Times New Roman" w:eastAsia="Times New Roman" w:hAnsi="Times New Roman" w:cs="Times New Roman"/>
          <w:color w:val="000000"/>
          <w:sz w:val="24"/>
          <w:szCs w:val="24"/>
        </w:rPr>
      </w:pPr>
    </w:p>
    <w:p w14:paraId="1A77604B" w14:textId="77777777" w:rsidR="00A24DF9" w:rsidRPr="004A4D65" w:rsidRDefault="00A24DF9" w:rsidP="00B36A99">
      <w:pPr>
        <w:spacing w:after="0" w:line="240" w:lineRule="auto"/>
        <w:jc w:val="both"/>
        <w:rPr>
          <w:rFonts w:ascii="Times New Roman" w:eastAsia="Times New Roman" w:hAnsi="Times New Roman" w:cs="Times New Roman"/>
          <w:sz w:val="24"/>
          <w:szCs w:val="24"/>
        </w:rPr>
      </w:pPr>
      <w:r w:rsidRPr="004A4D65">
        <w:rPr>
          <w:rFonts w:ascii="Times New Roman" w:eastAsia="Times New Roman" w:hAnsi="Times New Roman" w:cs="Times New Roman"/>
          <w:sz w:val="24"/>
          <w:szCs w:val="24"/>
        </w:rPr>
        <w:t xml:space="preserve">Samuel Viavattine, </w:t>
      </w:r>
      <w:proofErr w:type="gramStart"/>
      <w:r w:rsidRPr="004A4D65">
        <w:rPr>
          <w:rFonts w:ascii="Times New Roman" w:eastAsia="Times New Roman" w:hAnsi="Times New Roman" w:cs="Times New Roman"/>
          <w:sz w:val="24"/>
          <w:szCs w:val="24"/>
        </w:rPr>
        <w:t>Director</w:t>
      </w:r>
      <w:proofErr w:type="gramEnd"/>
    </w:p>
    <w:p w14:paraId="70B5EE2A" w14:textId="77777777" w:rsidR="00A24DF9" w:rsidRPr="004A4D65" w:rsidRDefault="00A24DF9" w:rsidP="00B36A99">
      <w:pPr>
        <w:spacing w:after="0" w:line="240" w:lineRule="auto"/>
        <w:jc w:val="both"/>
        <w:rPr>
          <w:rFonts w:ascii="Times New Roman" w:hAnsi="Times New Roman" w:cs="Times New Roman"/>
          <w:sz w:val="24"/>
          <w:szCs w:val="24"/>
        </w:rPr>
      </w:pPr>
      <w:r w:rsidRPr="004A4D65">
        <w:rPr>
          <w:rFonts w:ascii="Times New Roman" w:eastAsia="Times New Roman" w:hAnsi="Times New Roman" w:cs="Times New Roman"/>
          <w:color w:val="000000"/>
          <w:sz w:val="24"/>
          <w:szCs w:val="24"/>
        </w:rPr>
        <w:t xml:space="preserve">Departamento de Asuntos Comunitarios de New Jersey </w:t>
      </w:r>
    </w:p>
    <w:p w14:paraId="4918A85C" w14:textId="77777777" w:rsidR="000F549E" w:rsidRPr="00A9228B" w:rsidRDefault="000F549E" w:rsidP="00B36A99">
      <w:pPr>
        <w:spacing w:after="0" w:line="240" w:lineRule="auto"/>
        <w:jc w:val="both"/>
        <w:rPr>
          <w:rFonts w:ascii="Times New Roman" w:eastAsia="Times New Roman" w:hAnsi="Times New Roman" w:cs="Times New Roman"/>
          <w:color w:val="000000"/>
          <w:sz w:val="24"/>
          <w:szCs w:val="24"/>
        </w:rPr>
      </w:pPr>
    </w:p>
    <w:sectPr w:rsidR="000F549E" w:rsidRPr="00A9228B" w:rsidSect="00E46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BC519" w14:textId="77777777" w:rsidR="00195292" w:rsidRDefault="00195292" w:rsidP="00A27C40">
      <w:pPr>
        <w:spacing w:after="0" w:line="240" w:lineRule="auto"/>
      </w:pPr>
      <w:r>
        <w:separator/>
      </w:r>
    </w:p>
  </w:endnote>
  <w:endnote w:type="continuationSeparator" w:id="0">
    <w:p w14:paraId="43811343" w14:textId="77777777" w:rsidR="00195292" w:rsidRDefault="00195292" w:rsidP="00A27C40">
      <w:pPr>
        <w:spacing w:after="0" w:line="240" w:lineRule="auto"/>
      </w:pPr>
      <w:r>
        <w:continuationSeparator/>
      </w:r>
    </w:p>
  </w:endnote>
  <w:endnote w:type="continuationNotice" w:id="1">
    <w:p w14:paraId="4DB2F6E1" w14:textId="77777777" w:rsidR="00195292" w:rsidRDefault="00195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6B3E0" w14:textId="77777777" w:rsidR="00195292" w:rsidRDefault="00195292" w:rsidP="00A27C40">
      <w:pPr>
        <w:spacing w:after="0" w:line="240" w:lineRule="auto"/>
      </w:pPr>
      <w:r>
        <w:separator/>
      </w:r>
    </w:p>
  </w:footnote>
  <w:footnote w:type="continuationSeparator" w:id="0">
    <w:p w14:paraId="7F760CF5" w14:textId="77777777" w:rsidR="00195292" w:rsidRDefault="00195292" w:rsidP="00A27C40">
      <w:pPr>
        <w:spacing w:after="0" w:line="240" w:lineRule="auto"/>
      </w:pPr>
      <w:r>
        <w:continuationSeparator/>
      </w:r>
    </w:p>
  </w:footnote>
  <w:footnote w:type="continuationNotice" w:id="1">
    <w:p w14:paraId="0D803711" w14:textId="77777777" w:rsidR="00195292" w:rsidRDefault="001952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3411"/>
    <w:multiLevelType w:val="hybridMultilevel"/>
    <w:tmpl w:val="E348D68C"/>
    <w:lvl w:ilvl="0" w:tplc="58EA669A">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B498B"/>
    <w:multiLevelType w:val="hybridMultilevel"/>
    <w:tmpl w:val="CE0AC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42EC"/>
    <w:multiLevelType w:val="multilevel"/>
    <w:tmpl w:val="21F03FF6"/>
    <w:lvl w:ilvl="0">
      <w:start w:val="1"/>
      <w:numFmt w:val="decimal"/>
      <w:pStyle w:val="Heading1"/>
      <w:lvlText w:val="%1.0"/>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10"/>
        </w:tabs>
        <w:ind w:left="810" w:hanging="720"/>
      </w:pPr>
    </w:lvl>
    <w:lvl w:ilvl="2">
      <w:start w:val="1"/>
      <w:numFmt w:val="decimal"/>
      <w:lvlText w:val="%1.%2.%3"/>
      <w:lvlJc w:val="left"/>
      <w:pPr>
        <w:tabs>
          <w:tab w:val="num" w:pos="1080"/>
        </w:tabs>
        <w:ind w:left="108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0"/>
        </w:tabs>
        <w:ind w:left="0" w:firstLine="0"/>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93D5250"/>
    <w:multiLevelType w:val="multilevel"/>
    <w:tmpl w:val="989C1F76"/>
    <w:lvl w:ilvl="0">
      <w:start w:val="1"/>
      <w:numFmt w:val="decimal"/>
      <w:lvlText w:val="%1.0"/>
      <w:lvlJc w:val="left"/>
      <w:pPr>
        <w:ind w:left="360" w:hanging="360"/>
      </w:pPr>
      <w:rPr>
        <w:rFonts w:ascii="Arial Bold" w:hAnsi="Arial Bold" w:hint="default"/>
        <w:b/>
        <w:i w:val="0"/>
        <w:color w:val="auto"/>
        <w:sz w:val="32"/>
      </w:rPr>
    </w:lvl>
    <w:lvl w:ilvl="1">
      <w:start w:val="1"/>
      <w:numFmt w:val="decimal"/>
      <w:lvlText w:val="%1.%2"/>
      <w:lvlJc w:val="left"/>
      <w:pPr>
        <w:ind w:left="360" w:hanging="360"/>
      </w:pPr>
      <w:rPr>
        <w:rFonts w:ascii="Arial Bold" w:hAnsi="Arial Bold" w:hint="default"/>
        <w:b/>
        <w:i w:val="0"/>
        <w:color w:val="auto"/>
        <w:sz w:val="28"/>
      </w:rPr>
    </w:lvl>
    <w:lvl w:ilvl="2">
      <w:start w:val="1"/>
      <w:numFmt w:val="decimal"/>
      <w:lvlText w:val="%1.%2.%3"/>
      <w:lvlJc w:val="left"/>
      <w:pPr>
        <w:ind w:left="360" w:hanging="360"/>
      </w:pPr>
      <w:rPr>
        <w:rFonts w:ascii="Arial Bold" w:hAnsi="Arial Bold" w:hint="default"/>
        <w:b/>
        <w:i w:val="0"/>
        <w:color w:val="auto"/>
        <w:sz w:val="24"/>
      </w:rPr>
    </w:lvl>
    <w:lvl w:ilvl="3">
      <w:start w:val="1"/>
      <w:numFmt w:val="decimal"/>
      <w:lvlText w:val="%1.%2.%3.%4"/>
      <w:lvlJc w:val="left"/>
      <w:pPr>
        <w:ind w:left="792" w:hanging="792"/>
      </w:pPr>
      <w:rPr>
        <w:rFonts w:ascii="Arial Bold" w:hAnsi="Arial Bold" w:hint="default"/>
        <w:b/>
        <w:i w:val="0"/>
        <w:color w:val="auto"/>
        <w:sz w:val="22"/>
      </w:rPr>
    </w:lvl>
    <w:lvl w:ilvl="4">
      <w:start w:val="1"/>
      <w:numFmt w:val="none"/>
      <w:lvlText w:val=""/>
      <w:lvlJc w:val="left"/>
      <w:pPr>
        <w:ind w:left="720" w:hanging="720"/>
      </w:pPr>
      <w:rPr>
        <w:rFonts w:ascii="Arial Bold" w:hAnsi="Arial Bold" w:hint="default"/>
        <w:b/>
        <w:i/>
        <w:color w:val="1F497D" w:themeColor="text2"/>
        <w:sz w:val="22"/>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3"/>
  </w:num>
  <w:num w:numId="2">
    <w:abstractNumId w:val="2"/>
    <w:lvlOverride w:ilvl="0">
      <w:startOverride w:val="2"/>
    </w:lvlOverride>
    <w:lvlOverride w:ilvl="1">
      <w:startOverride w:val="2"/>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2M7QwMDc0sjQ0NzNV0lEKTi0uzszPAykwqQUAb0Mi/SwAAAA="/>
  </w:docVars>
  <w:rsids>
    <w:rsidRoot w:val="00A27C40"/>
    <w:rsid w:val="00010CD8"/>
    <w:rsid w:val="00025906"/>
    <w:rsid w:val="0004030D"/>
    <w:rsid w:val="000558BE"/>
    <w:rsid w:val="000609E9"/>
    <w:rsid w:val="00067582"/>
    <w:rsid w:val="00074D51"/>
    <w:rsid w:val="00076EE6"/>
    <w:rsid w:val="00092164"/>
    <w:rsid w:val="00097640"/>
    <w:rsid w:val="000A59D8"/>
    <w:rsid w:val="000C1654"/>
    <w:rsid w:val="000C6D15"/>
    <w:rsid w:val="000E12E2"/>
    <w:rsid w:val="000F07EC"/>
    <w:rsid w:val="000F155D"/>
    <w:rsid w:val="000F41E3"/>
    <w:rsid w:val="000F549E"/>
    <w:rsid w:val="00102B6C"/>
    <w:rsid w:val="001144D7"/>
    <w:rsid w:val="00120575"/>
    <w:rsid w:val="00124DA1"/>
    <w:rsid w:val="00130AF7"/>
    <w:rsid w:val="00132222"/>
    <w:rsid w:val="00144A61"/>
    <w:rsid w:val="00160965"/>
    <w:rsid w:val="00172864"/>
    <w:rsid w:val="00175AF1"/>
    <w:rsid w:val="00184390"/>
    <w:rsid w:val="0019527D"/>
    <w:rsid w:val="00195292"/>
    <w:rsid w:val="0019589B"/>
    <w:rsid w:val="00197FF6"/>
    <w:rsid w:val="001A3C40"/>
    <w:rsid w:val="001A61F8"/>
    <w:rsid w:val="001B0DB9"/>
    <w:rsid w:val="001B780A"/>
    <w:rsid w:val="001C17A8"/>
    <w:rsid w:val="00203DCE"/>
    <w:rsid w:val="00216EA3"/>
    <w:rsid w:val="00237E8B"/>
    <w:rsid w:val="00241104"/>
    <w:rsid w:val="002437AB"/>
    <w:rsid w:val="0024640E"/>
    <w:rsid w:val="00250539"/>
    <w:rsid w:val="00263EC9"/>
    <w:rsid w:val="00270E35"/>
    <w:rsid w:val="00274083"/>
    <w:rsid w:val="0029160C"/>
    <w:rsid w:val="00296467"/>
    <w:rsid w:val="002A1064"/>
    <w:rsid w:val="002A4034"/>
    <w:rsid w:val="002A5AD4"/>
    <w:rsid w:val="002B1F7B"/>
    <w:rsid w:val="002B3430"/>
    <w:rsid w:val="002C6487"/>
    <w:rsid w:val="002E0008"/>
    <w:rsid w:val="002E1C92"/>
    <w:rsid w:val="002E7DF2"/>
    <w:rsid w:val="002F3623"/>
    <w:rsid w:val="00303651"/>
    <w:rsid w:val="0031418B"/>
    <w:rsid w:val="00333DA2"/>
    <w:rsid w:val="00354A8F"/>
    <w:rsid w:val="003636C5"/>
    <w:rsid w:val="00367AC0"/>
    <w:rsid w:val="00391D94"/>
    <w:rsid w:val="003933C4"/>
    <w:rsid w:val="00393496"/>
    <w:rsid w:val="003B77B6"/>
    <w:rsid w:val="003C33F8"/>
    <w:rsid w:val="003D1416"/>
    <w:rsid w:val="003D15D7"/>
    <w:rsid w:val="003D6C40"/>
    <w:rsid w:val="003E0A3D"/>
    <w:rsid w:val="003F1D7C"/>
    <w:rsid w:val="003F4322"/>
    <w:rsid w:val="004040F7"/>
    <w:rsid w:val="00406B6D"/>
    <w:rsid w:val="0041147D"/>
    <w:rsid w:val="00412EB4"/>
    <w:rsid w:val="004244C0"/>
    <w:rsid w:val="004366A3"/>
    <w:rsid w:val="00440232"/>
    <w:rsid w:val="00440F3B"/>
    <w:rsid w:val="00441D07"/>
    <w:rsid w:val="004602AB"/>
    <w:rsid w:val="0047707B"/>
    <w:rsid w:val="00481F5C"/>
    <w:rsid w:val="004A41D4"/>
    <w:rsid w:val="004B65CE"/>
    <w:rsid w:val="004B6D48"/>
    <w:rsid w:val="004C66DB"/>
    <w:rsid w:val="004C780F"/>
    <w:rsid w:val="004D1616"/>
    <w:rsid w:val="004D6D61"/>
    <w:rsid w:val="004D7640"/>
    <w:rsid w:val="004E301E"/>
    <w:rsid w:val="00500EAF"/>
    <w:rsid w:val="0050508E"/>
    <w:rsid w:val="00514361"/>
    <w:rsid w:val="00535399"/>
    <w:rsid w:val="005365E3"/>
    <w:rsid w:val="005502AA"/>
    <w:rsid w:val="0056305A"/>
    <w:rsid w:val="00567A72"/>
    <w:rsid w:val="00587A30"/>
    <w:rsid w:val="005B010C"/>
    <w:rsid w:val="005C5CEB"/>
    <w:rsid w:val="005D7A52"/>
    <w:rsid w:val="005E553E"/>
    <w:rsid w:val="005F019E"/>
    <w:rsid w:val="006412A3"/>
    <w:rsid w:val="00650D90"/>
    <w:rsid w:val="00656B92"/>
    <w:rsid w:val="00663BC7"/>
    <w:rsid w:val="006675C7"/>
    <w:rsid w:val="00670DB6"/>
    <w:rsid w:val="00672BFC"/>
    <w:rsid w:val="00676AB3"/>
    <w:rsid w:val="00695D40"/>
    <w:rsid w:val="006A0E4E"/>
    <w:rsid w:val="006A6F1B"/>
    <w:rsid w:val="006C7452"/>
    <w:rsid w:val="006D3242"/>
    <w:rsid w:val="006D3598"/>
    <w:rsid w:val="006E0BD1"/>
    <w:rsid w:val="006E1B2E"/>
    <w:rsid w:val="006E1F5F"/>
    <w:rsid w:val="006E7130"/>
    <w:rsid w:val="006E7D44"/>
    <w:rsid w:val="00700EBF"/>
    <w:rsid w:val="007042BF"/>
    <w:rsid w:val="00704C01"/>
    <w:rsid w:val="0070646F"/>
    <w:rsid w:val="00713116"/>
    <w:rsid w:val="0072693A"/>
    <w:rsid w:val="00726B78"/>
    <w:rsid w:val="00752CAE"/>
    <w:rsid w:val="007536EC"/>
    <w:rsid w:val="0076269C"/>
    <w:rsid w:val="0076547D"/>
    <w:rsid w:val="00797F27"/>
    <w:rsid w:val="007C0198"/>
    <w:rsid w:val="007C0F40"/>
    <w:rsid w:val="007E1BF3"/>
    <w:rsid w:val="007E29D1"/>
    <w:rsid w:val="008050E1"/>
    <w:rsid w:val="00820AF1"/>
    <w:rsid w:val="00834CAA"/>
    <w:rsid w:val="008444C0"/>
    <w:rsid w:val="00850588"/>
    <w:rsid w:val="00860830"/>
    <w:rsid w:val="00864ABB"/>
    <w:rsid w:val="00871A97"/>
    <w:rsid w:val="008777FE"/>
    <w:rsid w:val="00881E2E"/>
    <w:rsid w:val="008866C7"/>
    <w:rsid w:val="008867EB"/>
    <w:rsid w:val="00890FA6"/>
    <w:rsid w:val="00894C97"/>
    <w:rsid w:val="008A1B83"/>
    <w:rsid w:val="008A52DB"/>
    <w:rsid w:val="008A7B76"/>
    <w:rsid w:val="008B58F9"/>
    <w:rsid w:val="008D27A6"/>
    <w:rsid w:val="008E0288"/>
    <w:rsid w:val="008F6330"/>
    <w:rsid w:val="009024A0"/>
    <w:rsid w:val="009069DB"/>
    <w:rsid w:val="00916CF3"/>
    <w:rsid w:val="00920CEB"/>
    <w:rsid w:val="009479F4"/>
    <w:rsid w:val="0097389B"/>
    <w:rsid w:val="009874BB"/>
    <w:rsid w:val="009A45C6"/>
    <w:rsid w:val="009B438C"/>
    <w:rsid w:val="009C180C"/>
    <w:rsid w:val="009C777A"/>
    <w:rsid w:val="009D4003"/>
    <w:rsid w:val="009D6EFB"/>
    <w:rsid w:val="009E32DA"/>
    <w:rsid w:val="009F5EF2"/>
    <w:rsid w:val="00A01979"/>
    <w:rsid w:val="00A041EE"/>
    <w:rsid w:val="00A23306"/>
    <w:rsid w:val="00A24DF9"/>
    <w:rsid w:val="00A24E0A"/>
    <w:rsid w:val="00A27C40"/>
    <w:rsid w:val="00A568CA"/>
    <w:rsid w:val="00A661A0"/>
    <w:rsid w:val="00A73E9A"/>
    <w:rsid w:val="00A9228B"/>
    <w:rsid w:val="00A928BD"/>
    <w:rsid w:val="00AA03E2"/>
    <w:rsid w:val="00AA333A"/>
    <w:rsid w:val="00AC79E8"/>
    <w:rsid w:val="00AF0105"/>
    <w:rsid w:val="00AF12EE"/>
    <w:rsid w:val="00AF55AB"/>
    <w:rsid w:val="00B0316C"/>
    <w:rsid w:val="00B15469"/>
    <w:rsid w:val="00B172DE"/>
    <w:rsid w:val="00B22C4D"/>
    <w:rsid w:val="00B319B8"/>
    <w:rsid w:val="00B36A99"/>
    <w:rsid w:val="00B603D2"/>
    <w:rsid w:val="00B64678"/>
    <w:rsid w:val="00B66D97"/>
    <w:rsid w:val="00B702FB"/>
    <w:rsid w:val="00B74A2E"/>
    <w:rsid w:val="00B86F20"/>
    <w:rsid w:val="00B93140"/>
    <w:rsid w:val="00B945AC"/>
    <w:rsid w:val="00B94E69"/>
    <w:rsid w:val="00BB06FB"/>
    <w:rsid w:val="00BC2E16"/>
    <w:rsid w:val="00BC5BA4"/>
    <w:rsid w:val="00BD1171"/>
    <w:rsid w:val="00BD384C"/>
    <w:rsid w:val="00BE4919"/>
    <w:rsid w:val="00C00CB4"/>
    <w:rsid w:val="00C02DAE"/>
    <w:rsid w:val="00C10E00"/>
    <w:rsid w:val="00C177C2"/>
    <w:rsid w:val="00C372CF"/>
    <w:rsid w:val="00C4766D"/>
    <w:rsid w:val="00C567DD"/>
    <w:rsid w:val="00C57281"/>
    <w:rsid w:val="00C918D2"/>
    <w:rsid w:val="00CD1FDE"/>
    <w:rsid w:val="00CD3C81"/>
    <w:rsid w:val="00CE0423"/>
    <w:rsid w:val="00CE64E0"/>
    <w:rsid w:val="00CF704A"/>
    <w:rsid w:val="00D3572D"/>
    <w:rsid w:val="00D436A7"/>
    <w:rsid w:val="00D47250"/>
    <w:rsid w:val="00D51E92"/>
    <w:rsid w:val="00D55B29"/>
    <w:rsid w:val="00D630AD"/>
    <w:rsid w:val="00D730B2"/>
    <w:rsid w:val="00D80AED"/>
    <w:rsid w:val="00D814DB"/>
    <w:rsid w:val="00D90C9C"/>
    <w:rsid w:val="00D949AA"/>
    <w:rsid w:val="00DE0AF7"/>
    <w:rsid w:val="00DE0F27"/>
    <w:rsid w:val="00DE4C41"/>
    <w:rsid w:val="00E04C18"/>
    <w:rsid w:val="00E060B5"/>
    <w:rsid w:val="00E3185C"/>
    <w:rsid w:val="00E46C31"/>
    <w:rsid w:val="00E65648"/>
    <w:rsid w:val="00E66BC3"/>
    <w:rsid w:val="00E7791F"/>
    <w:rsid w:val="00E85C6B"/>
    <w:rsid w:val="00E97661"/>
    <w:rsid w:val="00EB5BD3"/>
    <w:rsid w:val="00EB7E67"/>
    <w:rsid w:val="00EE49AC"/>
    <w:rsid w:val="00EF6DC9"/>
    <w:rsid w:val="00F15F0C"/>
    <w:rsid w:val="00F16D1C"/>
    <w:rsid w:val="00F36AF7"/>
    <w:rsid w:val="00F860A5"/>
    <w:rsid w:val="00F94257"/>
    <w:rsid w:val="00F96DA4"/>
    <w:rsid w:val="00FA404D"/>
    <w:rsid w:val="00FF13A8"/>
    <w:rsid w:val="00FF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8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Heading1">
    <w:name w:val="heading 1"/>
    <w:next w:val="Normal"/>
    <w:link w:val="Heading1Char"/>
    <w:qFormat/>
    <w:rsid w:val="00130AF7"/>
    <w:pPr>
      <w:keepNext/>
      <w:keepLines/>
      <w:numPr>
        <w:numId w:val="2"/>
      </w:numPr>
      <w:spacing w:before="240" w:after="120" w:line="240" w:lineRule="auto"/>
      <w:outlineLvl w:val="0"/>
    </w:pPr>
    <w:rPr>
      <w:rFonts w:ascii="Arial" w:eastAsia="Times New Roman" w:hAnsi="Arial" w:cs="Arial"/>
      <w:b/>
      <w:bCs/>
      <w:caps/>
      <w:kern w:val="32"/>
      <w:sz w:val="28"/>
      <w:szCs w:val="20"/>
    </w:rPr>
  </w:style>
  <w:style w:type="paragraph" w:styleId="Heading2">
    <w:name w:val="heading 2"/>
    <w:basedOn w:val="Normal"/>
    <w:next w:val="BodyText"/>
    <w:link w:val="Heading2Char"/>
    <w:qFormat/>
    <w:rsid w:val="00130AF7"/>
    <w:pPr>
      <w:keepNext/>
      <w:keepLines/>
      <w:spacing w:before="240" w:after="120" w:line="240" w:lineRule="auto"/>
      <w:ind w:left="720" w:hanging="720"/>
      <w:outlineLvl w:val="1"/>
    </w:pPr>
    <w:rPr>
      <w:rFonts w:ascii="Arial" w:hAnsi="Arial" w:cs="Arial"/>
      <w:b/>
      <w:sz w:val="26"/>
      <w:szCs w:val="26"/>
    </w:rPr>
  </w:style>
  <w:style w:type="paragraph" w:styleId="Heading3">
    <w:name w:val="heading 3"/>
    <w:next w:val="BodyText"/>
    <w:link w:val="Heading3Char"/>
    <w:qFormat/>
    <w:rsid w:val="00130AF7"/>
    <w:pPr>
      <w:keepNext/>
      <w:keepLines/>
      <w:tabs>
        <w:tab w:val="left" w:pos="1080"/>
      </w:tabs>
      <w:spacing w:before="120" w:after="120" w:line="240" w:lineRule="auto"/>
      <w:ind w:left="1080" w:hanging="1080"/>
      <w:outlineLvl w:val="2"/>
    </w:pPr>
    <w:rPr>
      <w:rFonts w:ascii="Arial" w:eastAsia="Times New Roman" w:hAnsi="Arial" w:cs="Arial"/>
      <w:b/>
      <w:sz w:val="24"/>
      <w:szCs w:val="20"/>
    </w:rPr>
  </w:style>
  <w:style w:type="paragraph" w:styleId="Heading4">
    <w:name w:val="heading 4"/>
    <w:basedOn w:val="Heading3"/>
    <w:next w:val="Normal"/>
    <w:link w:val="Heading4Char"/>
    <w:qFormat/>
    <w:rsid w:val="00130AF7"/>
    <w:pPr>
      <w:numPr>
        <w:ilvl w:val="3"/>
      </w:numPr>
      <w:ind w:left="1080" w:hanging="1080"/>
      <w:outlineLvl w:val="3"/>
    </w:pPr>
    <w:rPr>
      <w:bCs/>
      <w:sz w:val="22"/>
    </w:rPr>
  </w:style>
  <w:style w:type="paragraph" w:styleId="Heading5">
    <w:name w:val="heading 5"/>
    <w:basedOn w:val="BodyText"/>
    <w:next w:val="BodyText"/>
    <w:link w:val="Heading5Char"/>
    <w:qFormat/>
    <w:rsid w:val="00130AF7"/>
    <w:pPr>
      <w:keepNext/>
      <w:keepLines/>
      <w:spacing w:before="240" w:line="240" w:lineRule="auto"/>
      <w:ind w:left="720"/>
      <w:jc w:val="both"/>
      <w:outlineLvl w:val="4"/>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0AF7"/>
    <w:rPr>
      <w:rFonts w:ascii="Arial" w:eastAsia="Times New Roman" w:hAnsi="Arial" w:cs="Arial"/>
      <w:b/>
      <w:sz w:val="24"/>
      <w:szCs w:val="20"/>
    </w:rPr>
  </w:style>
  <w:style w:type="character" w:customStyle="1" w:styleId="Heading1Char">
    <w:name w:val="Heading 1 Char"/>
    <w:link w:val="Heading1"/>
    <w:rsid w:val="00130AF7"/>
    <w:rPr>
      <w:rFonts w:ascii="Arial" w:eastAsia="Times New Roman" w:hAnsi="Arial" w:cs="Arial"/>
      <w:b/>
      <w:bCs/>
      <w:caps/>
      <w:kern w:val="32"/>
      <w:sz w:val="28"/>
      <w:szCs w:val="20"/>
    </w:rPr>
  </w:style>
  <w:style w:type="character" w:customStyle="1" w:styleId="Heading2Char">
    <w:name w:val="Heading 2 Char"/>
    <w:link w:val="Heading2"/>
    <w:rsid w:val="00130AF7"/>
    <w:rPr>
      <w:rFonts w:ascii="Arial" w:hAnsi="Arial" w:cs="Arial"/>
      <w:b/>
      <w:sz w:val="26"/>
      <w:szCs w:val="26"/>
    </w:rPr>
  </w:style>
  <w:style w:type="paragraph" w:styleId="BodyText">
    <w:name w:val="Body Text"/>
    <w:basedOn w:val="Normal"/>
    <w:link w:val="BodyTextChar"/>
    <w:uiPriority w:val="99"/>
    <w:semiHidden/>
    <w:unhideWhenUsed/>
    <w:rsid w:val="00130AF7"/>
    <w:pPr>
      <w:spacing w:after="120"/>
    </w:pPr>
  </w:style>
  <w:style w:type="character" w:customStyle="1" w:styleId="BodyTextChar">
    <w:name w:val="Body Text Char"/>
    <w:basedOn w:val="DefaultParagraphFont"/>
    <w:link w:val="BodyText"/>
    <w:uiPriority w:val="99"/>
    <w:semiHidden/>
    <w:rsid w:val="00130AF7"/>
  </w:style>
  <w:style w:type="character" w:customStyle="1" w:styleId="Heading4Char">
    <w:name w:val="Heading 4 Char"/>
    <w:basedOn w:val="DefaultParagraphFont"/>
    <w:link w:val="Heading4"/>
    <w:rsid w:val="00130AF7"/>
    <w:rPr>
      <w:rFonts w:ascii="Arial" w:eastAsia="Times New Roman" w:hAnsi="Arial" w:cs="Arial"/>
      <w:b/>
      <w:bCs/>
      <w:szCs w:val="20"/>
    </w:rPr>
  </w:style>
  <w:style w:type="character" w:customStyle="1" w:styleId="Heading5Char">
    <w:name w:val="Heading 5 Char"/>
    <w:basedOn w:val="DefaultParagraphFont"/>
    <w:link w:val="Heading5"/>
    <w:rsid w:val="00130AF7"/>
    <w:rPr>
      <w:rFonts w:ascii="Arial" w:hAnsi="Arial" w:cs="Arial"/>
      <w:b/>
      <w:szCs w:val="24"/>
    </w:rPr>
  </w:style>
  <w:style w:type="paragraph" w:styleId="Header">
    <w:name w:val="header"/>
    <w:basedOn w:val="Normal"/>
    <w:link w:val="HeaderChar"/>
    <w:uiPriority w:val="99"/>
    <w:unhideWhenUsed/>
    <w:rsid w:val="00A2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40"/>
  </w:style>
  <w:style w:type="paragraph" w:styleId="Footer">
    <w:name w:val="footer"/>
    <w:basedOn w:val="Normal"/>
    <w:link w:val="FooterChar"/>
    <w:uiPriority w:val="99"/>
    <w:unhideWhenUsed/>
    <w:rsid w:val="00A2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40"/>
  </w:style>
  <w:style w:type="character" w:styleId="CommentReference">
    <w:name w:val="annotation reference"/>
    <w:basedOn w:val="DefaultParagraphFont"/>
    <w:uiPriority w:val="99"/>
    <w:semiHidden/>
    <w:unhideWhenUsed/>
    <w:rsid w:val="000609E9"/>
    <w:rPr>
      <w:sz w:val="16"/>
      <w:szCs w:val="16"/>
    </w:rPr>
  </w:style>
  <w:style w:type="paragraph" w:styleId="CommentText">
    <w:name w:val="annotation text"/>
    <w:basedOn w:val="Normal"/>
    <w:link w:val="CommentTextChar"/>
    <w:uiPriority w:val="99"/>
    <w:semiHidden/>
    <w:unhideWhenUsed/>
    <w:rsid w:val="000609E9"/>
    <w:pPr>
      <w:spacing w:line="240" w:lineRule="auto"/>
    </w:pPr>
    <w:rPr>
      <w:sz w:val="20"/>
      <w:szCs w:val="20"/>
    </w:rPr>
  </w:style>
  <w:style w:type="character" w:customStyle="1" w:styleId="CommentTextChar">
    <w:name w:val="Comment Text Char"/>
    <w:basedOn w:val="DefaultParagraphFont"/>
    <w:link w:val="CommentText"/>
    <w:uiPriority w:val="99"/>
    <w:semiHidden/>
    <w:rsid w:val="000609E9"/>
    <w:rPr>
      <w:sz w:val="20"/>
      <w:szCs w:val="20"/>
    </w:rPr>
  </w:style>
  <w:style w:type="paragraph" w:styleId="CommentSubject">
    <w:name w:val="annotation subject"/>
    <w:basedOn w:val="CommentText"/>
    <w:next w:val="CommentText"/>
    <w:link w:val="CommentSubjectChar"/>
    <w:uiPriority w:val="99"/>
    <w:semiHidden/>
    <w:unhideWhenUsed/>
    <w:rsid w:val="000609E9"/>
    <w:rPr>
      <w:b/>
      <w:bCs/>
    </w:rPr>
  </w:style>
  <w:style w:type="character" w:customStyle="1" w:styleId="CommentSubjectChar">
    <w:name w:val="Comment Subject Char"/>
    <w:basedOn w:val="CommentTextChar"/>
    <w:link w:val="CommentSubject"/>
    <w:uiPriority w:val="99"/>
    <w:semiHidden/>
    <w:rsid w:val="000609E9"/>
    <w:rPr>
      <w:b/>
      <w:bCs/>
      <w:sz w:val="20"/>
      <w:szCs w:val="20"/>
    </w:rPr>
  </w:style>
  <w:style w:type="paragraph" w:styleId="BalloonText">
    <w:name w:val="Balloon Text"/>
    <w:basedOn w:val="Normal"/>
    <w:link w:val="BalloonTextChar"/>
    <w:uiPriority w:val="99"/>
    <w:semiHidden/>
    <w:unhideWhenUsed/>
    <w:rsid w:val="00060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E9"/>
    <w:rPr>
      <w:rFonts w:ascii="Tahoma" w:hAnsi="Tahoma" w:cs="Tahoma"/>
      <w:sz w:val="16"/>
      <w:szCs w:val="16"/>
    </w:rPr>
  </w:style>
  <w:style w:type="paragraph" w:styleId="Revision">
    <w:name w:val="Revision"/>
    <w:hidden/>
    <w:uiPriority w:val="99"/>
    <w:semiHidden/>
    <w:rsid w:val="0072693A"/>
    <w:pPr>
      <w:spacing w:after="0" w:line="240" w:lineRule="auto"/>
    </w:pPr>
  </w:style>
  <w:style w:type="paragraph" w:styleId="NormalWeb">
    <w:name w:val="Normal (Web)"/>
    <w:basedOn w:val="Normal"/>
    <w:uiPriority w:val="99"/>
    <w:unhideWhenUsed/>
    <w:rsid w:val="00864ABB"/>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unhideWhenUsed/>
    <w:rsid w:val="00CD3C81"/>
    <w:rPr>
      <w:color w:val="0000FF"/>
      <w:u w:val="single"/>
    </w:rPr>
  </w:style>
  <w:style w:type="paragraph" w:customStyle="1" w:styleId="Default">
    <w:name w:val="Default"/>
    <w:rsid w:val="00E66BC3"/>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E7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76c39681-55ed-4da2-8f7d-ea8b80276f10">J2ME2U3CTYYC-1-985</_dlc_DocId>
    <_dlc_DocIdUrl xmlns="76c39681-55ed-4da2-8f7d-ea8b80276f10">
      <Url>https://ironworks.sharepoint.com/sites/SandyEnvHistReviews/_layouts/15/DocIdRedir.aspx?ID=J2ME2U3CTYYC-1-985</Url>
      <Description>J2ME2U3CTYYC-1-985</Description>
    </_dlc_DocIdUrl>
    <EAF_x0020_Contractors xmlns="82576494-5162-4c7d-8431-9806003ecb30">N/A</EAF_x0020_Contractors>
    <Programs xmlns="82576494-5162-4c7d-8431-9806003ecb30">General</Programs>
    <Status_x003a__x0020_Initiated xmlns="82576494-5162-4c7d-8431-9806003ecb30">Reviewed by PM</Status_x003a__x0020_Initiated>
    <Document_x0020_Type xmlns="82576494-5162-4c7d-8431-9806003ecb30">Non-Report</Document_x0020_Type>
    <Type_x0020_of_x0020_Review xmlns="82576494-5162-4c7d-8431-9806003ecb30">N/A</Type_x0020_of_x0020_Review>
    <Document_x0020_Type0 xmlns="82576494-5162-4c7d-8431-9806003ecb30">Reference Materials – Environmental Related</Document_x0020_Type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0702460CA2D54EAC4C7F303963EE8E" ma:contentTypeVersion="23" ma:contentTypeDescription="Create a new document." ma:contentTypeScope="" ma:versionID="5f47e2953f2821d362d9bac32328b284">
  <xsd:schema xmlns:xsd="http://www.w3.org/2001/XMLSchema" xmlns:xs="http://www.w3.org/2001/XMLSchema" xmlns:p="http://schemas.microsoft.com/office/2006/metadata/properties" xmlns:ns1="http://schemas.microsoft.com/sharepoint/v3" xmlns:ns2="82576494-5162-4c7d-8431-9806003ecb30" xmlns:ns3="76c39681-55ed-4da2-8f7d-ea8b80276f10" xmlns:ns4="http://schemas.microsoft.com/sharepoint/v4" targetNamespace="http://schemas.microsoft.com/office/2006/metadata/properties" ma:root="true" ma:fieldsID="f584488833e40325d316f74ae98915be" ns1:_="" ns2:_="" ns3:_="" ns4:_="">
    <xsd:import namespace="http://schemas.microsoft.com/sharepoint/v3"/>
    <xsd:import namespace="82576494-5162-4c7d-8431-9806003ecb30"/>
    <xsd:import namespace="76c39681-55ed-4da2-8f7d-ea8b80276f10"/>
    <xsd:import namespace="http://schemas.microsoft.com/sharepoint/v4"/>
    <xsd:element name="properties">
      <xsd:complexType>
        <xsd:sequence>
          <xsd:element name="documentManagement">
            <xsd:complexType>
              <xsd:all>
                <xsd:element ref="ns2:Programs" minOccurs="0"/>
                <xsd:element ref="ns2:Type_x0020_of_x0020_Review" minOccurs="0"/>
                <xsd:element ref="ns2:Status_x003a__x0020_Initiated" minOccurs="0"/>
                <xsd:element ref="ns2:EAF_x0020_Contractors" minOccurs="0"/>
                <xsd:element ref="ns2:Document_x0020_Type" minOccurs="0"/>
                <xsd:element ref="ns3:_dlc_DocId" minOccurs="0"/>
                <xsd:element ref="ns3:_dlc_DocIdUrl" minOccurs="0"/>
                <xsd:element ref="ns3:_dlc_DocIdPersistId" minOccurs="0"/>
                <xsd:element ref="ns4:IconOverlay" minOccurs="0"/>
                <xsd:element ref="ns1:_vti_ItemDeclaredRecord" minOccurs="0"/>
                <xsd:element ref="ns1:_vti_ItemHoldRecordStatus" minOccurs="0"/>
                <xsd:element ref="ns3:SharedWithUsers" minOccurs="0"/>
                <xsd:element ref="ns3:SharingHintHash" minOccurs="0"/>
                <xsd:element ref="ns3:SharedWithDetails" minOccurs="0"/>
                <xsd:element ref="ns2:Document_x0020_Type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description=""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76494-5162-4c7d-8431-9806003ecb30" elementFormDefault="qualified">
    <xsd:import namespace="http://schemas.microsoft.com/office/2006/documentManagement/types"/>
    <xsd:import namespace="http://schemas.microsoft.com/office/infopath/2007/PartnerControls"/>
    <xsd:element name="Programs" ma:index="4" nillable="true" ma:displayName="Programs" ma:format="Dropdown" ma:internalName="Programs" ma:readOnly="false">
      <xsd:simpleType>
        <xsd:restriction base="dms:Choice">
          <xsd:enumeration value="RREM"/>
          <xsd:enumeration value="LRRP"/>
          <xsd:enumeration value="NEP"/>
          <xsd:enumeration value="SBL"/>
          <xsd:enumeration value="Blue Acres"/>
          <xsd:enumeration value="NCR"/>
          <xsd:enumeration value="HMFA"/>
          <xsd:enumeration value="General"/>
        </xsd:restriction>
      </xsd:simpleType>
    </xsd:element>
    <xsd:element name="Type_x0020_of_x0020_Review" ma:index="5" nillable="true" ma:displayName="Type of Review" ma:format="Dropdown" ma:internalName="Type_x0020_of_x0020_Review" ma:readOnly="false">
      <xsd:simpleType>
        <xsd:restriction base="dms:Choice">
          <xsd:enumeration value="CEST"/>
          <xsd:enumeration value="CENST"/>
          <xsd:enumeration value="EA"/>
          <xsd:enumeration value="Tier 2"/>
          <xsd:enumeration value="EIS"/>
          <xsd:enumeration value="N/A"/>
        </xsd:restriction>
      </xsd:simpleType>
    </xsd:element>
    <xsd:element name="Status_x003a__x0020_Initiated" ma:index="6" nillable="true" ma:displayName="Status: Initiated" ma:default="Reviewed by PM" ma:format="Dropdown" ma:internalName="Status_x003a__x0020_Initiated" ma:readOnly="false">
      <xsd:simpleType>
        <xsd:restriction base="dms:Choice">
          <xsd:enumeration value="Reviewed by PM"/>
          <xsd:enumeration value="Assigned to EAF Contractor"/>
          <xsd:enumeration value="Under QA Review"/>
          <xsd:enumeration value="N/A"/>
        </xsd:restriction>
      </xsd:simpleType>
    </xsd:element>
    <xsd:element name="EAF_x0020_Contractors" ma:index="7" nillable="true" ma:displayName="EAF Contractors" ma:default="URS" ma:format="Dropdown" ma:internalName="EAF_x0020_Contractors" ma:readOnly="false">
      <xsd:simpleType>
        <xsd:restriction base="dms:Choice">
          <xsd:enumeration value="URS"/>
          <xsd:enumeration value="CDM"/>
          <xsd:enumeration value="Dewberry"/>
          <xsd:enumeration value="Gannett Flemming"/>
          <xsd:enumeration value="Tetra Tech"/>
          <xsd:enumeration value="Louis Berger Group"/>
          <xsd:enumeration value="N/A"/>
        </xsd:restriction>
      </xsd:simpleType>
    </xsd:element>
    <xsd:element name="Document_x0020_Type" ma:index="8" nillable="true" ma:displayName="Sub-Document Type" ma:format="Dropdown" ma:internalName="Document_x0020_Type" ma:readOnly="false">
      <xsd:simpleType>
        <xsd:restriction base="dms:Choice">
          <xsd:enumeration value="Non-Report"/>
          <xsd:enumeration value="Report"/>
        </xsd:restriction>
      </xsd:simpleType>
    </xsd:element>
    <xsd:element name="Document_x0020_Type0" ma:index="18" nillable="true" ma:displayName="Document Type" ma:format="Dropdown" ma:internalName="Document_x0020_Type0" ma:readOnly="false">
      <xsd:simpleType>
        <xsd:restriction base="dms:Choice">
          <xsd:enumeration value="Financial"/>
          <xsd:enumeration value="Needs Assessment and Strategic Planning"/>
          <xsd:enumeration value="Work Papers"/>
          <xsd:enumeration value="Reference Materials – Environmental Related"/>
          <xsd:enumeration value="Grant program DEP Staff Reports"/>
          <xsd:enumeration value="Tracking and Reporting"/>
          <xsd:enumeration value="Correspondence"/>
          <xsd:enumeration value="Consultant File-Final Report"/>
          <xsd:enumeration value="N/A"/>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description=""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B670C-D763-4CC3-8435-D65B7BE4B1D1}">
  <ds:schemaRefs>
    <ds:schemaRef ds:uri="http://schemas.microsoft.com/office/2006/metadata/properties"/>
    <ds:schemaRef ds:uri="http://schemas.microsoft.com/office/infopath/2007/PartnerControls"/>
    <ds:schemaRef ds:uri="http://schemas.microsoft.com/sharepoint/v4"/>
    <ds:schemaRef ds:uri="76c39681-55ed-4da2-8f7d-ea8b80276f10"/>
    <ds:schemaRef ds:uri="82576494-5162-4c7d-8431-9806003ecb30"/>
  </ds:schemaRefs>
</ds:datastoreItem>
</file>

<file path=customXml/itemProps2.xml><?xml version="1.0" encoding="utf-8"?>
<ds:datastoreItem xmlns:ds="http://schemas.openxmlformats.org/officeDocument/2006/customXml" ds:itemID="{381110F1-0DBF-4E7E-86E7-C772DC0CCE82}">
  <ds:schemaRefs>
    <ds:schemaRef ds:uri="http://schemas.openxmlformats.org/officeDocument/2006/bibliography"/>
  </ds:schemaRefs>
</ds:datastoreItem>
</file>

<file path=customXml/itemProps3.xml><?xml version="1.0" encoding="utf-8"?>
<ds:datastoreItem xmlns:ds="http://schemas.openxmlformats.org/officeDocument/2006/customXml" ds:itemID="{3CCFB052-9645-4C92-AB8E-3985880A3A39}">
  <ds:schemaRefs>
    <ds:schemaRef ds:uri="http://schemas.microsoft.com/sharepoint/v3/contenttype/forms"/>
  </ds:schemaRefs>
</ds:datastoreItem>
</file>

<file path=customXml/itemProps4.xml><?xml version="1.0" encoding="utf-8"?>
<ds:datastoreItem xmlns:ds="http://schemas.openxmlformats.org/officeDocument/2006/customXml" ds:itemID="{E29EEF11-78D8-4F73-A52B-D28E1F829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76494-5162-4c7d-8431-9806003ecb30"/>
    <ds:schemaRef ds:uri="76c39681-55ed-4da2-8f7d-ea8b80276f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 RROF Final Floodplain-Wetland Notice 8-22-2017</vt:lpstr>
    </vt:vector>
  </TitlesOfParts>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RROF Final Floodplain-Wetland Notice 8-22-2017</dc:title>
  <dc:creator/>
  <cp:lastModifiedBy/>
  <cp:revision>1</cp:revision>
  <dcterms:created xsi:type="dcterms:W3CDTF">2020-10-09T16:16:00Z</dcterms:created>
  <dcterms:modified xsi:type="dcterms:W3CDTF">2020-10-09T16:18:00Z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3d0b86c5-b5ed-4f43-afaf-4befaf7ef943</vt:lpwstr>
  </property>
  <property fmtid="{D5CDD505-2E9C-101B-9397-08002B2CF9AE}" pid="3" name="ContentTypeId">
    <vt:lpwstr>0x010100550702460CA2D54EAC4C7F303963EE8E</vt:lpwstr>
  </property>
  <property fmtid="{D5CDD505-2E9C-101B-9397-08002B2CF9AE}" pid="4" name="Order">
    <vt:r8>98500</vt:r8>
  </property>
</Properties>
</file>