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8A43D" w14:textId="77777777" w:rsidR="0095063B" w:rsidRDefault="0095063B">
      <w:pPr>
        <w:pStyle w:val="BodyText"/>
        <w:ind w:right="-594"/>
        <w:jc w:val="center"/>
        <w:rPr>
          <w:rFonts w:ascii="Arial" w:hAnsi="Arial"/>
          <w:b/>
          <w:sz w:val="32"/>
        </w:rPr>
      </w:pPr>
      <w:r>
        <w:rPr>
          <w:rFonts w:ascii="Arial" w:hAnsi="Arial"/>
          <w:b/>
          <w:sz w:val="32"/>
        </w:rPr>
        <w:t xml:space="preserve">NEW </w:t>
      </w:r>
      <w:smartTag w:uri="urn:schemas-microsoft-com:office:smarttags" w:element="place">
        <w:r>
          <w:rPr>
            <w:rFonts w:ascii="Arial" w:hAnsi="Arial"/>
            <w:b/>
            <w:sz w:val="32"/>
          </w:rPr>
          <w:t>JERSEY</w:t>
        </w:r>
      </w:smartTag>
      <w:r>
        <w:rPr>
          <w:rFonts w:ascii="Arial" w:hAnsi="Arial"/>
          <w:b/>
          <w:sz w:val="32"/>
        </w:rPr>
        <w:t xml:space="preserve"> TENANT PROPERTY TAX REBATE PROGRAM </w:t>
      </w:r>
    </w:p>
    <w:p w14:paraId="47819E96" w14:textId="77777777" w:rsidR="0095063B" w:rsidRDefault="0095063B">
      <w:pPr>
        <w:pStyle w:val="BodyText"/>
        <w:jc w:val="center"/>
        <w:rPr>
          <w:sz w:val="32"/>
        </w:rPr>
      </w:pPr>
      <w:r>
        <w:rPr>
          <w:rFonts w:ascii="Arial" w:hAnsi="Arial"/>
          <w:b/>
          <w:sz w:val="32"/>
        </w:rPr>
        <w:t>Notice of Tax Reduction</w:t>
      </w:r>
    </w:p>
    <w:p w14:paraId="52ADC605" w14:textId="77777777" w:rsidR="0095063B" w:rsidRDefault="0095063B">
      <w:pPr>
        <w:pStyle w:val="BodyText"/>
        <w:jc w:val="center"/>
        <w:rPr>
          <w:rFonts w:ascii="Arial" w:hAnsi="Arial" w:cs="Arial"/>
          <w:sz w:val="20"/>
        </w:rPr>
      </w:pPr>
      <w:r>
        <w:rPr>
          <w:rFonts w:ascii="Arial" w:hAnsi="Arial" w:cs="Arial"/>
          <w:sz w:val="20"/>
        </w:rPr>
        <w:t>If the property described below is not a rented residential property, you may disregard this Notice.</w:t>
      </w:r>
    </w:p>
    <w:p w14:paraId="6F928C60" w14:textId="77777777" w:rsidR="0095063B" w:rsidRDefault="0095063B">
      <w:pPr>
        <w:pStyle w:val="BodyText"/>
        <w:rPr>
          <w:sz w:val="16"/>
        </w:rPr>
      </w:pPr>
    </w:p>
    <w:p w14:paraId="6420218E" w14:textId="77777777" w:rsidR="0095063B" w:rsidRDefault="0095063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43"/>
          <w:tab w:val="left" w:pos="10052"/>
        </w:tabs>
      </w:pPr>
      <w:r>
        <w:t xml:space="preserve">Municipality             </w:t>
      </w:r>
      <w:r>
        <w:tab/>
      </w:r>
      <w:r>
        <w:tab/>
      </w:r>
      <w:r>
        <w:tab/>
      </w:r>
      <w:r>
        <w:tab/>
        <w:t xml:space="preserve">County   </w:t>
      </w:r>
      <w:r>
        <w:tab/>
      </w:r>
      <w:r>
        <w:tab/>
      </w:r>
      <w:r>
        <w:tab/>
        <w:t xml:space="preserve">    </w:t>
      </w:r>
      <w:r>
        <w:tab/>
      </w:r>
      <w:r>
        <w:tab/>
      </w:r>
      <w:r>
        <w:rPr>
          <w:b/>
        </w:rPr>
        <w:t xml:space="preserve">Tax Rebate Calculation </w:t>
      </w:r>
    </w:p>
    <w:p w14:paraId="3FB426F8" w14:textId="77777777" w:rsidR="0095063B" w:rsidRDefault="0095063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43"/>
          <w:tab w:val="left" w:pos="10052"/>
        </w:tabs>
        <w:rPr>
          <w:sz w:val="26"/>
        </w:rPr>
      </w:pPr>
      <w:r>
        <w:t xml:space="preserve">Block:            </w:t>
      </w:r>
      <w:r>
        <w:tab/>
      </w:r>
      <w:smartTag w:uri="urn:schemas-microsoft-com:office:smarttags" w:element="place">
        <w:r>
          <w:t>Lot</w:t>
        </w:r>
      </w:smartTag>
      <w:r>
        <w:t xml:space="preserve">:                </w:t>
      </w:r>
      <w:r>
        <w:tab/>
        <w:t>Qual:</w:t>
      </w:r>
      <w:r>
        <w:tab/>
      </w:r>
      <w:r>
        <w:rPr>
          <w:sz w:val="20"/>
        </w:rPr>
        <w:tab/>
      </w:r>
      <w:r>
        <w:rPr>
          <w:sz w:val="20"/>
        </w:rPr>
        <w:tab/>
      </w:r>
      <w:r>
        <w:rPr>
          <w:sz w:val="20"/>
        </w:rPr>
        <w:tab/>
      </w:r>
      <w:r>
        <w:rPr>
          <w:sz w:val="20"/>
        </w:rPr>
        <w:tab/>
      </w:r>
      <w:r>
        <w:rPr>
          <w:sz w:val="20"/>
        </w:rPr>
        <w:tab/>
      </w:r>
      <w:r>
        <w:rPr>
          <w:sz w:val="20"/>
        </w:rPr>
        <w:tab/>
      </w:r>
      <w:r>
        <w:rPr>
          <w:sz w:val="22"/>
        </w:rPr>
        <w:t>Base year taxes - xxxx</w:t>
      </w:r>
      <w:r>
        <w:rPr>
          <w:sz w:val="22"/>
        </w:rPr>
        <w:tab/>
      </w:r>
      <w:r>
        <w:rPr>
          <w:sz w:val="22"/>
        </w:rPr>
        <w:tab/>
      </w:r>
      <w:r>
        <w:rPr>
          <w:sz w:val="22"/>
        </w:rPr>
        <w:tab/>
      </w:r>
      <w:r>
        <w:rPr>
          <w:sz w:val="22"/>
        </w:rPr>
        <w:tab/>
        <w:t>$xxxx</w:t>
      </w:r>
    </w:p>
    <w:p w14:paraId="7D47BE86" w14:textId="77777777" w:rsidR="0095063B" w:rsidRDefault="0095063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43"/>
          <w:tab w:val="left" w:pos="10052"/>
        </w:tabs>
        <w:rPr>
          <w:sz w:val="26"/>
        </w:rPr>
      </w:pPr>
      <w:r>
        <w:t xml:space="preserve">Street  Address:                   </w:t>
      </w:r>
      <w:r>
        <w:rPr>
          <w:sz w:val="26"/>
        </w:rPr>
        <w:tab/>
      </w:r>
      <w:r>
        <w:rPr>
          <w:sz w:val="26"/>
        </w:rPr>
        <w:tab/>
      </w:r>
      <w:r>
        <w:rPr>
          <w:sz w:val="26"/>
        </w:rPr>
        <w:tab/>
      </w:r>
      <w:r>
        <w:rPr>
          <w:sz w:val="26"/>
        </w:rPr>
        <w:tab/>
      </w:r>
      <w:r>
        <w:rPr>
          <w:sz w:val="26"/>
        </w:rPr>
        <w:tab/>
      </w:r>
      <w:r>
        <w:rPr>
          <w:sz w:val="26"/>
        </w:rPr>
        <w:tab/>
      </w:r>
      <w:r>
        <w:rPr>
          <w:sz w:val="26"/>
        </w:rPr>
        <w:tab/>
      </w:r>
      <w:r>
        <w:rPr>
          <w:sz w:val="26"/>
        </w:rPr>
        <w:tab/>
      </w:r>
      <w:r>
        <w:rPr>
          <w:sz w:val="22"/>
        </w:rPr>
        <w:t xml:space="preserve">Less Current taxes      </w:t>
      </w:r>
      <w:r>
        <w:rPr>
          <w:sz w:val="22"/>
        </w:rPr>
        <w:tab/>
      </w:r>
      <w:r>
        <w:rPr>
          <w:sz w:val="22"/>
        </w:rPr>
        <w:tab/>
      </w:r>
      <w:r>
        <w:rPr>
          <w:sz w:val="22"/>
        </w:rPr>
        <w:tab/>
        <w:t xml:space="preserve">  </w:t>
      </w:r>
      <w:r>
        <w:rPr>
          <w:sz w:val="22"/>
        </w:rPr>
        <w:tab/>
        <w:t xml:space="preserve">  xxxx</w:t>
      </w:r>
    </w:p>
    <w:p w14:paraId="446510FE" w14:textId="61448C48" w:rsidR="0095063B" w:rsidRDefault="0018371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43"/>
          <w:tab w:val="left" w:pos="10052"/>
        </w:tabs>
        <w:ind w:left="7200" w:firstLine="720"/>
        <w:rPr>
          <w:sz w:val="22"/>
        </w:rPr>
      </w:pPr>
      <w:r>
        <w:rPr>
          <w:noProof/>
          <w:sz w:val="26"/>
        </w:rPr>
        <mc:AlternateContent>
          <mc:Choice Requires="wps">
            <w:drawing>
              <wp:anchor distT="0" distB="0" distL="114300" distR="114300" simplePos="0" relativeHeight="251657728" behindDoc="0" locked="0" layoutInCell="0" allowOverlap="1" wp14:anchorId="27155273" wp14:editId="32617EA7">
                <wp:simplePos x="0" y="0"/>
                <wp:positionH relativeFrom="column">
                  <wp:posOffset>0</wp:posOffset>
                </wp:positionH>
                <wp:positionV relativeFrom="paragraph">
                  <wp:posOffset>52070</wp:posOffset>
                </wp:positionV>
                <wp:extent cx="4457700" cy="977900"/>
                <wp:effectExtent l="0" t="0" r="0" b="0"/>
                <wp:wrapNone/>
                <wp:docPr id="1435216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2DC30" w14:textId="77777777" w:rsidR="0095063B" w:rsidRDefault="0095063B">
                            <w:pPr>
                              <w:rPr>
                                <w:sz w:val="16"/>
                              </w:rPr>
                            </w:pPr>
                            <w:r>
                              <w:rPr>
                                <w:sz w:val="20"/>
                              </w:rPr>
                              <w:t xml:space="preserve">The N.J. Tenants' Property Tax Rebate Act (N.J.S.A. 54:4-6.2 and N.J.A.C. 5:33-3.1 et seq.)  requires the owners of property with </w:t>
                            </w:r>
                            <w:r>
                              <w:rPr>
                                <w:bCs/>
                                <w:sz w:val="20"/>
                              </w:rPr>
                              <w:t>five</w:t>
                            </w:r>
                            <w:r>
                              <w:rPr>
                                <w:sz w:val="20"/>
                              </w:rPr>
                              <w:t xml:space="preserve"> or more rented residential units on one parcel to rebate to their tenants 100% of the tax reduction, with certain exceptions.  Unless this property is one of those, you must rebate to your tenants the amount shown to the right, in accordance with the law (see explanatory information below for more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55273" id="_x0000_t202" coordsize="21600,21600" o:spt="202" path="m,l,21600r21600,l21600,xe">
                <v:stroke joinstyle="miter"/>
                <v:path gradientshapeok="t" o:connecttype="rect"/>
              </v:shapetype>
              <v:shape id="Text Box 3" o:spid="_x0000_s1026" type="#_x0000_t202" style="position:absolute;left:0;text-align:left;margin-left:0;margin-top:4.1pt;width:351pt;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" o:allowincell="f" filled="f" stroked="f">
                <v:textbox>
                  <w:txbxContent>
                    <w:p w14:paraId="4402DC30" w14:textId="77777777" w:rsidR="0095063B" w:rsidRDefault="0095063B">
                      <w:pPr>
                        <w:rPr>
                          <w:sz w:val="16"/>
                        </w:rPr>
                      </w:pPr>
                      <w:r>
                        <w:rPr>
                          <w:sz w:val="20"/>
                        </w:rPr>
                        <w:t xml:space="preserve">The N.J. Tenants' Property Tax Rebate Act (N.J.S.A. 54:4-6.2 and N.J.A.C. 5:33-3.1 et seq.)  requires the owners of property with </w:t>
                      </w:r>
                      <w:r>
                        <w:rPr>
                          <w:bCs/>
                          <w:sz w:val="20"/>
                        </w:rPr>
                        <w:t>five</w:t>
                      </w:r>
                      <w:r>
                        <w:rPr>
                          <w:sz w:val="20"/>
                        </w:rPr>
                        <w:t xml:space="preserve"> or more rented residential units on one parcel to rebate to their tenants 100% of the tax reduction, with certain exceptions.  Unless this property is one of those, you must rebate to your tenants the amount shown to the right, in accordance with the law (see explanatory information below for more details.)</w:t>
                      </w:r>
                    </w:p>
                  </w:txbxContent>
                </v:textbox>
              </v:shape>
            </w:pict>
          </mc:Fallback>
        </mc:AlternateContent>
      </w:r>
      <w:r w:rsidR="0095063B">
        <w:rPr>
          <w:sz w:val="22"/>
        </w:rPr>
        <w:t>Sub-total Property Tax Reduction</w:t>
      </w:r>
      <w:r w:rsidR="0095063B">
        <w:rPr>
          <w:sz w:val="22"/>
        </w:rPr>
        <w:tab/>
        <w:t>$xxxx</w:t>
      </w:r>
    </w:p>
    <w:p w14:paraId="7449B2EB" w14:textId="77777777" w:rsidR="0095063B" w:rsidRDefault="0095063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43"/>
          <w:tab w:val="left" w:pos="10052"/>
        </w:tabs>
        <w:ind w:left="6480"/>
        <w:rPr>
          <w:sz w:val="22"/>
        </w:rPr>
      </w:pPr>
      <w:r>
        <w:rPr>
          <w:sz w:val="22"/>
        </w:rPr>
        <w:tab/>
      </w:r>
      <w:r>
        <w:rPr>
          <w:sz w:val="22"/>
        </w:rPr>
        <w:tab/>
        <w:t>REAP Tax Credit</w:t>
      </w:r>
      <w:r>
        <w:rPr>
          <w:sz w:val="22"/>
        </w:rPr>
        <w:tab/>
      </w:r>
      <w:r>
        <w:rPr>
          <w:sz w:val="22"/>
        </w:rPr>
        <w:tab/>
        <w:t xml:space="preserve"> </w:t>
      </w:r>
      <w:r>
        <w:rPr>
          <w:sz w:val="22"/>
        </w:rPr>
        <w:tab/>
        <w:t xml:space="preserve">  </w:t>
      </w:r>
      <w:r>
        <w:rPr>
          <w:sz w:val="22"/>
        </w:rPr>
        <w:tab/>
        <w:t xml:space="preserve">  xxxx </w:t>
      </w:r>
    </w:p>
    <w:p w14:paraId="4A61C89F" w14:textId="77777777" w:rsidR="0095063B" w:rsidRDefault="0095063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43"/>
          <w:tab w:val="left" w:pos="10052"/>
        </w:tabs>
        <w:ind w:left="6480"/>
        <w:rPr>
          <w:sz w:val="22"/>
        </w:rPr>
      </w:pPr>
      <w:r>
        <w:rPr>
          <w:sz w:val="22"/>
        </w:rPr>
        <w:tab/>
      </w:r>
      <w:r>
        <w:rPr>
          <w:sz w:val="22"/>
        </w:rPr>
        <w:tab/>
        <w:t>Miscellaneous Tax Credit</w:t>
      </w:r>
      <w:r>
        <w:rPr>
          <w:sz w:val="22"/>
        </w:rPr>
        <w:tab/>
      </w:r>
      <w:r>
        <w:rPr>
          <w:sz w:val="22"/>
        </w:rPr>
        <w:tab/>
        <w:t xml:space="preserve">$xxxx </w:t>
      </w:r>
    </w:p>
    <w:p w14:paraId="245A614B" w14:textId="77777777" w:rsidR="0095063B" w:rsidRDefault="0095063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43"/>
          <w:tab w:val="left" w:pos="10052"/>
        </w:tabs>
        <w:ind w:left="6480"/>
        <w:rPr>
          <w:sz w:val="22"/>
        </w:rPr>
      </w:pPr>
      <w:r>
        <w:rPr>
          <w:sz w:val="22"/>
        </w:rPr>
        <w:tab/>
      </w:r>
      <w:r>
        <w:rPr>
          <w:sz w:val="22"/>
        </w:rPr>
        <w:tab/>
        <w:t xml:space="preserve">Total Amount to be Rebated   </w:t>
      </w:r>
      <w:r>
        <w:rPr>
          <w:sz w:val="22"/>
        </w:rPr>
        <w:tab/>
      </w:r>
      <w:r>
        <w:rPr>
          <w:sz w:val="22"/>
        </w:rPr>
        <w:tab/>
        <w:t xml:space="preserve">$xxxx </w:t>
      </w:r>
    </w:p>
    <w:p w14:paraId="3A533271" w14:textId="77777777" w:rsidR="0095063B" w:rsidRDefault="0095063B">
      <w:pPr>
        <w:pStyle w:val="BodyText"/>
        <w:ind w:right="4320"/>
        <w:rPr>
          <w:sz w:val="16"/>
        </w:rPr>
      </w:pPr>
      <w:r>
        <w:rPr>
          <w:sz w:val="16"/>
        </w:rPr>
        <w:tab/>
      </w:r>
      <w:r>
        <w:rPr>
          <w:sz w:val="16"/>
        </w:rPr>
        <w:tab/>
      </w:r>
      <w:r>
        <w:rPr>
          <w:sz w:val="16"/>
        </w:rPr>
        <w:tab/>
      </w:r>
      <w:r>
        <w:rPr>
          <w:sz w:val="16"/>
        </w:rPr>
        <w:tab/>
      </w:r>
      <w:r>
        <w:rPr>
          <w:sz w:val="16"/>
        </w:rPr>
        <w:tab/>
      </w:r>
      <w:r>
        <w:rPr>
          <w:sz w:val="16"/>
        </w:rPr>
        <w:tab/>
      </w:r>
      <w:r>
        <w:rPr>
          <w:sz w:val="16"/>
        </w:rPr>
        <w:tab/>
      </w:r>
    </w:p>
    <w:p w14:paraId="24C2FBBC" w14:textId="35BAD00A" w:rsidR="0095063B" w:rsidRDefault="00183719">
      <w:pPr>
        <w:pStyle w:val="BodyText"/>
        <w:ind w:right="-234"/>
        <w:rPr>
          <w:rFonts w:ascii="Arial" w:hAnsi="Arial"/>
          <w:b/>
          <w:sz w:val="16"/>
        </w:rPr>
      </w:pPr>
      <w:r>
        <w:rPr>
          <w:noProof/>
          <w:sz w:val="16"/>
        </w:rPr>
        <mc:AlternateContent>
          <mc:Choice Requires="wps">
            <w:drawing>
              <wp:anchor distT="0" distB="0" distL="114300" distR="114300" simplePos="0" relativeHeight="251656704" behindDoc="0" locked="0" layoutInCell="1" allowOverlap="1" wp14:anchorId="7808CE61" wp14:editId="7F247C20">
                <wp:simplePos x="0" y="0"/>
                <wp:positionH relativeFrom="column">
                  <wp:posOffset>5143500</wp:posOffset>
                </wp:positionH>
                <wp:positionV relativeFrom="paragraph">
                  <wp:posOffset>-1905</wp:posOffset>
                </wp:positionV>
                <wp:extent cx="2857500" cy="1028700"/>
                <wp:effectExtent l="0" t="0" r="0" b="0"/>
                <wp:wrapThrough wrapText="bothSides">
                  <wp:wrapPolygon edited="0">
                    <wp:start x="-72" y="0"/>
                    <wp:lineTo x="-72" y="21600"/>
                    <wp:lineTo x="21672" y="21600"/>
                    <wp:lineTo x="21672" y="0"/>
                    <wp:lineTo x="-72" y="0"/>
                  </wp:wrapPolygon>
                </wp:wrapThrough>
                <wp:docPr id="1205453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6B10B" w14:textId="77777777" w:rsidR="0095063B" w:rsidRDefault="0095063B">
                            <w:pPr>
                              <w:pStyle w:val="BodyText"/>
                            </w:pPr>
                            <w:r>
                              <w:rPr>
                                <w:rFonts w:ascii="Arial" w:hAnsi="Arial"/>
                                <w:b/>
                              </w:rPr>
                              <w:t>Owner:  Please complete the other side and return this entire form, within 30 days of receipt, to:</w:t>
                            </w:r>
                          </w:p>
                          <w:p w14:paraId="42A2A20D" w14:textId="77777777" w:rsidR="0095063B" w:rsidRDefault="0095063B">
                            <w:pPr>
                              <w:pStyle w:val="BodyText"/>
                              <w:rPr>
                                <w:sz w:val="20"/>
                              </w:rPr>
                            </w:pPr>
                            <w:r>
                              <w:rPr>
                                <w:rFonts w:ascii="Arial" w:hAnsi="Arial"/>
                                <w:sz w:val="20"/>
                              </w:rPr>
                              <w:t>[Name and address of office/agency]</w:t>
                            </w:r>
                          </w:p>
                          <w:p w14:paraId="742FA942" w14:textId="77777777" w:rsidR="0095063B" w:rsidRDefault="009506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8CE61" id="Text Box 2" o:spid="_x0000_s1027" type="#_x0000_t202" style="position:absolute;margin-left:405pt;margin-top:-.15pt;width:22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" filled="f" stroked="f">
                <v:textbox>
                  <w:txbxContent>
                    <w:p w14:paraId="1466B10B" w14:textId="77777777" w:rsidR="0095063B" w:rsidRDefault="0095063B">
                      <w:pPr>
                        <w:pStyle w:val="BodyText"/>
                      </w:pPr>
                      <w:r>
                        <w:rPr>
                          <w:rFonts w:ascii="Arial" w:hAnsi="Arial"/>
                          <w:b/>
                        </w:rPr>
                        <w:t>Owner:  Please complete the other side and return this entire form, within 30 days of receipt, to:</w:t>
                      </w:r>
                    </w:p>
                    <w:p w14:paraId="42A2A20D" w14:textId="77777777" w:rsidR="0095063B" w:rsidRDefault="0095063B">
                      <w:pPr>
                        <w:pStyle w:val="BodyText"/>
                        <w:rPr>
                          <w:sz w:val="20"/>
                        </w:rPr>
                      </w:pPr>
                      <w:r>
                        <w:rPr>
                          <w:rFonts w:ascii="Arial" w:hAnsi="Arial"/>
                          <w:sz w:val="20"/>
                        </w:rPr>
                        <w:t>[Name and address of office/agency]</w:t>
                      </w:r>
                    </w:p>
                    <w:p w14:paraId="742FA942" w14:textId="77777777" w:rsidR="0095063B" w:rsidRDefault="0095063B"/>
                  </w:txbxContent>
                </v:textbox>
                <w10:wrap type="through"/>
              </v:shape>
            </w:pict>
          </mc:Fallback>
        </mc:AlternateContent>
      </w:r>
    </w:p>
    <w:p w14:paraId="6740173D" w14:textId="77777777" w:rsidR="0095063B" w:rsidRDefault="0095063B">
      <w:pPr>
        <w:pStyle w:val="BodyText"/>
        <w:ind w:right="-234"/>
        <w:rPr>
          <w:rFonts w:ascii="Arial" w:hAnsi="Arial"/>
          <w:b/>
          <w:sz w:val="16"/>
        </w:rPr>
      </w:pPr>
    </w:p>
    <w:p w14:paraId="20C864FD" w14:textId="77777777" w:rsidR="0095063B" w:rsidRDefault="0095063B">
      <w:pPr>
        <w:pStyle w:val="BodyText"/>
        <w:ind w:right="-234"/>
        <w:rPr>
          <w:rFonts w:ascii="Arial" w:hAnsi="Arial"/>
          <w:b/>
          <w:sz w:val="16"/>
        </w:rPr>
      </w:pPr>
    </w:p>
    <w:p w14:paraId="42D711FB" w14:textId="77777777" w:rsidR="0095063B" w:rsidRDefault="0095063B">
      <w:pPr>
        <w:pStyle w:val="BodyText"/>
        <w:ind w:right="-234"/>
        <w:rPr>
          <w:sz w:val="16"/>
        </w:rPr>
      </w:pPr>
      <w:r>
        <w:rPr>
          <w:rFonts w:ascii="Arial" w:hAnsi="Arial"/>
          <w:b/>
          <w:sz w:val="16"/>
        </w:rPr>
        <w:t>Refer to the enclosed summary for additional information on the law and program rules.</w:t>
      </w:r>
    </w:p>
    <w:p w14:paraId="4FD99C61" w14:textId="363EAC6D" w:rsidR="0095063B" w:rsidRDefault="00183719">
      <w:pPr>
        <w:pStyle w:val="BodyText"/>
        <w:rPr>
          <w:rFonts w:ascii="Arial" w:hAnsi="Arial"/>
          <w:sz w:val="16"/>
        </w:rPr>
      </w:pPr>
      <w:r>
        <w:rPr>
          <w:noProof/>
          <w:sz w:val="16"/>
        </w:rPr>
        <mc:AlternateContent>
          <mc:Choice Requires="wps">
            <w:drawing>
              <wp:anchor distT="0" distB="0" distL="114300" distR="114300" simplePos="0" relativeHeight="251658752" behindDoc="0" locked="0" layoutInCell="1" allowOverlap="1" wp14:anchorId="04E25FD2" wp14:editId="60519E9C">
                <wp:simplePos x="0" y="0"/>
                <wp:positionH relativeFrom="column">
                  <wp:posOffset>114300</wp:posOffset>
                </wp:positionH>
                <wp:positionV relativeFrom="paragraph">
                  <wp:posOffset>31750</wp:posOffset>
                </wp:positionV>
                <wp:extent cx="4000500" cy="685800"/>
                <wp:effectExtent l="0" t="0" r="0" b="0"/>
                <wp:wrapThrough wrapText="bothSides">
                  <wp:wrapPolygon edited="0">
                    <wp:start x="-51" y="0"/>
                    <wp:lineTo x="-51" y="21600"/>
                    <wp:lineTo x="21651" y="21600"/>
                    <wp:lineTo x="21651" y="0"/>
                    <wp:lineTo x="-51" y="0"/>
                  </wp:wrapPolygon>
                </wp:wrapThrough>
                <wp:docPr id="739847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5800"/>
                        </a:xfrm>
                        <a:prstGeom prst="rect">
                          <a:avLst/>
                        </a:prstGeom>
                        <a:solidFill>
                          <a:srgbClr val="FFFFFF"/>
                        </a:solidFill>
                        <a:ln w="9525">
                          <a:solidFill>
                            <a:srgbClr val="000000"/>
                          </a:solidFill>
                          <a:miter lim="800000"/>
                          <a:headEnd/>
                          <a:tailEnd/>
                        </a:ln>
                      </wps:spPr>
                      <wps:txbx>
                        <w:txbxContent>
                          <w:p w14:paraId="548D8826" w14:textId="77777777" w:rsidR="0095063B" w:rsidRDefault="0095063B"/>
                          <w:p w14:paraId="54AD0374" w14:textId="77777777" w:rsidR="0095063B" w:rsidRDefault="0095063B">
                            <w:pPr>
                              <w:ind w:left="720" w:firstLine="720"/>
                            </w:pPr>
                            <w:r>
                              <w:t>Mailing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25FD2" id="Text Box 4" o:spid="_x0000_s1028" type="#_x0000_t202" style="position:absolute;margin-left:9pt;margin-top:2.5pt;width:31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">
                <v:textbox>
                  <w:txbxContent>
                    <w:p w14:paraId="548D8826" w14:textId="77777777" w:rsidR="0095063B" w:rsidRDefault="0095063B"/>
                    <w:p w14:paraId="54AD0374" w14:textId="77777777" w:rsidR="0095063B" w:rsidRDefault="0095063B">
                      <w:pPr>
                        <w:ind w:left="720" w:firstLine="720"/>
                      </w:pPr>
                      <w:r>
                        <w:t>Mailing Information</w:t>
                      </w:r>
                    </w:p>
                  </w:txbxContent>
                </v:textbox>
                <w10:wrap type="through"/>
              </v:shape>
            </w:pict>
          </mc:Fallback>
        </mc:AlternateContent>
      </w:r>
    </w:p>
    <w:p w14:paraId="6A51190A" w14:textId="77777777" w:rsidR="0095063B" w:rsidRDefault="0095063B">
      <w:pPr>
        <w:pStyle w:val="BodyText"/>
        <w:rPr>
          <w:rFonts w:ascii="Arial" w:hAnsi="Arial"/>
          <w:b/>
        </w:rPr>
      </w:pPr>
    </w:p>
    <w:p w14:paraId="443A92BD" w14:textId="77777777" w:rsidR="0095063B" w:rsidRDefault="0095063B">
      <w:pPr>
        <w:pStyle w:val="BodyText"/>
        <w:jc w:val="center"/>
        <w:rPr>
          <w:rFonts w:ascii="Arial" w:hAnsi="Arial"/>
          <w:b/>
        </w:rPr>
      </w:pPr>
    </w:p>
    <w:p w14:paraId="161C2B0A" w14:textId="77777777" w:rsidR="0095063B" w:rsidRDefault="0095063B">
      <w:pPr>
        <w:pStyle w:val="BodyText"/>
        <w:jc w:val="center"/>
        <w:rPr>
          <w:rFonts w:ascii="Arial" w:hAnsi="Arial"/>
          <w:b/>
        </w:rPr>
      </w:pPr>
    </w:p>
    <w:p w14:paraId="51ABD1F5" w14:textId="77777777" w:rsidR="0095063B" w:rsidRDefault="0095063B">
      <w:pPr>
        <w:pStyle w:val="BodyText"/>
        <w:jc w:val="center"/>
        <w:rPr>
          <w:rFonts w:ascii="Arial" w:hAnsi="Arial"/>
          <w:b/>
        </w:rPr>
      </w:pPr>
    </w:p>
    <w:p w14:paraId="47A28E1A" w14:textId="77777777" w:rsidR="0095063B" w:rsidRDefault="0095063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1"/>
          <w:tab w:val="left" w:pos="10029"/>
          <w:tab w:val="left" w:pos="10710"/>
          <w:tab w:val="left" w:pos="11464"/>
          <w:tab w:val="left" w:pos="12190"/>
        </w:tabs>
        <w:jc w:val="center"/>
        <w:rPr>
          <w:rFonts w:ascii="Arial" w:hAnsi="Arial"/>
          <w:b/>
          <w:lang w:eastAsia="ja-JP"/>
        </w:rPr>
      </w:pPr>
      <w:r>
        <w:rPr>
          <w:rFonts w:ascii="Arial" w:hAnsi="Arial"/>
          <w:b/>
          <w:lang w:eastAsia="ja-JP"/>
        </w:rPr>
        <w:br w:type="page"/>
      </w:r>
    </w:p>
    <w:p w14:paraId="42325D14" w14:textId="77777777" w:rsidR="0095063B" w:rsidRDefault="0095063B">
      <w:pPr>
        <w:pStyle w:val="BodyText"/>
        <w:spacing w:line="360" w:lineRule="atLeast"/>
        <w:jc w:val="center"/>
        <w:rPr>
          <w:b/>
          <w:lang w:eastAsia="ja-JP"/>
        </w:rPr>
      </w:pPr>
      <w:smartTag w:uri="urn:schemas-microsoft-com:office:smarttags" w:element="place">
        <w:smartTag w:uri="urn:schemas-microsoft-com:office:smarttags" w:element="State">
          <w:r>
            <w:rPr>
              <w:rFonts w:ascii="Arial" w:hAnsi="Arial"/>
              <w:b/>
              <w:sz w:val="36"/>
              <w:lang w:eastAsia="ja-JP"/>
            </w:rPr>
            <w:t>New Jersey</w:t>
          </w:r>
        </w:smartTag>
      </w:smartTag>
      <w:r>
        <w:rPr>
          <w:rFonts w:ascii="Arial" w:hAnsi="Arial"/>
          <w:b/>
          <w:sz w:val="36"/>
          <w:lang w:eastAsia="ja-JP"/>
        </w:rPr>
        <w:t xml:space="preserve"> Tenant Property Tax Rebate Program - </w:t>
      </w:r>
      <w:r>
        <w:rPr>
          <w:rFonts w:ascii="Arial" w:hAnsi="Arial"/>
          <w:i/>
          <w:sz w:val="36"/>
          <w:lang w:eastAsia="ja-JP"/>
        </w:rPr>
        <w:t>Rent Rebate Certification</w:t>
      </w:r>
    </w:p>
    <w:p w14:paraId="212995BE" w14:textId="77777777" w:rsidR="0095063B" w:rsidRDefault="0095063B">
      <w:pPr>
        <w:pStyle w:val="BodyText"/>
        <w:spacing w:line="360" w:lineRule="atLeast"/>
        <w:jc w:val="center"/>
        <w:rPr>
          <w:i/>
          <w:lang w:eastAsia="ja-JP"/>
        </w:rPr>
      </w:pPr>
      <w:r>
        <w:rPr>
          <w:rFonts w:ascii="Arial" w:hAnsi="Arial"/>
          <w:i/>
          <w:sz w:val="22"/>
          <w:lang w:eastAsia="ja-JP"/>
        </w:rPr>
        <w:t>For guidance on rebate calculation, please consult the information received with this form.</w:t>
      </w:r>
    </w:p>
    <w:p w14:paraId="53626CD1" w14:textId="77777777" w:rsidR="0095063B" w:rsidRDefault="0095063B">
      <w:pPr>
        <w:pStyle w:val="BodyText"/>
        <w:rPr>
          <w:lang w:eastAsia="ja-JP"/>
        </w:rPr>
      </w:pPr>
      <w:r>
        <w:rPr>
          <w:rFonts w:ascii="Arial" w:hAnsi="Arial"/>
          <w:lang w:eastAsia="ja-JP"/>
        </w:rPr>
        <w:t xml:space="preserve">     Owners of residen</w:t>
      </w:r>
      <w:r w:rsidR="00295E6B">
        <w:rPr>
          <w:rFonts w:ascii="Arial" w:hAnsi="Arial"/>
          <w:lang w:eastAsia="ja-JP"/>
        </w:rPr>
        <w:t>tial rental properties with five</w:t>
      </w:r>
      <w:r>
        <w:rPr>
          <w:rFonts w:ascii="Arial" w:hAnsi="Arial"/>
          <w:lang w:eastAsia="ja-JP"/>
        </w:rPr>
        <w:t xml:space="preserve"> or more units must complete the certificate below, post a copy conspicuously where tenants will see it, and return the original to the municipal office shown on the Notice of Tax Reduction.  If more room is needed, you may create a Supplemental Certificate by photocopying the original onto a full length sheet or another similar method.</w:t>
      </w:r>
    </w:p>
    <w:p w14:paraId="01F5831E" w14:textId="77777777" w:rsidR="0095063B" w:rsidRDefault="0095063B">
      <w:pPr>
        <w:pStyle w:val="BodyText"/>
        <w:spacing w:line="360" w:lineRule="atLeast"/>
        <w:jc w:val="center"/>
        <w:rPr>
          <w:rFonts w:ascii="Arial" w:hAnsi="Arial"/>
          <w:b/>
          <w:sz w:val="32"/>
          <w:lang w:eastAsia="ja-JP"/>
        </w:rPr>
      </w:pPr>
      <w:r>
        <w:rPr>
          <w:rFonts w:ascii="Arial" w:hAnsi="Arial"/>
          <w:b/>
          <w:sz w:val="32"/>
          <w:lang w:eastAsia="ja-JP"/>
        </w:rPr>
        <w:t>Owner Rent Rebate Certification</w:t>
      </w:r>
    </w:p>
    <w:p w14:paraId="42B3CCAC" w14:textId="77777777" w:rsidR="0095063B" w:rsidRDefault="0095063B">
      <w:pPr>
        <w:pStyle w:val="BodyText"/>
        <w:rPr>
          <w:lang w:eastAsia="ja-JP"/>
        </w:rPr>
      </w:pPr>
      <w:r>
        <w:rPr>
          <w:rFonts w:ascii="Arial" w:hAnsi="Arial"/>
          <w:lang w:eastAsia="ja-JP"/>
        </w:rPr>
        <w:t>The undersigned hereby certifies that the amounts shown below reflect the property tax rebate to be paid to tenants in accordance with the N.J. Tenants Property Tax Rebate Law, and that a copy of this certificate has been posted prominently on the premises for tenant inspection.</w:t>
      </w:r>
    </w:p>
    <w:p w14:paraId="06BFB3DD" w14:textId="77777777" w:rsidR="0095063B" w:rsidRDefault="0095063B">
      <w:pPr>
        <w:pStyle w:val="BodyText"/>
        <w:rPr>
          <w:rFonts w:ascii="Arial" w:hAnsi="Arial"/>
          <w:i/>
          <w:lang w:eastAsia="ja-JP"/>
        </w:rPr>
      </w:pPr>
      <w:r>
        <w:rPr>
          <w:rFonts w:ascii="Arial" w:hAnsi="Arial"/>
          <w:b/>
          <w:i/>
          <w:lang w:eastAsia="ja-JP"/>
        </w:rPr>
        <w:t>Rent per unit</w:t>
      </w:r>
      <w:r>
        <w:rPr>
          <w:rFonts w:ascii="Arial" w:hAnsi="Arial"/>
          <w:b/>
          <w:i/>
          <w:lang w:eastAsia="ja-JP"/>
        </w:rPr>
        <w:tab/>
        <w:t>Rebate/Credit per month</w:t>
      </w:r>
      <w:r>
        <w:rPr>
          <w:rFonts w:ascii="Arial" w:hAnsi="Arial"/>
          <w:b/>
          <w:i/>
          <w:lang w:eastAsia="ja-JP"/>
        </w:rPr>
        <w:tab/>
      </w:r>
      <w:r>
        <w:rPr>
          <w:rFonts w:ascii="Arial" w:hAnsi="Arial"/>
          <w:b/>
          <w:i/>
          <w:lang w:eastAsia="ja-JP"/>
        </w:rPr>
        <w:tab/>
        <w:t>Rebate / credit per year</w:t>
      </w:r>
    </w:p>
    <w:p w14:paraId="0363D372" w14:textId="77777777" w:rsidR="0095063B" w:rsidRDefault="0095063B">
      <w:pPr>
        <w:pStyle w:val="BodyText"/>
        <w:rPr>
          <w:rFonts w:ascii="Arial" w:hAnsi="Arial"/>
          <w:i/>
          <w:lang w:eastAsia="ja-JP"/>
        </w:rPr>
      </w:pPr>
      <w:r>
        <w:rPr>
          <w:rFonts w:ascii="Arial" w:hAnsi="Arial"/>
          <w:i/>
          <w:lang w:eastAsia="ja-JP"/>
        </w:rPr>
        <w:t>1.$</w:t>
      </w:r>
      <w:r>
        <w:rPr>
          <w:rFonts w:ascii="Arial" w:hAnsi="Arial"/>
          <w:i/>
          <w:lang w:eastAsia="ja-JP"/>
        </w:rPr>
        <w:tab/>
      </w:r>
      <w:r>
        <w:rPr>
          <w:rFonts w:ascii="Arial" w:hAnsi="Arial"/>
          <w:i/>
          <w:lang w:eastAsia="ja-JP"/>
        </w:rPr>
        <w:tab/>
      </w:r>
      <w:r>
        <w:rPr>
          <w:rFonts w:ascii="Arial" w:hAnsi="Arial"/>
          <w:i/>
          <w:lang w:eastAsia="ja-JP"/>
        </w:rPr>
        <w:tab/>
        <w:t>$</w:t>
      </w:r>
      <w:r>
        <w:rPr>
          <w:rFonts w:ascii="Arial" w:hAnsi="Arial"/>
          <w:i/>
          <w:lang w:eastAsia="ja-JP"/>
        </w:rPr>
        <w:tab/>
      </w:r>
      <w:r>
        <w:rPr>
          <w:rFonts w:ascii="Arial" w:hAnsi="Arial"/>
          <w:i/>
          <w:lang w:eastAsia="ja-JP"/>
        </w:rPr>
        <w:tab/>
      </w:r>
      <w:r>
        <w:rPr>
          <w:rFonts w:ascii="Arial" w:hAnsi="Arial"/>
          <w:i/>
          <w:lang w:eastAsia="ja-JP"/>
        </w:rPr>
        <w:tab/>
      </w:r>
      <w:r>
        <w:rPr>
          <w:rFonts w:ascii="Arial" w:hAnsi="Arial"/>
          <w:i/>
          <w:lang w:eastAsia="ja-JP"/>
        </w:rPr>
        <w:tab/>
      </w:r>
      <w:r>
        <w:rPr>
          <w:rFonts w:ascii="Arial" w:hAnsi="Arial"/>
          <w:i/>
          <w:lang w:eastAsia="ja-JP"/>
        </w:rPr>
        <w:tab/>
        <w:t>$</w:t>
      </w:r>
    </w:p>
    <w:p w14:paraId="27B36BB2" w14:textId="77777777" w:rsidR="0095063B" w:rsidRDefault="0095063B">
      <w:pPr>
        <w:pStyle w:val="BodyText"/>
        <w:rPr>
          <w:rFonts w:ascii="Arial" w:hAnsi="Arial"/>
          <w:i/>
          <w:lang w:eastAsia="ja-JP"/>
        </w:rPr>
      </w:pPr>
      <w:r>
        <w:rPr>
          <w:rFonts w:ascii="Arial" w:hAnsi="Arial"/>
          <w:i/>
          <w:lang w:eastAsia="ja-JP"/>
        </w:rPr>
        <w:t>2.</w:t>
      </w:r>
    </w:p>
    <w:p w14:paraId="293756BE" w14:textId="77777777" w:rsidR="0095063B" w:rsidRDefault="0095063B">
      <w:pPr>
        <w:pStyle w:val="BodyText"/>
        <w:rPr>
          <w:rFonts w:ascii="Arial" w:hAnsi="Arial"/>
          <w:i/>
          <w:lang w:eastAsia="ja-JP"/>
        </w:rPr>
      </w:pPr>
      <w:r>
        <w:rPr>
          <w:rFonts w:ascii="Arial" w:hAnsi="Arial"/>
          <w:i/>
          <w:lang w:eastAsia="ja-JP"/>
        </w:rPr>
        <w:t>3.</w:t>
      </w:r>
    </w:p>
    <w:p w14:paraId="4B079103" w14:textId="77777777" w:rsidR="0095063B" w:rsidRDefault="0095063B">
      <w:pPr>
        <w:pStyle w:val="BodyText"/>
        <w:rPr>
          <w:rFonts w:ascii="Arial" w:hAnsi="Arial"/>
          <w:i/>
          <w:lang w:eastAsia="ja-JP"/>
        </w:rPr>
      </w:pPr>
      <w:r>
        <w:rPr>
          <w:rFonts w:ascii="Arial" w:hAnsi="Arial"/>
          <w:i/>
          <w:lang w:eastAsia="ja-JP"/>
        </w:rPr>
        <w:t>4.</w:t>
      </w:r>
    </w:p>
    <w:p w14:paraId="7C52FFB2" w14:textId="77777777" w:rsidR="00295E6B" w:rsidRDefault="00295E6B">
      <w:pPr>
        <w:pStyle w:val="BodyText"/>
        <w:rPr>
          <w:rFonts w:ascii="Arial" w:hAnsi="Arial"/>
          <w:i/>
          <w:lang w:eastAsia="ja-JP"/>
        </w:rPr>
      </w:pPr>
      <w:r>
        <w:rPr>
          <w:rFonts w:ascii="Arial" w:hAnsi="Arial"/>
          <w:i/>
          <w:lang w:eastAsia="ja-JP"/>
        </w:rPr>
        <w:t>5.</w:t>
      </w:r>
    </w:p>
    <w:p w14:paraId="1728472D" w14:textId="77777777" w:rsidR="0095063B" w:rsidRDefault="0095063B">
      <w:pPr>
        <w:pStyle w:val="BodyText"/>
        <w:rPr>
          <w:rFonts w:ascii="Arial" w:hAnsi="Arial"/>
          <w:i/>
          <w:lang w:eastAsia="ja-JP"/>
        </w:rPr>
      </w:pPr>
      <w:r>
        <w:rPr>
          <w:rFonts w:ascii="Arial" w:hAnsi="Arial"/>
          <w:i/>
          <w:lang w:eastAsia="ja-JP"/>
        </w:rPr>
        <w:t>Residential Totals.      .       .     .   .  .   .     .         .</w:t>
      </w:r>
      <w:r>
        <w:rPr>
          <w:rFonts w:ascii="Arial" w:hAnsi="Arial"/>
          <w:i/>
          <w:lang w:eastAsia="ja-JP"/>
        </w:rPr>
        <w:tab/>
        <w:t xml:space="preserve">$_____________________   </w:t>
      </w:r>
      <w:r>
        <w:rPr>
          <w:rFonts w:ascii="Arial" w:hAnsi="Arial"/>
          <w:i/>
          <w:lang w:eastAsia="ja-JP"/>
        </w:rPr>
        <w:tab/>
        <w:t>_________________________</w:t>
      </w:r>
    </w:p>
    <w:p w14:paraId="7F3F5865" w14:textId="77777777" w:rsidR="0095063B" w:rsidRDefault="0095063B">
      <w:pPr>
        <w:pStyle w:val="BodyText"/>
        <w:rPr>
          <w:rFonts w:ascii="Arial" w:hAnsi="Arial"/>
          <w:lang w:eastAsia="ja-JP"/>
        </w:rPr>
      </w:pPr>
      <w:r>
        <w:rPr>
          <w:rFonts w:ascii="Arial" w:hAnsi="Arial"/>
          <w:i/>
          <w:lang w:eastAsia="ja-JP"/>
        </w:rPr>
        <w:t>Allocation to owner-occupied or commercial unit:</w:t>
      </w:r>
      <w:r>
        <w:rPr>
          <w:rFonts w:ascii="Arial" w:hAnsi="Arial"/>
          <w:i/>
          <w:lang w:eastAsia="ja-JP"/>
        </w:rPr>
        <w:tab/>
        <w:t>$_____________________</w:t>
      </w:r>
      <w:r>
        <w:rPr>
          <w:rFonts w:ascii="Arial" w:hAnsi="Arial"/>
          <w:b/>
          <w:lang w:eastAsia="ja-JP"/>
        </w:rPr>
        <w:tab/>
        <w:t xml:space="preserve">     </w:t>
      </w:r>
      <w:r>
        <w:rPr>
          <w:rFonts w:ascii="Arial" w:hAnsi="Arial"/>
          <w:lang w:eastAsia="ja-JP"/>
        </w:rPr>
        <w:t xml:space="preserve">  (Owner or Agent)</w:t>
      </w:r>
    </w:p>
    <w:p w14:paraId="3C2F0CBC" w14:textId="77777777" w:rsidR="0095063B" w:rsidRDefault="0095063B">
      <w:pPr>
        <w:pStyle w:val="BodyText"/>
        <w:jc w:val="center"/>
        <w:rPr>
          <w:rFonts w:ascii="Arial" w:hAnsi="Arial"/>
          <w:b/>
        </w:rPr>
      </w:pPr>
      <w:r>
        <w:rPr>
          <w:rFonts w:ascii="Arial" w:hAnsi="Arial"/>
          <w:lang w:eastAsia="ja-JP"/>
        </w:rPr>
        <w:t>Date Posted: _______________________</w:t>
      </w:r>
    </w:p>
    <w:p w14:paraId="74084D74" w14:textId="77777777" w:rsidR="0095063B" w:rsidRDefault="0095063B">
      <w:pPr>
        <w:pStyle w:val="BodyText"/>
        <w:jc w:val="center"/>
        <w:rPr>
          <w:rFonts w:ascii="Arial" w:hAnsi="Arial"/>
          <w:b/>
        </w:rPr>
        <w:sectPr w:rsidR="0095063B">
          <w:headerReference w:type="default" r:id="rId7"/>
          <w:footerReference w:type="default" r:id="rId8"/>
          <w:headerReference w:type="first" r:id="rId9"/>
          <w:footerReference w:type="first" r:id="rId10"/>
          <w:pgSz w:w="15840" w:h="12240" w:orient="landscape" w:code="1"/>
          <w:pgMar w:top="720" w:right="1152" w:bottom="720" w:left="1152" w:header="720" w:footer="720" w:gutter="0"/>
          <w:cols w:space="720"/>
          <w:docGrid w:linePitch="360"/>
        </w:sectPr>
      </w:pPr>
    </w:p>
    <w:p w14:paraId="7D904E14" w14:textId="77777777" w:rsidR="0095063B" w:rsidRDefault="0095063B">
      <w:pPr>
        <w:pStyle w:val="BodyText"/>
        <w:jc w:val="center"/>
      </w:pPr>
      <w:r>
        <w:rPr>
          <w:rFonts w:ascii="Arial" w:hAnsi="Arial"/>
          <w:b/>
        </w:rPr>
        <w:lastRenderedPageBreak/>
        <w:t>SUMMARY DESCRIPTION OF TENANTS' PROPERTY TAX REBATE ACT</w:t>
      </w:r>
    </w:p>
    <w:p w14:paraId="241047AF" w14:textId="77777777" w:rsidR="0095063B" w:rsidRDefault="0095063B">
      <w:pPr>
        <w:pStyle w:val="BodyText"/>
        <w:jc w:val="center"/>
        <w:rPr>
          <w:sz w:val="22"/>
        </w:rPr>
      </w:pPr>
      <w:r>
        <w:rPr>
          <w:sz w:val="22"/>
        </w:rPr>
        <w:t>N.J.S.A. 54:4-6.1 et seq. as amended, effective June 1999</w:t>
      </w:r>
    </w:p>
    <w:p w14:paraId="1F9AC624" w14:textId="77777777" w:rsidR="0095063B" w:rsidRDefault="0095063B">
      <w:pPr>
        <w:pStyle w:val="BodyText"/>
        <w:jc w:val="center"/>
        <w:rPr>
          <w:sz w:val="22"/>
        </w:rPr>
      </w:pPr>
      <w:r>
        <w:rPr>
          <w:sz w:val="22"/>
        </w:rPr>
        <w:t>Supplemented by N.J.S.A. 54:4-8.76, effective April 13, 1999</w:t>
      </w:r>
    </w:p>
    <w:p w14:paraId="0FB00416" w14:textId="77777777" w:rsidR="0095063B" w:rsidRDefault="0095063B">
      <w:pPr>
        <w:pStyle w:val="BodyText"/>
        <w:jc w:val="center"/>
        <w:rPr>
          <w:sz w:val="22"/>
        </w:rPr>
      </w:pPr>
    </w:p>
    <w:p w14:paraId="6E996B86" w14:textId="77777777" w:rsidR="0095063B" w:rsidRDefault="0095063B">
      <w:pPr>
        <w:pStyle w:val="BodyText"/>
        <w:rPr>
          <w:sz w:val="22"/>
        </w:rPr>
      </w:pPr>
      <w:r>
        <w:rPr>
          <w:sz w:val="22"/>
        </w:rPr>
        <w:t xml:space="preserve">The attached Notice of Tax Reduction shows the amount of money that the owner of the named residential rental building must provide to tenants </w:t>
      </w:r>
      <w:r>
        <w:rPr>
          <w:bCs/>
          <w:sz w:val="22"/>
        </w:rPr>
        <w:t>under the New Jersey Tenant’s Property Tax Rebate Act.  The law provides that landlords of covered properties must rebate property tax savings to their tenants when one or more of the following three events (all explained in detail below) are triggered:  when property taxes fall below the amount in a statutorily determined base year (see below), there is a REAP property tax credit, or there is a one-time local miscellaneous revenue credit.  This summary explains the owner’s responsibility and other information about the program.</w:t>
      </w:r>
    </w:p>
    <w:p w14:paraId="0EBEE1FA" w14:textId="77777777" w:rsidR="0095063B" w:rsidRDefault="0095063B">
      <w:pPr>
        <w:pStyle w:val="BodyText"/>
        <w:jc w:val="center"/>
        <w:rPr>
          <w:sz w:val="22"/>
        </w:rPr>
      </w:pPr>
    </w:p>
    <w:p w14:paraId="4BEFF5AF" w14:textId="77777777" w:rsidR="0095063B" w:rsidRDefault="0095063B">
      <w:pPr>
        <w:pStyle w:val="BodyText"/>
        <w:rPr>
          <w:sz w:val="22"/>
        </w:rPr>
      </w:pPr>
      <w:r>
        <w:rPr>
          <w:b/>
          <w:sz w:val="22"/>
        </w:rPr>
        <w:t>• Who is subject to the Act?</w:t>
      </w:r>
      <w:r>
        <w:rPr>
          <w:sz w:val="22"/>
        </w:rPr>
        <w:t xml:space="preserve">  Basically, owners of residential rental buildings with </w:t>
      </w:r>
      <w:r>
        <w:rPr>
          <w:bCs/>
          <w:sz w:val="22"/>
        </w:rPr>
        <w:t>five</w:t>
      </w:r>
      <w:r>
        <w:rPr>
          <w:sz w:val="22"/>
        </w:rPr>
        <w:t xml:space="preserve"> or more rental units, and tenants residing in those units.  Exceptions are listed below.  All tenants that occupied the building during the year are eligible, regardless of whether they currently rent or have left.  Best effort attempts (certified, return receipt required mail to the tenant's last known address suffices) must be made to notify tenants who left during the year, and their rebates are to be held for one year before it reverts to the owner.</w:t>
      </w:r>
    </w:p>
    <w:p w14:paraId="4FB10773" w14:textId="77777777" w:rsidR="0095063B" w:rsidRDefault="0095063B">
      <w:pPr>
        <w:pStyle w:val="BodyText"/>
        <w:rPr>
          <w:sz w:val="22"/>
        </w:rPr>
      </w:pPr>
    </w:p>
    <w:p w14:paraId="5577AE8D" w14:textId="77777777" w:rsidR="0095063B" w:rsidRDefault="0095063B">
      <w:pPr>
        <w:pStyle w:val="BodyText"/>
        <w:rPr>
          <w:bCs/>
          <w:sz w:val="22"/>
        </w:rPr>
      </w:pPr>
      <w:r>
        <w:rPr>
          <w:b/>
          <w:sz w:val="22"/>
        </w:rPr>
        <w:t>• How does the Act work?</w:t>
      </w:r>
      <w:r>
        <w:rPr>
          <w:sz w:val="22"/>
        </w:rPr>
        <w:t xml:space="preserve">  </w:t>
      </w:r>
      <w:r>
        <w:rPr>
          <w:bCs/>
          <w:sz w:val="22"/>
        </w:rPr>
        <w:t>Any combination of three circumstances can trigger a Notice of Tax Reduction sent to the owner.  The “Total Amount to be Rebated” must be given as rent reduction to tenants in properties subject to the law:</w:t>
      </w:r>
    </w:p>
    <w:p w14:paraId="6B704703" w14:textId="77777777" w:rsidR="0095063B" w:rsidRDefault="0095063B">
      <w:pPr>
        <w:pStyle w:val="BodyText"/>
        <w:numPr>
          <w:ilvl w:val="0"/>
          <w:numId w:val="10"/>
        </w:numPr>
        <w:rPr>
          <w:bCs/>
          <w:sz w:val="22"/>
        </w:rPr>
      </w:pPr>
      <w:r>
        <w:rPr>
          <w:bCs/>
          <w:sz w:val="22"/>
        </w:rPr>
        <w:t>Whenever an owner’s current property taxes dip below those in the “base year” stored in the tax collector’s computer system (a property tax reduction) pursuant to N.J.S.A. 54:4-6.2 et seq.</w:t>
      </w:r>
    </w:p>
    <w:p w14:paraId="4D613E97" w14:textId="77777777" w:rsidR="0095063B" w:rsidRDefault="0095063B">
      <w:pPr>
        <w:pStyle w:val="BodyText"/>
        <w:numPr>
          <w:ilvl w:val="0"/>
          <w:numId w:val="10"/>
        </w:numPr>
        <w:rPr>
          <w:bCs/>
          <w:sz w:val="22"/>
        </w:rPr>
      </w:pPr>
      <w:r>
        <w:rPr>
          <w:bCs/>
          <w:sz w:val="22"/>
        </w:rPr>
        <w:t>A property tax credit is granted to the property through the State’s Regional Efficiency Aid Program (REAP).  The entire REAP tax credit must be rebated to tenants, even if there is no other rebate and taxes increase.  Rebate rules apply to a REAP credit as if it was a reduction in property taxes pursuant to N.J.S.A. 54:4-8.76 et seq.</w:t>
      </w:r>
    </w:p>
    <w:p w14:paraId="26AB147A" w14:textId="77777777" w:rsidR="0095063B" w:rsidRDefault="0095063B">
      <w:pPr>
        <w:pStyle w:val="BodyText"/>
        <w:numPr>
          <w:ilvl w:val="0"/>
          <w:numId w:val="10"/>
        </w:numPr>
        <w:rPr>
          <w:bCs/>
          <w:sz w:val="22"/>
        </w:rPr>
      </w:pPr>
      <w:r>
        <w:rPr>
          <w:bCs/>
          <w:sz w:val="22"/>
        </w:rPr>
        <w:t>The municipality chose to distribute the receipts of a local miscellaneous revenue to property taxpayers in the form of a property tax credit pursuant to N.J.S.A. 40A:4-27.3.  Under these circumstances, the entire property tax credit must be rebated to tenants, even if there is no other rebate and taxes increase.</w:t>
      </w:r>
    </w:p>
    <w:p w14:paraId="0C3D5C33" w14:textId="77777777" w:rsidR="0095063B" w:rsidRDefault="0095063B">
      <w:pPr>
        <w:pStyle w:val="BodyText"/>
        <w:rPr>
          <w:bCs/>
          <w:sz w:val="22"/>
        </w:rPr>
      </w:pPr>
      <w:r>
        <w:rPr>
          <w:bCs/>
          <w:sz w:val="22"/>
        </w:rPr>
        <w:t>The last two items will always appear on the property tax bill as separate, negative line items.</w:t>
      </w:r>
    </w:p>
    <w:p w14:paraId="2906B5C5" w14:textId="77777777" w:rsidR="0095063B" w:rsidRDefault="0095063B">
      <w:pPr>
        <w:pStyle w:val="BodyText"/>
        <w:rPr>
          <w:sz w:val="22"/>
        </w:rPr>
      </w:pPr>
    </w:p>
    <w:p w14:paraId="0178049C" w14:textId="77777777" w:rsidR="0095063B" w:rsidRDefault="0095063B">
      <w:pPr>
        <w:pStyle w:val="BodyText"/>
        <w:rPr>
          <w:sz w:val="22"/>
        </w:rPr>
      </w:pPr>
    </w:p>
    <w:p w14:paraId="7455976E" w14:textId="77777777" w:rsidR="0095063B" w:rsidRDefault="0095063B">
      <w:pPr>
        <w:pStyle w:val="BodyText"/>
        <w:rPr>
          <w:sz w:val="22"/>
        </w:rPr>
      </w:pPr>
      <w:r>
        <w:rPr>
          <w:b/>
          <w:sz w:val="22"/>
        </w:rPr>
        <w:t xml:space="preserve">• What are the exclusions from liability for tenant rebates? </w:t>
      </w:r>
      <w:r>
        <w:rPr>
          <w:sz w:val="22"/>
        </w:rPr>
        <w:t xml:space="preserve">  </w:t>
      </w:r>
    </w:p>
    <w:p w14:paraId="129F5119" w14:textId="77777777" w:rsidR="0095063B" w:rsidRDefault="0095063B">
      <w:pPr>
        <w:pStyle w:val="BodyText"/>
        <w:rPr>
          <w:sz w:val="22"/>
        </w:rPr>
      </w:pPr>
      <w:r>
        <w:rPr>
          <w:sz w:val="22"/>
        </w:rPr>
        <w:t>If any of the following circumstances are met, this property may not have a rebate requirement.  Contact the municipal tax collector to make the clarification.</w:t>
      </w:r>
    </w:p>
    <w:p w14:paraId="04F6EDF3" w14:textId="77777777" w:rsidR="0095063B" w:rsidRDefault="0095063B">
      <w:pPr>
        <w:pStyle w:val="z-TopofForm"/>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Tax reductions obtained by action of county boards of taxation or local tax assessors or by judgments of the tax court or other courts of competent jurisdiction</w:t>
      </w:r>
    </w:p>
    <w:p w14:paraId="101329CB" w14:textId="77777777" w:rsidR="0095063B" w:rsidRDefault="0095063B">
      <w:pPr>
        <w:pStyle w:val="z-TopofForm"/>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There are up to four rental units in the same building or on a single lot</w:t>
      </w:r>
    </w:p>
    <w:p w14:paraId="4A371228" w14:textId="77777777" w:rsidR="0095063B" w:rsidRDefault="0095063B">
      <w:pPr>
        <w:pStyle w:val="z-TopofForm"/>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It is a hotel, motel or other guest house serving transient or seasonal guests.  "Transient" means up to 90 days and have other permanent residence.</w:t>
      </w:r>
    </w:p>
    <w:p w14:paraId="3DC07853" w14:textId="77777777" w:rsidR="0095063B" w:rsidRDefault="0095063B">
      <w:pPr>
        <w:pStyle w:val="z-TopofForm"/>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They are dwelling units that are:</w:t>
      </w:r>
    </w:p>
    <w:p w14:paraId="1BD4E24B" w14:textId="77777777" w:rsidR="0095063B" w:rsidRDefault="0095063B">
      <w:pPr>
        <w:pStyle w:val="NormalWeb"/>
        <w:numPr>
          <w:ilvl w:val="1"/>
          <w:numId w:val="11"/>
        </w:numPr>
        <w:tabs>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residential cooperatives and mutual housing corporations; </w:t>
      </w:r>
    </w:p>
    <w:p w14:paraId="50FA1E6D" w14:textId="77777777" w:rsidR="0095063B" w:rsidRDefault="0095063B">
      <w:pPr>
        <w:pStyle w:val="NormalWeb"/>
        <w:numPr>
          <w:ilvl w:val="1"/>
          <w:numId w:val="11"/>
        </w:numPr>
        <w:tabs>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condominiums, other than units rented to tenants qualified under the Tenant Protection Act of 1992 (N.J.S.A. 2A:18-61.40 et seq); </w:t>
      </w:r>
    </w:p>
    <w:p w14:paraId="266E2ADE" w14:textId="77777777" w:rsidR="0095063B" w:rsidRDefault="0095063B">
      <w:pPr>
        <w:pStyle w:val="NormalWeb"/>
        <w:numPr>
          <w:ilvl w:val="1"/>
          <w:numId w:val="11"/>
        </w:numPr>
        <w:tabs>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continuing care retirement communities; </w:t>
      </w:r>
    </w:p>
    <w:p w14:paraId="6B6F565F" w14:textId="77777777" w:rsidR="0095063B" w:rsidRDefault="0095063B">
      <w:pPr>
        <w:pStyle w:val="NormalWeb"/>
        <w:numPr>
          <w:ilvl w:val="1"/>
          <w:numId w:val="11"/>
        </w:numPr>
        <w:tabs>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assisted-living facilities in which the cost of medical, nursing, and personal care services is included in the rent;</w:t>
      </w:r>
    </w:p>
    <w:p w14:paraId="29515E8B" w14:textId="77777777" w:rsidR="0095063B" w:rsidRDefault="0095063B">
      <w:pPr>
        <w:pStyle w:val="NormalWeb"/>
        <w:numPr>
          <w:ilvl w:val="1"/>
          <w:numId w:val="11"/>
        </w:numPr>
        <w:tabs>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buildings in rent-controlled communities where the ordinance does not allow for compensating rent increases when taxes go up; or when the rent control ordinance provides for both increases or decreases to be passed along to tenants; and</w:t>
      </w:r>
    </w:p>
    <w:p w14:paraId="31A4C0DB" w14:textId="77777777" w:rsidR="0095063B" w:rsidRDefault="0095063B">
      <w:pPr>
        <w:pStyle w:val="NormalWeb"/>
        <w:numPr>
          <w:ilvl w:val="1"/>
          <w:numId w:val="11"/>
        </w:numPr>
        <w:tabs>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buildings subject to tax abatement agreements.</w:t>
      </w:r>
    </w:p>
    <w:p w14:paraId="18875A8B" w14:textId="77777777" w:rsidR="0095063B" w:rsidRDefault="0095063B">
      <w:pPr>
        <w:pStyle w:val="BodyText"/>
        <w:rPr>
          <w:sz w:val="22"/>
        </w:rPr>
      </w:pPr>
    </w:p>
    <w:p w14:paraId="1BA936D4" w14:textId="77777777" w:rsidR="0095063B" w:rsidRDefault="0095063B">
      <w:pPr>
        <w:pStyle w:val="BodyText"/>
        <w:rPr>
          <w:sz w:val="22"/>
        </w:rPr>
      </w:pPr>
      <w:r>
        <w:rPr>
          <w:b/>
          <w:sz w:val="22"/>
        </w:rPr>
        <w:t>• How is the base year derived?</w:t>
      </w:r>
      <w:r>
        <w:rPr>
          <w:sz w:val="22"/>
        </w:rPr>
        <w:t xml:space="preserve">  Effective June 1, 1999, the base year is 1998 for all eligible properties.  It will be succeeded eventually by:</w:t>
      </w:r>
    </w:p>
    <w:p w14:paraId="45A91C8F" w14:textId="77777777" w:rsidR="0095063B" w:rsidRDefault="0095063B">
      <w:pPr>
        <w:pStyle w:val="z-TopofForm"/>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2"/>
        </w:rPr>
        <w:t>The year property taxes exceed the 1998 amount;</w:t>
      </w:r>
    </w:p>
    <w:p w14:paraId="03B986F9" w14:textId="77777777" w:rsidR="0095063B" w:rsidRDefault="0095063B">
      <w:pPr>
        <w:pStyle w:val="z-TopofForm"/>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first year of a first-time rental;</w:t>
      </w:r>
    </w:p>
    <w:p w14:paraId="7F7BBCF2" w14:textId="77777777" w:rsidR="0095063B" w:rsidRDefault="0095063B">
      <w:pPr>
        <w:pStyle w:val="z-TopofForm"/>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first year of a lowered tax bill obtained by assessment reduction;</w:t>
      </w:r>
    </w:p>
    <w:p w14:paraId="490C7C7C" w14:textId="77777777" w:rsidR="0095063B" w:rsidRDefault="0095063B">
      <w:pPr>
        <w:pStyle w:val="z-TopofForm"/>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year after municipal-wide revaluation or reassessment takes effect;</w:t>
      </w:r>
    </w:p>
    <w:p w14:paraId="7F108286" w14:textId="77777777" w:rsidR="0095063B" w:rsidRDefault="0095063B">
      <w:pPr>
        <w:pStyle w:val="z-TopofForm"/>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year a tax abatement expires; or,</w:t>
      </w:r>
    </w:p>
    <w:p w14:paraId="376C5AF2" w14:textId="77777777" w:rsidR="0095063B" w:rsidRDefault="0095063B">
      <w:pPr>
        <w:pStyle w:val="z-TopofForm"/>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year of a shift from a tax basis to a fee basis for utility services</w:t>
      </w:r>
    </w:p>
    <w:p w14:paraId="52E9D0F3" w14:textId="77777777" w:rsidR="0095063B" w:rsidRDefault="0095063B">
      <w:pPr>
        <w:pStyle w:val="BodyText"/>
        <w:rPr>
          <w:sz w:val="22"/>
        </w:rPr>
      </w:pPr>
    </w:p>
    <w:p w14:paraId="6F01EEB7" w14:textId="77777777" w:rsidR="0095063B" w:rsidRDefault="0095063B">
      <w:pPr>
        <w:pStyle w:val="BodyText"/>
        <w:rPr>
          <w:sz w:val="22"/>
        </w:rPr>
      </w:pPr>
      <w:r>
        <w:rPr>
          <w:b/>
          <w:sz w:val="22"/>
        </w:rPr>
        <w:t>• What are an owner's obligations?</w:t>
      </w:r>
      <w:r>
        <w:rPr>
          <w:sz w:val="22"/>
        </w:rPr>
        <w:t xml:space="preserve">  Within 30 days from receipt of this Notice:</w:t>
      </w:r>
    </w:p>
    <w:p w14:paraId="382FC6A9" w14:textId="77777777" w:rsidR="0095063B" w:rsidRDefault="0095063B">
      <w:pPr>
        <w:pStyle w:val="z-TopofForm"/>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To post notice (the Rent Rebate Certification) in a prominent place and start making rebates to tenants, </w:t>
      </w:r>
    </w:p>
    <w:p w14:paraId="1BE515B1" w14:textId="77777777" w:rsidR="0095063B" w:rsidRDefault="0095063B">
      <w:pPr>
        <w:pStyle w:val="z-TopofForm"/>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To complete monthly rebates by December 31 (if this Notice was received before November 1), or June 30 (if this Notice was received after November 1); </w:t>
      </w:r>
    </w:p>
    <w:p w14:paraId="3E7DE80A" w14:textId="77777777" w:rsidR="0095063B" w:rsidRDefault="0095063B">
      <w:pPr>
        <w:pStyle w:val="z-TopofForm"/>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To make the first pre-November 1 rebate cumulative from January 1 to the month after receipt of the Notice; or, to equalize post-November monthly rebates by dividing the amount to be rebated by the number of months to June 30; and,</w:t>
      </w:r>
    </w:p>
    <w:p w14:paraId="7F3B9F12" w14:textId="77777777" w:rsidR="0095063B" w:rsidRDefault="0095063B">
      <w:pPr>
        <w:pStyle w:val="z-TopofForm"/>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At the owners option, to make rebates in cash or rent credit at each payment date.  Rebates for unoccupied units or commercial use units are retained by the owner.</w:t>
      </w:r>
    </w:p>
    <w:p w14:paraId="2D5274C5" w14:textId="77777777" w:rsidR="0095063B" w:rsidRDefault="0095063B">
      <w:pPr>
        <w:pStyle w:val="BodyText"/>
        <w:rPr>
          <w:sz w:val="22"/>
        </w:rPr>
      </w:pPr>
    </w:p>
    <w:p w14:paraId="4F566D87" w14:textId="77777777" w:rsidR="0095063B" w:rsidRDefault="0095063B">
      <w:pPr>
        <w:pStyle w:val="BodyText"/>
        <w:rPr>
          <w:sz w:val="22"/>
        </w:rPr>
      </w:pPr>
      <w:r>
        <w:rPr>
          <w:b/>
          <w:sz w:val="22"/>
        </w:rPr>
        <w:t xml:space="preserve">• What are the tenants' obligations?   </w:t>
      </w:r>
      <w:r>
        <w:rPr>
          <w:sz w:val="22"/>
        </w:rPr>
        <w:t>None, other than to keep their rent payments current.  Rebates on those units where rent is disputed or delinquent must be held until the rent is made current.</w:t>
      </w:r>
    </w:p>
    <w:p w14:paraId="41B4A437" w14:textId="77777777" w:rsidR="0095063B" w:rsidRDefault="0095063B">
      <w:pPr>
        <w:pStyle w:val="BodyText"/>
        <w:rPr>
          <w:sz w:val="22"/>
        </w:rPr>
      </w:pPr>
    </w:p>
    <w:p w14:paraId="4A0CB975" w14:textId="77777777" w:rsidR="0095063B" w:rsidRDefault="0095063B">
      <w:pPr>
        <w:pStyle w:val="BodyText"/>
        <w:rPr>
          <w:sz w:val="22"/>
        </w:rPr>
      </w:pPr>
      <w:r>
        <w:rPr>
          <w:b/>
          <w:sz w:val="22"/>
        </w:rPr>
        <w:t>• How does a tenant learn of his rebate entitlement?</w:t>
      </w:r>
      <w:r>
        <w:rPr>
          <w:sz w:val="22"/>
        </w:rPr>
        <w:t xml:space="preserve">  By notice from his owner posted in a conspicuous place; or by asking the tax collector, “Did my owner have a tax reduction?” “How much was it?”</w:t>
      </w:r>
    </w:p>
    <w:p w14:paraId="6533916C" w14:textId="77777777" w:rsidR="0095063B" w:rsidRDefault="0095063B">
      <w:pPr>
        <w:pStyle w:val="BodyText"/>
        <w:rPr>
          <w:sz w:val="22"/>
        </w:rPr>
      </w:pPr>
      <w:r>
        <w:rPr>
          <w:sz w:val="22"/>
        </w:rPr>
        <w:tab/>
      </w:r>
    </w:p>
    <w:p w14:paraId="065EC6DC" w14:textId="77777777" w:rsidR="0095063B" w:rsidRDefault="0095063B">
      <w:pPr>
        <w:pStyle w:val="BodyText"/>
        <w:rPr>
          <w:sz w:val="22"/>
        </w:rPr>
      </w:pPr>
      <w:r>
        <w:rPr>
          <w:b/>
          <w:sz w:val="22"/>
        </w:rPr>
        <w:t>• What is a tenant's remedy in case a owner does not make the rebate?</w:t>
      </w:r>
      <w:r>
        <w:rPr>
          <w:sz w:val="22"/>
        </w:rPr>
        <w:t xml:space="preserve">  To file a complaint at municipal court, with a summons or warrant to issue from the municipal prosecutor.  Superior courts also have jurisdiction.  The owner's penalty on conviction is a $100 fine and the tenant may receive a rebate equal to double the amount.</w:t>
      </w:r>
    </w:p>
    <w:p w14:paraId="7CFFAB9A" w14:textId="77777777" w:rsidR="0095063B" w:rsidRDefault="0095063B">
      <w:pPr>
        <w:pStyle w:val="BodyText"/>
        <w:rPr>
          <w:sz w:val="22"/>
        </w:rPr>
      </w:pPr>
    </w:p>
    <w:p w14:paraId="7767304C" w14:textId="77777777" w:rsidR="0095063B" w:rsidRDefault="0095063B">
      <w:pPr>
        <w:pStyle w:val="BodyText"/>
        <w:rPr>
          <w:sz w:val="22"/>
        </w:rPr>
      </w:pPr>
      <w:r>
        <w:rPr>
          <w:b/>
          <w:sz w:val="22"/>
        </w:rPr>
        <w:t xml:space="preserve">• How </w:t>
      </w:r>
      <w:r>
        <w:rPr>
          <w:sz w:val="22"/>
        </w:rPr>
        <w:t>is the tenant's rebate calculated</w:t>
      </w:r>
      <w:r>
        <w:rPr>
          <w:b/>
          <w:sz w:val="22"/>
        </w:rPr>
        <w:t xml:space="preserve">? </w:t>
      </w:r>
      <w:r>
        <w:rPr>
          <w:sz w:val="22"/>
        </w:rPr>
        <w:t xml:space="preserve">  The following method is preferred, though other methods that meet the law may be used </w:t>
      </w:r>
      <w:r>
        <w:rPr>
          <w:i/>
          <w:sz w:val="22"/>
        </w:rPr>
        <w:t>(letters in italic refer to the chart below)</w:t>
      </w:r>
      <w:r>
        <w:rPr>
          <w:sz w:val="22"/>
        </w:rPr>
        <w:t>:</w:t>
      </w:r>
    </w:p>
    <w:p w14:paraId="4CB4CF77" w14:textId="77777777" w:rsidR="0095063B" w:rsidRDefault="0095063B">
      <w:pPr>
        <w:pStyle w:val="BodyText"/>
        <w:numPr>
          <w:ilvl w:val="0"/>
          <w:numId w:val="16"/>
        </w:numPr>
        <w:rPr>
          <w:sz w:val="22"/>
        </w:rPr>
      </w:pPr>
      <w:r>
        <w:rPr>
          <w:sz w:val="22"/>
        </w:rPr>
        <w:t>Divide the “Amount to be Rebated” by 12 for the total amount to be apportioned monthly among all tenants.</w:t>
      </w:r>
    </w:p>
    <w:p w14:paraId="4F87EBCF" w14:textId="77777777" w:rsidR="0095063B" w:rsidRDefault="0095063B">
      <w:pPr>
        <w:pStyle w:val="BodyText"/>
        <w:numPr>
          <w:ilvl w:val="0"/>
          <w:numId w:val="16"/>
        </w:numPr>
        <w:rPr>
          <w:sz w:val="22"/>
        </w:rPr>
      </w:pPr>
      <w:r>
        <w:rPr>
          <w:sz w:val="22"/>
        </w:rPr>
        <w:t>List under “Rent per Unit” on the Owner Certificate</w:t>
      </w:r>
      <w:r>
        <w:rPr>
          <w:i/>
          <w:sz w:val="22"/>
        </w:rPr>
        <w:t xml:space="preserve"> (a)</w:t>
      </w:r>
      <w:r>
        <w:rPr>
          <w:sz w:val="22"/>
        </w:rPr>
        <w:t xml:space="preserve"> each different monthly rent category and the number of units </w:t>
      </w:r>
      <w:r>
        <w:rPr>
          <w:i/>
          <w:sz w:val="22"/>
        </w:rPr>
        <w:t>(b)</w:t>
      </w:r>
      <w:r>
        <w:rPr>
          <w:sz w:val="22"/>
        </w:rPr>
        <w:t xml:space="preserve"> in each.  Assign a rent to commercial and owner-occupied units when applicable.</w:t>
      </w:r>
    </w:p>
    <w:p w14:paraId="2C6E4D66" w14:textId="77777777" w:rsidR="0095063B" w:rsidRDefault="0095063B">
      <w:pPr>
        <w:pStyle w:val="BodyText"/>
        <w:numPr>
          <w:ilvl w:val="0"/>
          <w:numId w:val="16"/>
        </w:numPr>
        <w:rPr>
          <w:sz w:val="22"/>
        </w:rPr>
      </w:pPr>
      <w:r>
        <w:rPr>
          <w:sz w:val="22"/>
        </w:rPr>
        <w:t xml:space="preserve">Add all rents together </w:t>
      </w:r>
      <w:r>
        <w:rPr>
          <w:i/>
          <w:sz w:val="22"/>
        </w:rPr>
        <w:t>(c)</w:t>
      </w:r>
      <w:r>
        <w:rPr>
          <w:sz w:val="22"/>
        </w:rPr>
        <w:t xml:space="preserve"> and divide each by the total for the percentage of rebate applicable to each </w:t>
      </w:r>
      <w:r>
        <w:rPr>
          <w:i/>
          <w:sz w:val="22"/>
        </w:rPr>
        <w:t>(d)</w:t>
      </w:r>
      <w:r>
        <w:rPr>
          <w:sz w:val="22"/>
        </w:rPr>
        <w:t>.</w:t>
      </w:r>
    </w:p>
    <w:p w14:paraId="1E9C1CCC" w14:textId="77777777" w:rsidR="0095063B" w:rsidRDefault="0095063B">
      <w:pPr>
        <w:pStyle w:val="BodyText"/>
        <w:numPr>
          <w:ilvl w:val="0"/>
          <w:numId w:val="16"/>
        </w:numPr>
        <w:rPr>
          <w:sz w:val="22"/>
        </w:rPr>
      </w:pPr>
      <w:r>
        <w:rPr>
          <w:sz w:val="22"/>
        </w:rPr>
        <w:t>Multiply the monthly amount</w:t>
      </w:r>
      <w:r>
        <w:rPr>
          <w:i/>
          <w:sz w:val="22"/>
        </w:rPr>
        <w:t xml:space="preserve"> </w:t>
      </w:r>
      <w:r>
        <w:rPr>
          <w:sz w:val="22"/>
        </w:rPr>
        <w:t xml:space="preserve">to be rebated </w:t>
      </w:r>
      <w:r>
        <w:rPr>
          <w:i/>
          <w:sz w:val="22"/>
        </w:rPr>
        <w:t>(e)</w:t>
      </w:r>
      <w:r>
        <w:rPr>
          <w:sz w:val="22"/>
        </w:rPr>
        <w:t xml:space="preserve">, by each percentage </w:t>
      </w:r>
      <w:r>
        <w:rPr>
          <w:i/>
          <w:sz w:val="22"/>
        </w:rPr>
        <w:t>(d)</w:t>
      </w:r>
      <w:r>
        <w:rPr>
          <w:sz w:val="22"/>
        </w:rPr>
        <w:t xml:space="preserve">, for the Rebate/Credit per Month in each category </w:t>
      </w:r>
      <w:r>
        <w:rPr>
          <w:i/>
          <w:sz w:val="22"/>
        </w:rPr>
        <w:t>(f)</w:t>
      </w:r>
      <w:r>
        <w:rPr>
          <w:sz w:val="22"/>
        </w:rPr>
        <w:t xml:space="preserve">; divide this by the number of tenants in each class </w:t>
      </w:r>
      <w:r>
        <w:rPr>
          <w:i/>
          <w:sz w:val="22"/>
        </w:rPr>
        <w:t>(b)</w:t>
      </w:r>
      <w:r>
        <w:rPr>
          <w:sz w:val="22"/>
        </w:rPr>
        <w:t xml:space="preserve"> for the share due each tenant </w:t>
      </w:r>
      <w:r>
        <w:rPr>
          <w:i/>
          <w:sz w:val="22"/>
        </w:rPr>
        <w:t>(g)</w:t>
      </w:r>
      <w:r>
        <w:rPr>
          <w:sz w:val="22"/>
        </w:rPr>
        <w:t>.</w:t>
      </w:r>
    </w:p>
    <w:p w14:paraId="6609704F" w14:textId="77777777" w:rsidR="0095063B" w:rsidRDefault="0095063B">
      <w:pPr>
        <w:pStyle w:val="BodyText"/>
        <w:rPr>
          <w:sz w:val="22"/>
        </w:rPr>
      </w:pPr>
    </w:p>
    <w:p w14:paraId="13267B5E" w14:textId="77777777" w:rsidR="0095063B" w:rsidRDefault="0095063B">
      <w:pPr>
        <w:pStyle w:val="BodyText"/>
        <w:rPr>
          <w:sz w:val="22"/>
        </w:rPr>
      </w:pPr>
      <w:r>
        <w:rPr>
          <w:sz w:val="22"/>
        </w:rPr>
        <w:t>To graphically show the full calculation, this example uses the following facts:</w:t>
      </w:r>
    </w:p>
    <w:p w14:paraId="46577182" w14:textId="77777777" w:rsidR="0095063B" w:rsidRDefault="0095063B">
      <w:pPr>
        <w:pStyle w:val="z-TopofForm"/>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property has 10 rental units, broken into 4 different rent classes, two with three units each, and two with two units each.  No commercial rent.</w:t>
      </w:r>
    </w:p>
    <w:p w14:paraId="23AA5016" w14:textId="77777777" w:rsidR="0095063B" w:rsidRDefault="0095063B">
      <w:pPr>
        <w:pStyle w:val="z-TopofForm"/>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Amount to be Rebated provided on the Notice is $1,750; the monthly amount is $146 ($1,750/12).</w:t>
      </w:r>
    </w:p>
    <w:p w14:paraId="57CF16E2" w14:textId="77777777" w:rsidR="0095063B" w:rsidRDefault="0095063B">
      <w:pPr>
        <w:pStyle w:val="BodyText"/>
        <w:jc w:val="center"/>
        <w:rPr>
          <w:rFonts w:ascii="Arial" w:hAnsi="Arial"/>
          <w:b/>
          <w:sz w:val="22"/>
        </w:rPr>
      </w:pPr>
    </w:p>
    <w:p w14:paraId="3EADD376" w14:textId="77777777" w:rsidR="0095063B" w:rsidRDefault="0095063B">
      <w:pPr>
        <w:pStyle w:val="BodyText"/>
        <w:jc w:val="center"/>
      </w:pPr>
      <w:r>
        <w:rPr>
          <w:rFonts w:ascii="Arial" w:hAnsi="Arial"/>
          <w:b/>
          <w:sz w:val="22"/>
        </w:rPr>
        <w:t>SAMPLE REBATE CALCULATION</w:t>
      </w:r>
    </w:p>
    <w:p w14:paraId="2D963D45" w14:textId="77777777" w:rsidR="0095063B" w:rsidRDefault="0095063B">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183"/>
        <w:gridCol w:w="1118"/>
        <w:gridCol w:w="1230"/>
        <w:gridCol w:w="2117"/>
        <w:gridCol w:w="1328"/>
        <w:gridCol w:w="1343"/>
        <w:gridCol w:w="1617"/>
      </w:tblGrid>
      <w:tr w:rsidR="0095063B" w14:paraId="2A4D825F" w14:textId="77777777">
        <w:tblPrEx>
          <w:tblCellMar>
            <w:top w:w="0" w:type="dxa"/>
            <w:bottom w:w="0" w:type="dxa"/>
          </w:tblCellMar>
        </w:tblPrEx>
        <w:trPr>
          <w:jc w:val="center"/>
        </w:trPr>
        <w:tc>
          <w:tcPr>
            <w:tcW w:w="1183" w:type="dxa"/>
            <w:tcBorders>
              <w:top w:val="single" w:sz="4" w:space="0" w:color="auto"/>
              <w:left w:val="single" w:sz="4" w:space="0" w:color="auto"/>
              <w:bottom w:val="single" w:sz="24" w:space="0" w:color="auto"/>
              <w:right w:val="single" w:sz="4" w:space="0" w:color="auto"/>
            </w:tcBorders>
          </w:tcPr>
          <w:p w14:paraId="77B94D04" w14:textId="77777777" w:rsidR="0095063B" w:rsidRDefault="0095063B">
            <w:pPr>
              <w:pStyle w:val="BodyText"/>
              <w:jc w:val="center"/>
            </w:pPr>
            <w:r>
              <w:t>(a)</w:t>
            </w:r>
          </w:p>
          <w:p w14:paraId="1ACC8133" w14:textId="77777777" w:rsidR="0095063B" w:rsidRDefault="0095063B">
            <w:pPr>
              <w:pStyle w:val="BodyText"/>
              <w:jc w:val="center"/>
            </w:pPr>
            <w:r>
              <w:t xml:space="preserve">Rent per </w:t>
            </w:r>
            <w:r>
              <w:lastRenderedPageBreak/>
              <w:t>Unit</w:t>
            </w:r>
          </w:p>
        </w:tc>
        <w:tc>
          <w:tcPr>
            <w:tcW w:w="1118" w:type="dxa"/>
            <w:tcBorders>
              <w:top w:val="single" w:sz="4" w:space="0" w:color="auto"/>
              <w:left w:val="single" w:sz="4" w:space="0" w:color="auto"/>
              <w:bottom w:val="single" w:sz="24" w:space="0" w:color="auto"/>
              <w:right w:val="single" w:sz="4" w:space="0" w:color="auto"/>
            </w:tcBorders>
          </w:tcPr>
          <w:p w14:paraId="328546FD" w14:textId="77777777" w:rsidR="0095063B" w:rsidRDefault="0095063B">
            <w:pPr>
              <w:pStyle w:val="BodyText"/>
              <w:jc w:val="center"/>
            </w:pPr>
            <w:r>
              <w:lastRenderedPageBreak/>
              <w:t>(b)</w:t>
            </w:r>
          </w:p>
          <w:p w14:paraId="3E0119FF" w14:textId="77777777" w:rsidR="0095063B" w:rsidRDefault="0095063B">
            <w:pPr>
              <w:pStyle w:val="BodyText"/>
              <w:jc w:val="center"/>
            </w:pPr>
            <w:r>
              <w:t># of Units</w:t>
            </w:r>
          </w:p>
        </w:tc>
        <w:tc>
          <w:tcPr>
            <w:tcW w:w="1230" w:type="dxa"/>
            <w:tcBorders>
              <w:top w:val="single" w:sz="4" w:space="0" w:color="auto"/>
              <w:left w:val="single" w:sz="4" w:space="0" w:color="auto"/>
              <w:bottom w:val="single" w:sz="24" w:space="0" w:color="auto"/>
              <w:right w:val="single" w:sz="4" w:space="0" w:color="auto"/>
            </w:tcBorders>
          </w:tcPr>
          <w:p w14:paraId="4B4F2D6B" w14:textId="77777777" w:rsidR="0095063B" w:rsidRDefault="0095063B">
            <w:pPr>
              <w:pStyle w:val="BodyText"/>
              <w:jc w:val="center"/>
            </w:pPr>
            <w:r>
              <w:t>(c)</w:t>
            </w:r>
          </w:p>
          <w:p w14:paraId="378E3D49" w14:textId="77777777" w:rsidR="0095063B" w:rsidRDefault="0095063B">
            <w:pPr>
              <w:pStyle w:val="BodyText"/>
              <w:jc w:val="center"/>
            </w:pPr>
            <w:r>
              <w:t>Total Rent</w:t>
            </w:r>
          </w:p>
          <w:p w14:paraId="66D1E412" w14:textId="77777777" w:rsidR="0095063B" w:rsidRDefault="0095063B">
            <w:pPr>
              <w:pStyle w:val="BodyText"/>
              <w:jc w:val="center"/>
            </w:pPr>
            <w:r>
              <w:lastRenderedPageBreak/>
              <w:t>per class</w:t>
            </w:r>
          </w:p>
          <w:p w14:paraId="1D277C7B" w14:textId="77777777" w:rsidR="0095063B" w:rsidRDefault="0095063B">
            <w:pPr>
              <w:pStyle w:val="BodyText"/>
              <w:jc w:val="center"/>
            </w:pPr>
            <w:r>
              <w:t>(a times b)</w:t>
            </w:r>
          </w:p>
        </w:tc>
        <w:tc>
          <w:tcPr>
            <w:tcW w:w="2117" w:type="dxa"/>
            <w:tcBorders>
              <w:top w:val="single" w:sz="4" w:space="0" w:color="auto"/>
              <w:left w:val="single" w:sz="4" w:space="0" w:color="auto"/>
              <w:bottom w:val="single" w:sz="24" w:space="0" w:color="auto"/>
              <w:right w:val="single" w:sz="4" w:space="0" w:color="auto"/>
            </w:tcBorders>
          </w:tcPr>
          <w:p w14:paraId="0EDF2A6B" w14:textId="77777777" w:rsidR="0095063B" w:rsidRDefault="0095063B">
            <w:pPr>
              <w:pStyle w:val="BodyText"/>
              <w:jc w:val="center"/>
            </w:pPr>
            <w:r>
              <w:lastRenderedPageBreak/>
              <w:t>(d)</w:t>
            </w:r>
          </w:p>
          <w:p w14:paraId="226AF309" w14:textId="77777777" w:rsidR="0095063B" w:rsidRDefault="0095063B">
            <w:pPr>
              <w:pStyle w:val="BodyText"/>
              <w:jc w:val="center"/>
            </w:pPr>
            <w:r>
              <w:t xml:space="preserve">% of rebate for rent </w:t>
            </w:r>
            <w:r>
              <w:lastRenderedPageBreak/>
              <w:t xml:space="preserve">class </w:t>
            </w:r>
          </w:p>
          <w:p w14:paraId="7BFA6187" w14:textId="77777777" w:rsidR="0095063B" w:rsidRDefault="0095063B">
            <w:pPr>
              <w:pStyle w:val="BodyText"/>
              <w:jc w:val="center"/>
            </w:pPr>
            <w:r>
              <w:t>(c divided by total c)</w:t>
            </w:r>
          </w:p>
        </w:tc>
        <w:tc>
          <w:tcPr>
            <w:tcW w:w="1328" w:type="dxa"/>
            <w:tcBorders>
              <w:top w:val="single" w:sz="4" w:space="0" w:color="auto"/>
              <w:left w:val="single" w:sz="4" w:space="0" w:color="auto"/>
              <w:bottom w:val="single" w:sz="24" w:space="0" w:color="auto"/>
              <w:right w:val="single" w:sz="4" w:space="0" w:color="auto"/>
            </w:tcBorders>
          </w:tcPr>
          <w:p w14:paraId="4F7C8043" w14:textId="77777777" w:rsidR="0095063B" w:rsidRDefault="0095063B">
            <w:pPr>
              <w:pStyle w:val="BodyText"/>
              <w:jc w:val="center"/>
            </w:pPr>
            <w:r>
              <w:lastRenderedPageBreak/>
              <w:t>(e)</w:t>
            </w:r>
          </w:p>
          <w:p w14:paraId="76516CDE" w14:textId="77777777" w:rsidR="0095063B" w:rsidRDefault="0095063B">
            <w:pPr>
              <w:pStyle w:val="BodyText"/>
              <w:jc w:val="center"/>
            </w:pPr>
            <w:r>
              <w:t xml:space="preserve">Monthly </w:t>
            </w:r>
            <w:r>
              <w:lastRenderedPageBreak/>
              <w:t>rebate amount</w:t>
            </w:r>
          </w:p>
        </w:tc>
        <w:tc>
          <w:tcPr>
            <w:tcW w:w="1343" w:type="dxa"/>
            <w:tcBorders>
              <w:top w:val="single" w:sz="4" w:space="0" w:color="auto"/>
              <w:left w:val="single" w:sz="4" w:space="0" w:color="auto"/>
              <w:bottom w:val="single" w:sz="24" w:space="0" w:color="auto"/>
              <w:right w:val="single" w:sz="4" w:space="0" w:color="auto"/>
            </w:tcBorders>
          </w:tcPr>
          <w:p w14:paraId="2CCA7B62" w14:textId="77777777" w:rsidR="0095063B" w:rsidRDefault="0095063B">
            <w:pPr>
              <w:pStyle w:val="BodyText"/>
              <w:jc w:val="center"/>
            </w:pPr>
            <w:r>
              <w:lastRenderedPageBreak/>
              <w:t xml:space="preserve"> (f)</w:t>
            </w:r>
          </w:p>
          <w:p w14:paraId="6EEC2675" w14:textId="77777777" w:rsidR="0095063B" w:rsidRDefault="0095063B">
            <w:pPr>
              <w:pStyle w:val="BodyText"/>
              <w:jc w:val="center"/>
            </w:pPr>
            <w:r>
              <w:t xml:space="preserve">Rebate for </w:t>
            </w:r>
            <w:r>
              <w:lastRenderedPageBreak/>
              <w:t xml:space="preserve">rent class  </w:t>
            </w:r>
          </w:p>
          <w:p w14:paraId="748C37C2" w14:textId="77777777" w:rsidR="0095063B" w:rsidRDefault="0095063B">
            <w:pPr>
              <w:pStyle w:val="BodyText"/>
              <w:jc w:val="center"/>
            </w:pPr>
            <w:r>
              <w:t>(d times e)</w:t>
            </w:r>
          </w:p>
        </w:tc>
        <w:tc>
          <w:tcPr>
            <w:tcW w:w="1617" w:type="dxa"/>
            <w:tcBorders>
              <w:top w:val="single" w:sz="4" w:space="0" w:color="auto"/>
              <w:left w:val="single" w:sz="4" w:space="0" w:color="auto"/>
              <w:bottom w:val="single" w:sz="24" w:space="0" w:color="auto"/>
              <w:right w:val="single" w:sz="4" w:space="0" w:color="auto"/>
            </w:tcBorders>
          </w:tcPr>
          <w:p w14:paraId="424404FD" w14:textId="77777777" w:rsidR="0095063B" w:rsidRDefault="0095063B">
            <w:pPr>
              <w:pStyle w:val="BodyText"/>
              <w:jc w:val="center"/>
            </w:pPr>
            <w:r>
              <w:lastRenderedPageBreak/>
              <w:t>(g)</w:t>
            </w:r>
          </w:p>
          <w:p w14:paraId="46802CF6" w14:textId="77777777" w:rsidR="0095063B" w:rsidRDefault="0095063B">
            <w:pPr>
              <w:pStyle w:val="BodyText"/>
              <w:jc w:val="center"/>
            </w:pPr>
            <w:r>
              <w:t xml:space="preserve">Monthly </w:t>
            </w:r>
            <w:r>
              <w:lastRenderedPageBreak/>
              <w:t>Rebate per unit</w:t>
            </w:r>
          </w:p>
          <w:p w14:paraId="3E49A50C" w14:textId="77777777" w:rsidR="0095063B" w:rsidRDefault="0095063B">
            <w:pPr>
              <w:pStyle w:val="BodyText"/>
              <w:jc w:val="center"/>
            </w:pPr>
            <w:r>
              <w:t>(f divided by b)</w:t>
            </w:r>
          </w:p>
        </w:tc>
      </w:tr>
      <w:tr w:rsidR="0095063B" w14:paraId="7FF0047F" w14:textId="77777777">
        <w:tblPrEx>
          <w:tblCellMar>
            <w:top w:w="0" w:type="dxa"/>
            <w:bottom w:w="0" w:type="dxa"/>
          </w:tblCellMar>
        </w:tblPrEx>
        <w:trPr>
          <w:jc w:val="center"/>
        </w:trPr>
        <w:tc>
          <w:tcPr>
            <w:tcW w:w="1183" w:type="dxa"/>
            <w:tcBorders>
              <w:top w:val="single" w:sz="4" w:space="0" w:color="auto"/>
              <w:left w:val="single" w:sz="4" w:space="0" w:color="auto"/>
              <w:bottom w:val="single" w:sz="24" w:space="0" w:color="auto"/>
              <w:right w:val="single" w:sz="4" w:space="0" w:color="auto"/>
            </w:tcBorders>
          </w:tcPr>
          <w:p w14:paraId="7A8F3526" w14:textId="77777777" w:rsidR="0095063B" w:rsidRDefault="0095063B">
            <w:pPr>
              <w:pStyle w:val="BodyText"/>
              <w:jc w:val="center"/>
            </w:pPr>
            <w:r>
              <w:lastRenderedPageBreak/>
              <w:t>350.00</w:t>
            </w:r>
          </w:p>
        </w:tc>
        <w:tc>
          <w:tcPr>
            <w:tcW w:w="1118" w:type="dxa"/>
            <w:tcBorders>
              <w:top w:val="single" w:sz="4" w:space="0" w:color="auto"/>
              <w:left w:val="single" w:sz="4" w:space="0" w:color="auto"/>
              <w:bottom w:val="single" w:sz="24" w:space="0" w:color="auto"/>
              <w:right w:val="single" w:sz="4" w:space="0" w:color="auto"/>
            </w:tcBorders>
          </w:tcPr>
          <w:p w14:paraId="62F6ED50" w14:textId="77777777" w:rsidR="0095063B" w:rsidRDefault="0095063B">
            <w:pPr>
              <w:pStyle w:val="BodyText"/>
              <w:jc w:val="center"/>
            </w:pPr>
            <w:r>
              <w:t>3.00</w:t>
            </w:r>
          </w:p>
        </w:tc>
        <w:tc>
          <w:tcPr>
            <w:tcW w:w="1230" w:type="dxa"/>
            <w:tcBorders>
              <w:top w:val="single" w:sz="4" w:space="0" w:color="auto"/>
              <w:left w:val="single" w:sz="4" w:space="0" w:color="auto"/>
              <w:bottom w:val="single" w:sz="24" w:space="0" w:color="auto"/>
              <w:right w:val="single" w:sz="4" w:space="0" w:color="auto"/>
            </w:tcBorders>
          </w:tcPr>
          <w:p w14:paraId="35FAEF4E" w14:textId="77777777" w:rsidR="0095063B" w:rsidRDefault="0095063B">
            <w:pPr>
              <w:pStyle w:val="BodyText"/>
              <w:jc w:val="center"/>
            </w:pPr>
            <w:r>
              <w:t>1050.00</w:t>
            </w:r>
          </w:p>
        </w:tc>
        <w:tc>
          <w:tcPr>
            <w:tcW w:w="2117" w:type="dxa"/>
            <w:tcBorders>
              <w:top w:val="single" w:sz="4" w:space="0" w:color="auto"/>
              <w:left w:val="single" w:sz="4" w:space="0" w:color="auto"/>
              <w:bottom w:val="single" w:sz="24" w:space="0" w:color="auto"/>
              <w:right w:val="single" w:sz="4" w:space="0" w:color="auto"/>
            </w:tcBorders>
          </w:tcPr>
          <w:p w14:paraId="76BB439F" w14:textId="77777777" w:rsidR="0095063B" w:rsidRDefault="0095063B">
            <w:pPr>
              <w:pStyle w:val="BodyText"/>
              <w:jc w:val="center"/>
            </w:pPr>
            <w:r>
              <w:t>25%</w:t>
            </w:r>
          </w:p>
        </w:tc>
        <w:tc>
          <w:tcPr>
            <w:tcW w:w="1328" w:type="dxa"/>
            <w:tcBorders>
              <w:top w:val="single" w:sz="4" w:space="0" w:color="auto"/>
              <w:left w:val="single" w:sz="4" w:space="0" w:color="auto"/>
              <w:bottom w:val="single" w:sz="24" w:space="0" w:color="auto"/>
              <w:right w:val="single" w:sz="4" w:space="0" w:color="auto"/>
            </w:tcBorders>
          </w:tcPr>
          <w:p w14:paraId="091E2520" w14:textId="77777777" w:rsidR="0095063B" w:rsidRDefault="0095063B">
            <w:pPr>
              <w:pStyle w:val="BodyText"/>
              <w:jc w:val="center"/>
            </w:pPr>
            <w:r>
              <w:t>146.00</w:t>
            </w:r>
          </w:p>
        </w:tc>
        <w:tc>
          <w:tcPr>
            <w:tcW w:w="1343" w:type="dxa"/>
            <w:tcBorders>
              <w:top w:val="single" w:sz="4" w:space="0" w:color="auto"/>
              <w:left w:val="single" w:sz="4" w:space="0" w:color="auto"/>
              <w:bottom w:val="single" w:sz="24" w:space="0" w:color="auto"/>
              <w:right w:val="single" w:sz="4" w:space="0" w:color="auto"/>
            </w:tcBorders>
          </w:tcPr>
          <w:p w14:paraId="6482E190" w14:textId="77777777" w:rsidR="0095063B" w:rsidRDefault="0095063B">
            <w:pPr>
              <w:pStyle w:val="BodyText"/>
              <w:jc w:val="center"/>
            </w:pPr>
            <w:r>
              <w:t>37.00</w:t>
            </w:r>
          </w:p>
        </w:tc>
        <w:tc>
          <w:tcPr>
            <w:tcW w:w="1617" w:type="dxa"/>
            <w:tcBorders>
              <w:top w:val="single" w:sz="4" w:space="0" w:color="auto"/>
              <w:left w:val="single" w:sz="4" w:space="0" w:color="auto"/>
              <w:bottom w:val="single" w:sz="24" w:space="0" w:color="auto"/>
              <w:right w:val="single" w:sz="4" w:space="0" w:color="auto"/>
            </w:tcBorders>
          </w:tcPr>
          <w:p w14:paraId="0C144036" w14:textId="77777777" w:rsidR="0095063B" w:rsidRDefault="0095063B">
            <w:pPr>
              <w:pStyle w:val="BodyText"/>
              <w:jc w:val="center"/>
            </w:pPr>
            <w:r>
              <w:t>12.00</w:t>
            </w:r>
          </w:p>
        </w:tc>
      </w:tr>
      <w:tr w:rsidR="0095063B" w14:paraId="1D4C33C8" w14:textId="77777777">
        <w:tblPrEx>
          <w:tblCellMar>
            <w:top w:w="0" w:type="dxa"/>
            <w:bottom w:w="0" w:type="dxa"/>
          </w:tblCellMar>
        </w:tblPrEx>
        <w:trPr>
          <w:jc w:val="center"/>
        </w:trPr>
        <w:tc>
          <w:tcPr>
            <w:tcW w:w="1183" w:type="dxa"/>
            <w:tcBorders>
              <w:top w:val="single" w:sz="4" w:space="0" w:color="auto"/>
              <w:left w:val="single" w:sz="4" w:space="0" w:color="auto"/>
              <w:bottom w:val="single" w:sz="24" w:space="0" w:color="auto"/>
              <w:right w:val="single" w:sz="4" w:space="0" w:color="auto"/>
            </w:tcBorders>
          </w:tcPr>
          <w:p w14:paraId="35E974C6" w14:textId="77777777" w:rsidR="0095063B" w:rsidRDefault="0095063B">
            <w:pPr>
              <w:pStyle w:val="BodyText"/>
              <w:jc w:val="center"/>
            </w:pPr>
            <w:r>
              <w:t>375.00</w:t>
            </w:r>
          </w:p>
        </w:tc>
        <w:tc>
          <w:tcPr>
            <w:tcW w:w="1118" w:type="dxa"/>
            <w:tcBorders>
              <w:top w:val="single" w:sz="4" w:space="0" w:color="auto"/>
              <w:left w:val="single" w:sz="4" w:space="0" w:color="auto"/>
              <w:bottom w:val="single" w:sz="24" w:space="0" w:color="auto"/>
              <w:right w:val="single" w:sz="4" w:space="0" w:color="auto"/>
            </w:tcBorders>
          </w:tcPr>
          <w:p w14:paraId="5831947D" w14:textId="77777777" w:rsidR="0095063B" w:rsidRDefault="0095063B">
            <w:pPr>
              <w:pStyle w:val="BodyText"/>
              <w:jc w:val="center"/>
            </w:pPr>
            <w:r>
              <w:t>3.00</w:t>
            </w:r>
          </w:p>
        </w:tc>
        <w:tc>
          <w:tcPr>
            <w:tcW w:w="1230" w:type="dxa"/>
            <w:tcBorders>
              <w:top w:val="single" w:sz="4" w:space="0" w:color="auto"/>
              <w:left w:val="single" w:sz="4" w:space="0" w:color="auto"/>
              <w:bottom w:val="single" w:sz="24" w:space="0" w:color="auto"/>
              <w:right w:val="single" w:sz="4" w:space="0" w:color="auto"/>
            </w:tcBorders>
          </w:tcPr>
          <w:p w14:paraId="011A60F9" w14:textId="77777777" w:rsidR="0095063B" w:rsidRDefault="0095063B">
            <w:pPr>
              <w:pStyle w:val="BodyText"/>
              <w:jc w:val="center"/>
            </w:pPr>
            <w:r>
              <w:t>1125.00</w:t>
            </w:r>
          </w:p>
        </w:tc>
        <w:tc>
          <w:tcPr>
            <w:tcW w:w="2117" w:type="dxa"/>
            <w:tcBorders>
              <w:top w:val="single" w:sz="4" w:space="0" w:color="auto"/>
              <w:left w:val="single" w:sz="4" w:space="0" w:color="auto"/>
              <w:bottom w:val="single" w:sz="24" w:space="0" w:color="auto"/>
              <w:right w:val="single" w:sz="4" w:space="0" w:color="auto"/>
            </w:tcBorders>
          </w:tcPr>
          <w:p w14:paraId="6C06D099" w14:textId="77777777" w:rsidR="0095063B" w:rsidRDefault="0095063B">
            <w:pPr>
              <w:pStyle w:val="BodyText"/>
              <w:jc w:val="center"/>
            </w:pPr>
            <w:r>
              <w:t>27%</w:t>
            </w:r>
          </w:p>
        </w:tc>
        <w:tc>
          <w:tcPr>
            <w:tcW w:w="1328" w:type="dxa"/>
            <w:tcBorders>
              <w:top w:val="single" w:sz="4" w:space="0" w:color="auto"/>
              <w:left w:val="single" w:sz="4" w:space="0" w:color="auto"/>
              <w:bottom w:val="single" w:sz="24" w:space="0" w:color="auto"/>
              <w:right w:val="single" w:sz="4" w:space="0" w:color="auto"/>
            </w:tcBorders>
          </w:tcPr>
          <w:p w14:paraId="5C7D7ADD" w14:textId="77777777" w:rsidR="0095063B" w:rsidRDefault="0095063B">
            <w:pPr>
              <w:pStyle w:val="BodyText"/>
              <w:jc w:val="center"/>
            </w:pPr>
            <w:r>
              <w:t>146.00</w:t>
            </w:r>
          </w:p>
        </w:tc>
        <w:tc>
          <w:tcPr>
            <w:tcW w:w="1343" w:type="dxa"/>
            <w:tcBorders>
              <w:top w:val="single" w:sz="4" w:space="0" w:color="auto"/>
              <w:left w:val="single" w:sz="4" w:space="0" w:color="auto"/>
              <w:bottom w:val="single" w:sz="24" w:space="0" w:color="auto"/>
              <w:right w:val="single" w:sz="4" w:space="0" w:color="auto"/>
            </w:tcBorders>
          </w:tcPr>
          <w:p w14:paraId="54DF4A46" w14:textId="77777777" w:rsidR="0095063B" w:rsidRDefault="0095063B">
            <w:pPr>
              <w:pStyle w:val="BodyText"/>
              <w:jc w:val="center"/>
            </w:pPr>
            <w:r>
              <w:t>39.00</w:t>
            </w:r>
          </w:p>
        </w:tc>
        <w:tc>
          <w:tcPr>
            <w:tcW w:w="1617" w:type="dxa"/>
            <w:tcBorders>
              <w:top w:val="single" w:sz="4" w:space="0" w:color="auto"/>
              <w:left w:val="single" w:sz="4" w:space="0" w:color="auto"/>
              <w:bottom w:val="single" w:sz="24" w:space="0" w:color="auto"/>
              <w:right w:val="single" w:sz="4" w:space="0" w:color="auto"/>
            </w:tcBorders>
          </w:tcPr>
          <w:p w14:paraId="15313F0B" w14:textId="77777777" w:rsidR="0095063B" w:rsidRDefault="0095063B">
            <w:pPr>
              <w:pStyle w:val="BodyText"/>
              <w:jc w:val="center"/>
            </w:pPr>
            <w:r>
              <w:t>13.00</w:t>
            </w:r>
          </w:p>
        </w:tc>
      </w:tr>
      <w:tr w:rsidR="0095063B" w14:paraId="544DD3EB" w14:textId="77777777">
        <w:tblPrEx>
          <w:tblCellMar>
            <w:top w:w="0" w:type="dxa"/>
            <w:bottom w:w="0" w:type="dxa"/>
          </w:tblCellMar>
        </w:tblPrEx>
        <w:trPr>
          <w:jc w:val="center"/>
        </w:trPr>
        <w:tc>
          <w:tcPr>
            <w:tcW w:w="1183" w:type="dxa"/>
            <w:tcBorders>
              <w:top w:val="single" w:sz="4" w:space="0" w:color="auto"/>
              <w:left w:val="single" w:sz="4" w:space="0" w:color="auto"/>
              <w:bottom w:val="single" w:sz="24" w:space="0" w:color="auto"/>
              <w:right w:val="single" w:sz="4" w:space="0" w:color="auto"/>
            </w:tcBorders>
          </w:tcPr>
          <w:p w14:paraId="0F6B4EA2" w14:textId="77777777" w:rsidR="0095063B" w:rsidRDefault="0095063B">
            <w:pPr>
              <w:pStyle w:val="BodyText"/>
              <w:jc w:val="center"/>
            </w:pPr>
            <w:r>
              <w:t>425.00</w:t>
            </w:r>
          </w:p>
        </w:tc>
        <w:tc>
          <w:tcPr>
            <w:tcW w:w="1118" w:type="dxa"/>
            <w:tcBorders>
              <w:top w:val="single" w:sz="4" w:space="0" w:color="auto"/>
              <w:left w:val="single" w:sz="4" w:space="0" w:color="auto"/>
              <w:bottom w:val="single" w:sz="24" w:space="0" w:color="auto"/>
              <w:right w:val="single" w:sz="4" w:space="0" w:color="auto"/>
            </w:tcBorders>
          </w:tcPr>
          <w:p w14:paraId="22B46190" w14:textId="77777777" w:rsidR="0095063B" w:rsidRDefault="0095063B">
            <w:pPr>
              <w:pStyle w:val="BodyText"/>
              <w:jc w:val="center"/>
            </w:pPr>
            <w:r>
              <w:t>2.00</w:t>
            </w:r>
          </w:p>
        </w:tc>
        <w:tc>
          <w:tcPr>
            <w:tcW w:w="1230" w:type="dxa"/>
            <w:tcBorders>
              <w:top w:val="single" w:sz="4" w:space="0" w:color="auto"/>
              <w:left w:val="single" w:sz="4" w:space="0" w:color="auto"/>
              <w:bottom w:val="single" w:sz="24" w:space="0" w:color="auto"/>
              <w:right w:val="single" w:sz="4" w:space="0" w:color="auto"/>
            </w:tcBorders>
          </w:tcPr>
          <w:p w14:paraId="7D0F9A70" w14:textId="77777777" w:rsidR="0095063B" w:rsidRDefault="0095063B">
            <w:pPr>
              <w:pStyle w:val="BodyText"/>
              <w:jc w:val="center"/>
            </w:pPr>
            <w:r>
              <w:t>850.00</w:t>
            </w:r>
          </w:p>
        </w:tc>
        <w:tc>
          <w:tcPr>
            <w:tcW w:w="2117" w:type="dxa"/>
            <w:tcBorders>
              <w:top w:val="single" w:sz="4" w:space="0" w:color="auto"/>
              <w:left w:val="single" w:sz="4" w:space="0" w:color="auto"/>
              <w:bottom w:val="single" w:sz="24" w:space="0" w:color="auto"/>
              <w:right w:val="single" w:sz="4" w:space="0" w:color="auto"/>
            </w:tcBorders>
          </w:tcPr>
          <w:p w14:paraId="5AA4C5AE" w14:textId="77777777" w:rsidR="0095063B" w:rsidRDefault="0095063B">
            <w:pPr>
              <w:pStyle w:val="BodyText"/>
              <w:jc w:val="center"/>
            </w:pPr>
            <w:r>
              <w:t>20%</w:t>
            </w:r>
          </w:p>
        </w:tc>
        <w:tc>
          <w:tcPr>
            <w:tcW w:w="1328" w:type="dxa"/>
            <w:tcBorders>
              <w:top w:val="single" w:sz="4" w:space="0" w:color="auto"/>
              <w:left w:val="single" w:sz="4" w:space="0" w:color="auto"/>
              <w:bottom w:val="single" w:sz="24" w:space="0" w:color="auto"/>
              <w:right w:val="single" w:sz="4" w:space="0" w:color="auto"/>
            </w:tcBorders>
          </w:tcPr>
          <w:p w14:paraId="7E407BF3" w14:textId="77777777" w:rsidR="0095063B" w:rsidRDefault="0095063B">
            <w:pPr>
              <w:pStyle w:val="BodyText"/>
              <w:jc w:val="center"/>
            </w:pPr>
            <w:r>
              <w:t>146.00</w:t>
            </w:r>
          </w:p>
        </w:tc>
        <w:tc>
          <w:tcPr>
            <w:tcW w:w="1343" w:type="dxa"/>
            <w:tcBorders>
              <w:top w:val="single" w:sz="4" w:space="0" w:color="auto"/>
              <w:left w:val="single" w:sz="4" w:space="0" w:color="auto"/>
              <w:bottom w:val="single" w:sz="24" w:space="0" w:color="auto"/>
              <w:right w:val="single" w:sz="4" w:space="0" w:color="auto"/>
            </w:tcBorders>
          </w:tcPr>
          <w:p w14:paraId="0AE00E05" w14:textId="77777777" w:rsidR="0095063B" w:rsidRDefault="0095063B">
            <w:pPr>
              <w:pStyle w:val="BodyText"/>
              <w:jc w:val="center"/>
            </w:pPr>
            <w:r>
              <w:t>29.00</w:t>
            </w:r>
          </w:p>
        </w:tc>
        <w:tc>
          <w:tcPr>
            <w:tcW w:w="1617" w:type="dxa"/>
            <w:tcBorders>
              <w:top w:val="single" w:sz="4" w:space="0" w:color="auto"/>
              <w:left w:val="single" w:sz="4" w:space="0" w:color="auto"/>
              <w:bottom w:val="single" w:sz="24" w:space="0" w:color="auto"/>
              <w:right w:val="single" w:sz="4" w:space="0" w:color="auto"/>
            </w:tcBorders>
          </w:tcPr>
          <w:p w14:paraId="5086894B" w14:textId="77777777" w:rsidR="0095063B" w:rsidRDefault="0095063B">
            <w:pPr>
              <w:pStyle w:val="BodyText"/>
              <w:jc w:val="center"/>
            </w:pPr>
            <w:r>
              <w:t>14.00</w:t>
            </w:r>
          </w:p>
        </w:tc>
      </w:tr>
      <w:tr w:rsidR="0095063B" w14:paraId="72CCE64B" w14:textId="77777777">
        <w:tblPrEx>
          <w:tblCellMar>
            <w:top w:w="0" w:type="dxa"/>
            <w:bottom w:w="0" w:type="dxa"/>
          </w:tblCellMar>
        </w:tblPrEx>
        <w:trPr>
          <w:jc w:val="center"/>
        </w:trPr>
        <w:tc>
          <w:tcPr>
            <w:tcW w:w="1183" w:type="dxa"/>
            <w:tcBorders>
              <w:top w:val="single" w:sz="4" w:space="0" w:color="auto"/>
              <w:left w:val="single" w:sz="4" w:space="0" w:color="auto"/>
              <w:bottom w:val="single" w:sz="24" w:space="0" w:color="auto"/>
              <w:right w:val="single" w:sz="4" w:space="0" w:color="auto"/>
            </w:tcBorders>
          </w:tcPr>
          <w:p w14:paraId="48C7B7C3" w14:textId="77777777" w:rsidR="0095063B" w:rsidRDefault="0095063B">
            <w:pPr>
              <w:pStyle w:val="BodyText"/>
              <w:jc w:val="center"/>
            </w:pPr>
            <w:r>
              <w:t>600.00</w:t>
            </w:r>
          </w:p>
        </w:tc>
        <w:tc>
          <w:tcPr>
            <w:tcW w:w="1118" w:type="dxa"/>
            <w:tcBorders>
              <w:top w:val="single" w:sz="4" w:space="0" w:color="auto"/>
              <w:left w:val="single" w:sz="4" w:space="0" w:color="auto"/>
              <w:bottom w:val="single" w:sz="24" w:space="0" w:color="auto"/>
              <w:right w:val="single" w:sz="4" w:space="0" w:color="auto"/>
            </w:tcBorders>
          </w:tcPr>
          <w:p w14:paraId="30E18211" w14:textId="77777777" w:rsidR="0095063B" w:rsidRDefault="0095063B">
            <w:pPr>
              <w:pStyle w:val="BodyText"/>
              <w:jc w:val="center"/>
            </w:pPr>
            <w:r>
              <w:t>2.00</w:t>
            </w:r>
          </w:p>
        </w:tc>
        <w:tc>
          <w:tcPr>
            <w:tcW w:w="1230" w:type="dxa"/>
            <w:tcBorders>
              <w:top w:val="single" w:sz="4" w:space="0" w:color="auto"/>
              <w:left w:val="single" w:sz="4" w:space="0" w:color="auto"/>
              <w:bottom w:val="single" w:sz="24" w:space="0" w:color="auto"/>
              <w:right w:val="single" w:sz="4" w:space="0" w:color="auto"/>
            </w:tcBorders>
          </w:tcPr>
          <w:p w14:paraId="564791ED" w14:textId="77777777" w:rsidR="0095063B" w:rsidRDefault="0095063B">
            <w:pPr>
              <w:pStyle w:val="BodyText"/>
              <w:jc w:val="center"/>
            </w:pPr>
            <w:r>
              <w:t>1200.00</w:t>
            </w:r>
          </w:p>
        </w:tc>
        <w:tc>
          <w:tcPr>
            <w:tcW w:w="2117" w:type="dxa"/>
            <w:tcBorders>
              <w:top w:val="single" w:sz="4" w:space="0" w:color="auto"/>
              <w:left w:val="single" w:sz="4" w:space="0" w:color="auto"/>
              <w:bottom w:val="single" w:sz="24" w:space="0" w:color="auto"/>
              <w:right w:val="single" w:sz="4" w:space="0" w:color="auto"/>
            </w:tcBorders>
          </w:tcPr>
          <w:p w14:paraId="12B62371" w14:textId="77777777" w:rsidR="0095063B" w:rsidRDefault="0095063B">
            <w:pPr>
              <w:pStyle w:val="BodyText"/>
              <w:jc w:val="center"/>
            </w:pPr>
            <w:r>
              <w:t>28%</w:t>
            </w:r>
          </w:p>
        </w:tc>
        <w:tc>
          <w:tcPr>
            <w:tcW w:w="1328" w:type="dxa"/>
            <w:tcBorders>
              <w:top w:val="single" w:sz="4" w:space="0" w:color="auto"/>
              <w:left w:val="single" w:sz="4" w:space="0" w:color="auto"/>
              <w:bottom w:val="single" w:sz="24" w:space="0" w:color="auto"/>
              <w:right w:val="single" w:sz="4" w:space="0" w:color="auto"/>
            </w:tcBorders>
          </w:tcPr>
          <w:p w14:paraId="707A6091" w14:textId="77777777" w:rsidR="0095063B" w:rsidRDefault="0095063B">
            <w:pPr>
              <w:pStyle w:val="BodyText"/>
              <w:jc w:val="center"/>
            </w:pPr>
            <w:r>
              <w:t>146.00</w:t>
            </w:r>
          </w:p>
        </w:tc>
        <w:tc>
          <w:tcPr>
            <w:tcW w:w="1343" w:type="dxa"/>
            <w:tcBorders>
              <w:top w:val="single" w:sz="4" w:space="0" w:color="auto"/>
              <w:left w:val="single" w:sz="4" w:space="0" w:color="auto"/>
              <w:bottom w:val="single" w:sz="24" w:space="0" w:color="auto"/>
              <w:right w:val="single" w:sz="4" w:space="0" w:color="auto"/>
            </w:tcBorders>
          </w:tcPr>
          <w:p w14:paraId="21D7958F" w14:textId="77777777" w:rsidR="0095063B" w:rsidRDefault="0095063B">
            <w:pPr>
              <w:pStyle w:val="BodyText"/>
              <w:jc w:val="center"/>
            </w:pPr>
            <w:r>
              <w:t>41.00</w:t>
            </w:r>
          </w:p>
        </w:tc>
        <w:tc>
          <w:tcPr>
            <w:tcW w:w="1617" w:type="dxa"/>
            <w:tcBorders>
              <w:top w:val="single" w:sz="4" w:space="0" w:color="auto"/>
              <w:left w:val="single" w:sz="4" w:space="0" w:color="auto"/>
              <w:bottom w:val="single" w:sz="24" w:space="0" w:color="auto"/>
              <w:right w:val="single" w:sz="4" w:space="0" w:color="auto"/>
            </w:tcBorders>
          </w:tcPr>
          <w:p w14:paraId="66916497" w14:textId="77777777" w:rsidR="0095063B" w:rsidRDefault="0095063B">
            <w:pPr>
              <w:pStyle w:val="BodyText"/>
              <w:jc w:val="center"/>
            </w:pPr>
            <w:r>
              <w:t>20.00</w:t>
            </w:r>
          </w:p>
        </w:tc>
      </w:tr>
      <w:tr w:rsidR="0095063B" w14:paraId="4E8474D7" w14:textId="77777777">
        <w:tblPrEx>
          <w:tblCellMar>
            <w:top w:w="0" w:type="dxa"/>
            <w:bottom w:w="0" w:type="dxa"/>
          </w:tblCellMar>
        </w:tblPrEx>
        <w:trPr>
          <w:jc w:val="center"/>
        </w:trPr>
        <w:tc>
          <w:tcPr>
            <w:tcW w:w="1183" w:type="dxa"/>
            <w:tcBorders>
              <w:top w:val="single" w:sz="4" w:space="0" w:color="auto"/>
              <w:left w:val="single" w:sz="4" w:space="0" w:color="auto"/>
              <w:bottom w:val="single" w:sz="24" w:space="0" w:color="auto"/>
              <w:right w:val="single" w:sz="4" w:space="0" w:color="auto"/>
            </w:tcBorders>
          </w:tcPr>
          <w:p w14:paraId="39ABCB99" w14:textId="77777777" w:rsidR="0095063B" w:rsidRDefault="0095063B">
            <w:pPr>
              <w:pStyle w:val="BodyText"/>
            </w:pPr>
            <w:r>
              <w:t>TOTALS</w:t>
            </w:r>
          </w:p>
        </w:tc>
        <w:tc>
          <w:tcPr>
            <w:tcW w:w="1118" w:type="dxa"/>
            <w:tcBorders>
              <w:top w:val="single" w:sz="4" w:space="0" w:color="auto"/>
              <w:left w:val="single" w:sz="4" w:space="0" w:color="auto"/>
              <w:bottom w:val="single" w:sz="24" w:space="0" w:color="auto"/>
              <w:right w:val="single" w:sz="4" w:space="0" w:color="auto"/>
            </w:tcBorders>
          </w:tcPr>
          <w:p w14:paraId="0EAE8C45" w14:textId="77777777" w:rsidR="0095063B" w:rsidRDefault="0095063B">
            <w:pPr>
              <w:pStyle w:val="BodyText"/>
              <w:jc w:val="center"/>
            </w:pPr>
            <w:r>
              <w:t>10.00</w:t>
            </w:r>
          </w:p>
        </w:tc>
        <w:tc>
          <w:tcPr>
            <w:tcW w:w="1230" w:type="dxa"/>
            <w:tcBorders>
              <w:top w:val="single" w:sz="4" w:space="0" w:color="auto"/>
              <w:left w:val="single" w:sz="4" w:space="0" w:color="auto"/>
              <w:bottom w:val="single" w:sz="24" w:space="0" w:color="auto"/>
              <w:right w:val="single" w:sz="4" w:space="0" w:color="auto"/>
            </w:tcBorders>
          </w:tcPr>
          <w:p w14:paraId="5947E4D1" w14:textId="77777777" w:rsidR="0095063B" w:rsidRDefault="0095063B">
            <w:pPr>
              <w:pStyle w:val="BodyText"/>
              <w:jc w:val="center"/>
            </w:pPr>
            <w:r>
              <w:t>4225.00</w:t>
            </w:r>
          </w:p>
        </w:tc>
        <w:tc>
          <w:tcPr>
            <w:tcW w:w="2117" w:type="dxa"/>
            <w:tcBorders>
              <w:top w:val="single" w:sz="4" w:space="0" w:color="auto"/>
              <w:left w:val="single" w:sz="4" w:space="0" w:color="auto"/>
              <w:bottom w:val="single" w:sz="24" w:space="0" w:color="auto"/>
              <w:right w:val="single" w:sz="4" w:space="0" w:color="auto"/>
            </w:tcBorders>
          </w:tcPr>
          <w:p w14:paraId="36221725" w14:textId="77777777" w:rsidR="0095063B" w:rsidRDefault="0095063B">
            <w:pPr>
              <w:pStyle w:val="BodyText"/>
              <w:jc w:val="center"/>
            </w:pPr>
            <w:r>
              <w:t>100%</w:t>
            </w:r>
          </w:p>
        </w:tc>
        <w:tc>
          <w:tcPr>
            <w:tcW w:w="1328" w:type="dxa"/>
            <w:tcBorders>
              <w:top w:val="single" w:sz="4" w:space="0" w:color="auto"/>
              <w:left w:val="single" w:sz="4" w:space="0" w:color="auto"/>
              <w:bottom w:val="single" w:sz="24" w:space="0" w:color="auto"/>
              <w:right w:val="single" w:sz="4" w:space="0" w:color="auto"/>
            </w:tcBorders>
          </w:tcPr>
          <w:p w14:paraId="54DEAB86" w14:textId="77777777" w:rsidR="0095063B" w:rsidRDefault="0095063B"/>
        </w:tc>
        <w:tc>
          <w:tcPr>
            <w:tcW w:w="1343" w:type="dxa"/>
            <w:tcBorders>
              <w:top w:val="single" w:sz="4" w:space="0" w:color="auto"/>
              <w:left w:val="single" w:sz="4" w:space="0" w:color="auto"/>
              <w:bottom w:val="single" w:sz="24" w:space="0" w:color="auto"/>
              <w:right w:val="single" w:sz="4" w:space="0" w:color="auto"/>
            </w:tcBorders>
          </w:tcPr>
          <w:p w14:paraId="7D671FA6" w14:textId="77777777" w:rsidR="0095063B" w:rsidRDefault="0095063B">
            <w:pPr>
              <w:pStyle w:val="BodyText"/>
              <w:jc w:val="center"/>
            </w:pPr>
            <w:r>
              <w:t>146.00</w:t>
            </w:r>
          </w:p>
        </w:tc>
        <w:tc>
          <w:tcPr>
            <w:tcW w:w="1617" w:type="dxa"/>
            <w:tcBorders>
              <w:top w:val="single" w:sz="4" w:space="0" w:color="auto"/>
              <w:left w:val="single" w:sz="4" w:space="0" w:color="auto"/>
              <w:bottom w:val="single" w:sz="24" w:space="0" w:color="auto"/>
              <w:right w:val="single" w:sz="4" w:space="0" w:color="auto"/>
            </w:tcBorders>
          </w:tcPr>
          <w:p w14:paraId="783619B0" w14:textId="77777777" w:rsidR="0095063B" w:rsidRDefault="0095063B"/>
        </w:tc>
      </w:tr>
    </w:tbl>
    <w:p w14:paraId="4A833858" w14:textId="77777777" w:rsidR="0095063B" w:rsidRDefault="0095063B"/>
    <w:sectPr w:rsidR="0095063B">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F8B76" w14:textId="77777777" w:rsidR="0095063B" w:rsidRDefault="0095063B">
      <w:r>
        <w:separator/>
      </w:r>
    </w:p>
  </w:endnote>
  <w:endnote w:type="continuationSeparator" w:id="0">
    <w:p w14:paraId="68D6254A" w14:textId="77777777" w:rsidR="0095063B" w:rsidRDefault="0095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6FB0C" w14:textId="77777777" w:rsidR="0095063B" w:rsidRDefault="0095063B">
      <w:r>
        <w:separator/>
      </w:r>
    </w:p>
  </w:footnote>
  <w:footnote w:type="continuationSeparator" w:id="0">
    <w:p w14:paraId="1154A58B" w14:textId="77777777" w:rsidR="0095063B" w:rsidRDefault="00950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DAF"/>
    <w:multiLevelType w:val="hybridMultilevel"/>
    <w:tmpl w:val="6B7846E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139C0427"/>
    <w:multiLevelType w:val="hybridMultilevel"/>
    <w:tmpl w:val="5A76C5C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86846"/>
    <w:multiLevelType w:val="hybridMultilevel"/>
    <w:tmpl w:val="557AB35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6101247"/>
    <w:multiLevelType w:val="hybridMultilevel"/>
    <w:tmpl w:val="BEDC95D4"/>
    <w:lvl w:ilvl="0">
      <w:start w:val="1"/>
      <w:numFmt w:val="lowerRoman"/>
      <w:lvlText w:val="%1."/>
      <w:lvlJc w:val="left"/>
      <w:pPr>
        <w:tabs>
          <w:tab w:val="num" w:pos="1368"/>
        </w:tabs>
        <w:ind w:left="1152" w:hanging="50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4FF754C"/>
    <w:multiLevelType w:val="hybridMultilevel"/>
    <w:tmpl w:val="5A76C5C8"/>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4601A7"/>
    <w:multiLevelType w:val="hybridMultilevel"/>
    <w:tmpl w:val="421EC5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DB82DC6"/>
    <w:multiLevelType w:val="hybridMultilevel"/>
    <w:tmpl w:val="F37EAE0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DF7146C"/>
    <w:multiLevelType w:val="hybridMultilevel"/>
    <w:tmpl w:val="CA6C28B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CC38E7"/>
    <w:multiLevelType w:val="hybridMultilevel"/>
    <w:tmpl w:val="634E14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53557"/>
    <w:multiLevelType w:val="hybridMultilevel"/>
    <w:tmpl w:val="15642292"/>
    <w:lvl w:ilvl="0">
      <w:start w:val="1"/>
      <w:numFmt w:val="lowerRoman"/>
      <w:lvlText w:val="%1."/>
      <w:lvlJc w:val="left"/>
      <w:pPr>
        <w:tabs>
          <w:tab w:val="num" w:pos="2160"/>
        </w:tabs>
        <w:ind w:left="2160" w:hanging="720"/>
      </w:pPr>
      <w:rPr>
        <w:rFonts w:hint="default"/>
      </w:rPr>
    </w:lvl>
    <w:lvl w:ilvl="1">
      <w:start w:val="1"/>
      <w:numFmt w:val="lowerRoman"/>
      <w:lvlText w:val="%2."/>
      <w:lvlJc w:val="left"/>
      <w:pPr>
        <w:tabs>
          <w:tab w:val="num" w:pos="1368"/>
        </w:tabs>
        <w:ind w:left="1152" w:hanging="504"/>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15B0961"/>
    <w:multiLevelType w:val="hybridMultilevel"/>
    <w:tmpl w:val="D29AD4A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2347701"/>
    <w:multiLevelType w:val="hybridMultilevel"/>
    <w:tmpl w:val="6100DC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164411"/>
    <w:multiLevelType w:val="hybridMultilevel"/>
    <w:tmpl w:val="CBC4CF06"/>
    <w:lvl w:ilvl="0">
      <w:start w:val="1"/>
      <w:numFmt w:val="decimal"/>
      <w:lvlText w:val="%1."/>
      <w:lvlJc w:val="left"/>
      <w:pPr>
        <w:tabs>
          <w:tab w:val="num" w:pos="720"/>
        </w:tabs>
        <w:ind w:left="720" w:hanging="360"/>
      </w:pPr>
      <w:rPr>
        <w:rFonts w:hint="default"/>
      </w:rPr>
    </w:lvl>
    <w:lvl w:ilvl="1">
      <w:start w:val="3"/>
      <w:numFmt w:val="lowerLetter"/>
      <w:lvlText w:val="(%2)"/>
      <w:lvlJc w:val="left"/>
      <w:pPr>
        <w:tabs>
          <w:tab w:val="num" w:pos="1455"/>
        </w:tabs>
        <w:ind w:left="1455" w:hanging="37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B9903A7"/>
    <w:multiLevelType w:val="hybridMultilevel"/>
    <w:tmpl w:val="AC107812"/>
    <w:lvl w:ilvl="0">
      <w:start w:val="1"/>
      <w:numFmt w:val="lowerLetter"/>
      <w:lvlText w:val="(%1)"/>
      <w:lvlJc w:val="left"/>
      <w:pPr>
        <w:tabs>
          <w:tab w:val="num" w:pos="1110"/>
        </w:tabs>
        <w:ind w:left="1110" w:hanging="7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E39765B"/>
    <w:multiLevelType w:val="hybridMultilevel"/>
    <w:tmpl w:val="B36E04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D6496"/>
    <w:multiLevelType w:val="hybridMultilevel"/>
    <w:tmpl w:val="9528A812"/>
    <w:lvl w:ilvl="0">
      <w:start w:val="2"/>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6C1E1BEE"/>
    <w:multiLevelType w:val="hybridMultilevel"/>
    <w:tmpl w:val="5A76C5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46158282">
    <w:abstractNumId w:val="9"/>
  </w:num>
  <w:num w:numId="2" w16cid:durableId="1290933420">
    <w:abstractNumId w:val="3"/>
  </w:num>
  <w:num w:numId="3" w16cid:durableId="983781251">
    <w:abstractNumId w:val="13"/>
  </w:num>
  <w:num w:numId="4" w16cid:durableId="700789722">
    <w:abstractNumId w:val="15"/>
  </w:num>
  <w:num w:numId="5" w16cid:durableId="1856725067">
    <w:abstractNumId w:val="7"/>
  </w:num>
  <w:num w:numId="6" w16cid:durableId="1910992837">
    <w:abstractNumId w:val="12"/>
  </w:num>
  <w:num w:numId="7" w16cid:durableId="905066507">
    <w:abstractNumId w:val="2"/>
  </w:num>
  <w:num w:numId="8" w16cid:durableId="1146972706">
    <w:abstractNumId w:val="6"/>
  </w:num>
  <w:num w:numId="9" w16cid:durableId="1686050389">
    <w:abstractNumId w:val="10"/>
  </w:num>
  <w:num w:numId="10" w16cid:durableId="1755085279">
    <w:abstractNumId w:val="14"/>
  </w:num>
  <w:num w:numId="11" w16cid:durableId="619918688">
    <w:abstractNumId w:val="8"/>
  </w:num>
  <w:num w:numId="12" w16cid:durableId="1620836403">
    <w:abstractNumId w:val="4"/>
  </w:num>
  <w:num w:numId="13" w16cid:durableId="1606647796">
    <w:abstractNumId w:val="1"/>
  </w:num>
  <w:num w:numId="14" w16cid:durableId="2069910304">
    <w:abstractNumId w:val="16"/>
  </w:num>
  <w:num w:numId="15" w16cid:durableId="782461260">
    <w:abstractNumId w:val="11"/>
  </w:num>
  <w:num w:numId="16" w16cid:durableId="1710454576">
    <w:abstractNumId w:val="5"/>
  </w:num>
  <w:num w:numId="17" w16cid:durableId="96489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6B"/>
    <w:rsid w:val="00183719"/>
    <w:rsid w:val="00295E6B"/>
    <w:rsid w:val="0095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0D401E44"/>
  <w15:chartTrackingRefBased/>
  <w15:docId w15:val="{53C26CBF-0A95-4AC3-BEB6-B8BDFA81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5">
    <w:name w:val="heading 5"/>
    <w:basedOn w:val="Normal"/>
    <w:next w:val="Normal"/>
    <w:qFormat/>
    <w:pPr>
      <w:keepNext/>
      <w:spacing w:line="480" w:lineRule="auto"/>
      <w:ind w:firstLine="360"/>
      <w:jc w:val="center"/>
      <w:outlineLvl w:val="4"/>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Cs w:val="20"/>
    </w:rPr>
  </w:style>
  <w:style w:type="paragraph" w:styleId="z-TopofForm">
    <w:name w:val="HTML Top of Form"/>
    <w:basedOn w:val="Normal"/>
    <w:hidden/>
    <w:pPr>
      <w:ind w:left="1008"/>
    </w:pPr>
    <w:rPr>
      <w:szCs w:val="20"/>
    </w:rPr>
  </w:style>
  <w:style w:type="paragraph" w:styleId="NormalWeb">
    <w:name w:val="Normal (Web)"/>
    <w:basedOn w:val="Normal"/>
    <w:pPr>
      <w:ind w:left="1368" w:hanging="144"/>
    </w:pPr>
    <w:rPr>
      <w:szCs w:val="20"/>
    </w:rPr>
  </w:style>
  <w:style w:type="paragraph" w:styleId="BodyTextIndent">
    <w:name w:val="Body Text Indent"/>
    <w:basedOn w:val="Normal"/>
    <w:pPr>
      <w:spacing w:before="120"/>
      <w:ind w:firstLine="36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styleId="Strong">
    <w:name w:val="Strong"/>
    <w:basedOn w:val="DefaultParagraphFont"/>
    <w:qFormat/>
    <w:rPr>
      <w:b/>
      <w:bCs/>
    </w:rPr>
  </w:style>
  <w:style w:type="character" w:customStyle="1" w:styleId="emailstyle16">
    <w:name w:val="emailstyle16"/>
    <w:basedOn w:val="DefaultParagraphFont"/>
    <w:rPr>
      <w:rFonts w:ascii="Arial" w:hAnsi="Arial" w:cs="Arial"/>
      <w:color w:val="000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COMMUNITY AFFAIRS</vt:lpstr>
    </vt:vector>
  </TitlesOfParts>
  <Company>Department of Community Affairs</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AFFAIRS</dc:title>
  <dc:subject/>
  <dc:creator>mtimberlake</dc:creator>
  <cp:keywords/>
  <dc:description/>
  <cp:lastModifiedBy>Gallello, Matthew [DCA]</cp:lastModifiedBy>
  <cp:revision>2</cp:revision>
  <cp:lastPrinted>2002-06-10T16:14:00Z</cp:lastPrinted>
  <dcterms:created xsi:type="dcterms:W3CDTF">2024-05-23T13:29:00Z</dcterms:created>
  <dcterms:modified xsi:type="dcterms:W3CDTF">2024-05-23T13:29:00Z</dcterms:modified>
</cp:coreProperties>
</file>