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EA8D8" w14:textId="4723077E" w:rsidR="00EF434C" w:rsidRPr="00B22112" w:rsidRDefault="00B22112" w:rsidP="00B22112">
      <w:pPr>
        <w:pStyle w:val="Title"/>
        <w:rPr>
          <w:sz w:val="48"/>
          <w:szCs w:val="48"/>
        </w:rPr>
      </w:pPr>
      <w:r w:rsidRPr="00B22112">
        <w:t>2026 Low-Income Housing Tax Credit Application</w:t>
      </w:r>
    </w:p>
    <w:sdt>
      <w:sdtPr>
        <w:rPr>
          <w:rFonts w:asciiTheme="minorHAnsi" w:eastAsiaTheme="minorHAnsi" w:hAnsiTheme="minorHAnsi" w:cstheme="minorBidi"/>
          <w:color w:val="auto"/>
          <w:kern w:val="2"/>
          <w:sz w:val="20"/>
          <w:szCs w:val="24"/>
          <w14:ligatures w14:val="standardContextual"/>
        </w:rPr>
        <w:id w:val="2053033992"/>
        <w:docPartObj>
          <w:docPartGallery w:val="Table of Contents"/>
          <w:docPartUnique/>
        </w:docPartObj>
      </w:sdtPr>
      <w:sdtEndPr>
        <w:rPr>
          <w:b/>
          <w:bCs/>
          <w:noProof/>
        </w:rPr>
      </w:sdtEndPr>
      <w:sdtContent>
        <w:p w14:paraId="6593B3F6" w14:textId="30155376" w:rsidR="00C92DBA" w:rsidRPr="00937A51" w:rsidRDefault="00C92DBA" w:rsidP="00C92DBA">
          <w:pPr>
            <w:pStyle w:val="TOCHeading"/>
            <w:jc w:val="center"/>
            <w:rPr>
              <w:b/>
              <w:bCs/>
              <w:sz w:val="20"/>
              <w:szCs w:val="20"/>
            </w:rPr>
          </w:pPr>
          <w:r w:rsidRPr="00937A51">
            <w:rPr>
              <w:b/>
              <w:bCs/>
              <w:sz w:val="20"/>
              <w:szCs w:val="20"/>
            </w:rPr>
            <w:t>Table of Contents</w:t>
          </w:r>
        </w:p>
        <w:p w14:paraId="3BFF414E" w14:textId="6A518F79" w:rsidR="00C77F9E" w:rsidRDefault="00C92DBA">
          <w:pPr>
            <w:pStyle w:val="TOC1"/>
            <w:tabs>
              <w:tab w:val="right" w:leader="dot" w:pos="10790"/>
            </w:tabs>
            <w:rPr>
              <w:rFonts w:eastAsiaTheme="minorEastAsia"/>
              <w:noProof/>
              <w:sz w:val="24"/>
            </w:rPr>
          </w:pPr>
          <w:r>
            <w:fldChar w:fldCharType="begin"/>
          </w:r>
          <w:r>
            <w:instrText xml:space="preserve"> TOC \o "1-3" \h \z \u </w:instrText>
          </w:r>
          <w:r>
            <w:fldChar w:fldCharType="separate"/>
          </w:r>
          <w:hyperlink w:anchor="_Toc230012648" w:history="1">
            <w:r w:rsidR="00C77F9E" w:rsidRPr="00EA445F">
              <w:rPr>
                <w:rStyle w:val="Hyperlink"/>
                <w:noProof/>
              </w:rPr>
              <w:t>Instructions</w:t>
            </w:r>
            <w:r w:rsidR="00C77F9E">
              <w:rPr>
                <w:noProof/>
                <w:webHidden/>
              </w:rPr>
              <w:tab/>
            </w:r>
            <w:r w:rsidR="00C77F9E">
              <w:rPr>
                <w:noProof/>
                <w:webHidden/>
              </w:rPr>
              <w:fldChar w:fldCharType="begin"/>
            </w:r>
            <w:r w:rsidR="00C77F9E">
              <w:rPr>
                <w:noProof/>
                <w:webHidden/>
              </w:rPr>
              <w:instrText xml:space="preserve"> PAGEREF _Toc230012648 \h </w:instrText>
            </w:r>
            <w:r w:rsidR="00C77F9E">
              <w:rPr>
                <w:noProof/>
                <w:webHidden/>
              </w:rPr>
            </w:r>
            <w:r w:rsidR="00C77F9E">
              <w:rPr>
                <w:noProof/>
                <w:webHidden/>
              </w:rPr>
              <w:fldChar w:fldCharType="separate"/>
            </w:r>
            <w:r w:rsidR="00FB3676">
              <w:rPr>
                <w:noProof/>
                <w:webHidden/>
              </w:rPr>
              <w:t>3</w:t>
            </w:r>
            <w:r w:rsidR="00C77F9E">
              <w:rPr>
                <w:noProof/>
                <w:webHidden/>
              </w:rPr>
              <w:fldChar w:fldCharType="end"/>
            </w:r>
          </w:hyperlink>
        </w:p>
        <w:p w14:paraId="4A792F44" w14:textId="0B17510F" w:rsidR="00C77F9E" w:rsidRDefault="00FB3676">
          <w:pPr>
            <w:pStyle w:val="TOC1"/>
            <w:tabs>
              <w:tab w:val="right" w:leader="dot" w:pos="10790"/>
            </w:tabs>
            <w:rPr>
              <w:rFonts w:eastAsiaTheme="minorEastAsia"/>
              <w:noProof/>
              <w:sz w:val="24"/>
            </w:rPr>
          </w:pPr>
          <w:hyperlink w:anchor="_Toc230012649" w:history="1">
            <w:r w:rsidR="00C77F9E" w:rsidRPr="00EA445F">
              <w:rPr>
                <w:rStyle w:val="Hyperlink"/>
                <w:noProof/>
              </w:rPr>
              <w:t>LIHTC Fee Schedule</w:t>
            </w:r>
            <w:r w:rsidR="00C77F9E">
              <w:rPr>
                <w:noProof/>
                <w:webHidden/>
              </w:rPr>
              <w:tab/>
            </w:r>
            <w:r w:rsidR="00C77F9E">
              <w:rPr>
                <w:noProof/>
                <w:webHidden/>
              </w:rPr>
              <w:fldChar w:fldCharType="begin"/>
            </w:r>
            <w:r w:rsidR="00C77F9E">
              <w:rPr>
                <w:noProof/>
                <w:webHidden/>
              </w:rPr>
              <w:instrText xml:space="preserve"> PAGEREF _Toc230012649 \h </w:instrText>
            </w:r>
            <w:r w:rsidR="00C77F9E">
              <w:rPr>
                <w:noProof/>
                <w:webHidden/>
              </w:rPr>
            </w:r>
            <w:r w:rsidR="00C77F9E">
              <w:rPr>
                <w:noProof/>
                <w:webHidden/>
              </w:rPr>
              <w:fldChar w:fldCharType="separate"/>
            </w:r>
            <w:r>
              <w:rPr>
                <w:noProof/>
                <w:webHidden/>
              </w:rPr>
              <w:t>5</w:t>
            </w:r>
            <w:r w:rsidR="00C77F9E">
              <w:rPr>
                <w:noProof/>
                <w:webHidden/>
              </w:rPr>
              <w:fldChar w:fldCharType="end"/>
            </w:r>
          </w:hyperlink>
        </w:p>
        <w:p w14:paraId="26172D0E" w14:textId="013BA912" w:rsidR="00C77F9E" w:rsidRDefault="00FB3676">
          <w:pPr>
            <w:pStyle w:val="TOC1"/>
            <w:tabs>
              <w:tab w:val="right" w:leader="dot" w:pos="10790"/>
            </w:tabs>
            <w:rPr>
              <w:rFonts w:eastAsiaTheme="minorEastAsia"/>
              <w:noProof/>
              <w:sz w:val="24"/>
            </w:rPr>
          </w:pPr>
          <w:hyperlink w:anchor="_Toc230012650" w:history="1">
            <w:r w:rsidR="00C77F9E" w:rsidRPr="00EA445F">
              <w:rPr>
                <w:rStyle w:val="Hyperlink"/>
                <w:noProof/>
              </w:rPr>
              <w:t>Part I — Project Information Summary</w:t>
            </w:r>
            <w:r w:rsidR="00C77F9E">
              <w:rPr>
                <w:noProof/>
                <w:webHidden/>
              </w:rPr>
              <w:tab/>
            </w:r>
            <w:r w:rsidR="00C77F9E">
              <w:rPr>
                <w:noProof/>
                <w:webHidden/>
              </w:rPr>
              <w:fldChar w:fldCharType="begin"/>
            </w:r>
            <w:r w:rsidR="00C77F9E">
              <w:rPr>
                <w:noProof/>
                <w:webHidden/>
              </w:rPr>
              <w:instrText xml:space="preserve"> PAGEREF _Toc230012650 \h </w:instrText>
            </w:r>
            <w:r w:rsidR="00C77F9E">
              <w:rPr>
                <w:noProof/>
                <w:webHidden/>
              </w:rPr>
            </w:r>
            <w:r w:rsidR="00C77F9E">
              <w:rPr>
                <w:noProof/>
                <w:webHidden/>
              </w:rPr>
              <w:fldChar w:fldCharType="separate"/>
            </w:r>
            <w:r>
              <w:rPr>
                <w:noProof/>
                <w:webHidden/>
              </w:rPr>
              <w:t>6</w:t>
            </w:r>
            <w:r w:rsidR="00C77F9E">
              <w:rPr>
                <w:noProof/>
                <w:webHidden/>
              </w:rPr>
              <w:fldChar w:fldCharType="end"/>
            </w:r>
          </w:hyperlink>
        </w:p>
        <w:p w14:paraId="62283465" w14:textId="50A8C9AE" w:rsidR="00C77F9E" w:rsidRDefault="00FB3676">
          <w:pPr>
            <w:pStyle w:val="TOC1"/>
            <w:tabs>
              <w:tab w:val="right" w:leader="dot" w:pos="10790"/>
            </w:tabs>
            <w:rPr>
              <w:rFonts w:eastAsiaTheme="minorEastAsia"/>
              <w:noProof/>
              <w:sz w:val="24"/>
            </w:rPr>
          </w:pPr>
          <w:hyperlink w:anchor="_Toc230012651" w:history="1">
            <w:r w:rsidR="00C77F9E" w:rsidRPr="00EA445F">
              <w:rPr>
                <w:rStyle w:val="Hyperlink"/>
                <w:noProof/>
              </w:rPr>
              <w:t>Part II — Eligibility Requirements</w:t>
            </w:r>
            <w:r w:rsidR="00C77F9E">
              <w:rPr>
                <w:noProof/>
                <w:webHidden/>
              </w:rPr>
              <w:tab/>
            </w:r>
            <w:r w:rsidR="00C77F9E">
              <w:rPr>
                <w:noProof/>
                <w:webHidden/>
              </w:rPr>
              <w:fldChar w:fldCharType="begin"/>
            </w:r>
            <w:r w:rsidR="00C77F9E">
              <w:rPr>
                <w:noProof/>
                <w:webHidden/>
              </w:rPr>
              <w:instrText xml:space="preserve"> PAGEREF _Toc230012651 \h </w:instrText>
            </w:r>
            <w:r w:rsidR="00C77F9E">
              <w:rPr>
                <w:noProof/>
                <w:webHidden/>
              </w:rPr>
            </w:r>
            <w:r w:rsidR="00C77F9E">
              <w:rPr>
                <w:noProof/>
                <w:webHidden/>
              </w:rPr>
              <w:fldChar w:fldCharType="separate"/>
            </w:r>
            <w:r>
              <w:rPr>
                <w:noProof/>
                <w:webHidden/>
              </w:rPr>
              <w:t>7</w:t>
            </w:r>
            <w:r w:rsidR="00C77F9E">
              <w:rPr>
                <w:noProof/>
                <w:webHidden/>
              </w:rPr>
              <w:fldChar w:fldCharType="end"/>
            </w:r>
          </w:hyperlink>
        </w:p>
        <w:p w14:paraId="3B6EFD61" w14:textId="2A28AD6B" w:rsidR="00C77F9E" w:rsidRDefault="00FB3676">
          <w:pPr>
            <w:pStyle w:val="TOC2"/>
            <w:rPr>
              <w:rFonts w:eastAsiaTheme="minorEastAsia"/>
              <w:noProof/>
              <w:sz w:val="24"/>
            </w:rPr>
          </w:pPr>
          <w:hyperlink w:anchor="_Toc230012652" w:history="1">
            <w:r w:rsidR="00C77F9E" w:rsidRPr="00EA445F">
              <w:rPr>
                <w:rStyle w:val="Hyperlink"/>
                <w:noProof/>
              </w:rPr>
              <w:t>1.</w:t>
            </w:r>
            <w:r w:rsidR="00C77F9E">
              <w:rPr>
                <w:rFonts w:eastAsiaTheme="minorEastAsia"/>
                <w:noProof/>
                <w:sz w:val="24"/>
              </w:rPr>
              <w:tab/>
            </w:r>
            <w:r w:rsidR="00C77F9E" w:rsidRPr="00EA445F">
              <w:rPr>
                <w:rStyle w:val="Hyperlink"/>
                <w:noProof/>
              </w:rPr>
              <w:t>Market Analysis</w:t>
            </w:r>
            <w:r w:rsidR="00C77F9E">
              <w:rPr>
                <w:noProof/>
                <w:webHidden/>
              </w:rPr>
              <w:tab/>
            </w:r>
            <w:r w:rsidR="00C77F9E">
              <w:rPr>
                <w:noProof/>
                <w:webHidden/>
              </w:rPr>
              <w:fldChar w:fldCharType="begin"/>
            </w:r>
            <w:r w:rsidR="00C77F9E">
              <w:rPr>
                <w:noProof/>
                <w:webHidden/>
              </w:rPr>
              <w:instrText xml:space="preserve"> PAGEREF _Toc230012652 \h </w:instrText>
            </w:r>
            <w:r w:rsidR="00C77F9E">
              <w:rPr>
                <w:noProof/>
                <w:webHidden/>
              </w:rPr>
            </w:r>
            <w:r w:rsidR="00C77F9E">
              <w:rPr>
                <w:noProof/>
                <w:webHidden/>
              </w:rPr>
              <w:fldChar w:fldCharType="separate"/>
            </w:r>
            <w:r>
              <w:rPr>
                <w:noProof/>
                <w:webHidden/>
              </w:rPr>
              <w:t>10</w:t>
            </w:r>
            <w:r w:rsidR="00C77F9E">
              <w:rPr>
                <w:noProof/>
                <w:webHidden/>
              </w:rPr>
              <w:fldChar w:fldCharType="end"/>
            </w:r>
          </w:hyperlink>
        </w:p>
        <w:p w14:paraId="2BFB414A" w14:textId="708AE16D" w:rsidR="00C77F9E" w:rsidRDefault="00FB3676">
          <w:pPr>
            <w:pStyle w:val="TOC2"/>
            <w:rPr>
              <w:rFonts w:eastAsiaTheme="minorEastAsia"/>
              <w:noProof/>
              <w:sz w:val="24"/>
            </w:rPr>
          </w:pPr>
          <w:hyperlink w:anchor="_Toc230012653" w:history="1">
            <w:r w:rsidR="00C77F9E" w:rsidRPr="00EA445F">
              <w:rPr>
                <w:rStyle w:val="Hyperlink"/>
                <w:noProof/>
              </w:rPr>
              <w:t>2.</w:t>
            </w:r>
            <w:r w:rsidR="00C77F9E">
              <w:rPr>
                <w:rFonts w:eastAsiaTheme="minorEastAsia"/>
                <w:noProof/>
                <w:sz w:val="24"/>
              </w:rPr>
              <w:tab/>
            </w:r>
            <w:r w:rsidR="00C77F9E" w:rsidRPr="00EA445F">
              <w:rPr>
                <w:rStyle w:val="Hyperlink"/>
                <w:noProof/>
              </w:rPr>
              <w:t>Site Control</w:t>
            </w:r>
            <w:r w:rsidR="00C77F9E">
              <w:rPr>
                <w:noProof/>
                <w:webHidden/>
              </w:rPr>
              <w:tab/>
            </w:r>
            <w:r w:rsidR="00C77F9E">
              <w:rPr>
                <w:noProof/>
                <w:webHidden/>
              </w:rPr>
              <w:fldChar w:fldCharType="begin"/>
            </w:r>
            <w:r w:rsidR="00C77F9E">
              <w:rPr>
                <w:noProof/>
                <w:webHidden/>
              </w:rPr>
              <w:instrText xml:space="preserve"> PAGEREF _Toc230012653 \h </w:instrText>
            </w:r>
            <w:r w:rsidR="00C77F9E">
              <w:rPr>
                <w:noProof/>
                <w:webHidden/>
              </w:rPr>
            </w:r>
            <w:r w:rsidR="00C77F9E">
              <w:rPr>
                <w:noProof/>
                <w:webHidden/>
              </w:rPr>
              <w:fldChar w:fldCharType="separate"/>
            </w:r>
            <w:r>
              <w:rPr>
                <w:noProof/>
                <w:webHidden/>
              </w:rPr>
              <w:t>14</w:t>
            </w:r>
            <w:r w:rsidR="00C77F9E">
              <w:rPr>
                <w:noProof/>
                <w:webHidden/>
              </w:rPr>
              <w:fldChar w:fldCharType="end"/>
            </w:r>
          </w:hyperlink>
        </w:p>
        <w:p w14:paraId="61047F8F" w14:textId="14458C76" w:rsidR="00C77F9E" w:rsidRDefault="00FB3676">
          <w:pPr>
            <w:pStyle w:val="TOC2"/>
            <w:rPr>
              <w:rFonts w:eastAsiaTheme="minorEastAsia"/>
              <w:noProof/>
              <w:sz w:val="24"/>
            </w:rPr>
          </w:pPr>
          <w:hyperlink w:anchor="_Toc230012654" w:history="1">
            <w:r w:rsidR="00C77F9E" w:rsidRPr="00EA445F">
              <w:rPr>
                <w:rStyle w:val="Hyperlink"/>
                <w:noProof/>
              </w:rPr>
              <w:t>3.</w:t>
            </w:r>
            <w:r w:rsidR="00C77F9E">
              <w:rPr>
                <w:rFonts w:eastAsiaTheme="minorEastAsia"/>
                <w:noProof/>
                <w:sz w:val="24"/>
              </w:rPr>
              <w:tab/>
            </w:r>
            <w:r w:rsidR="00C77F9E" w:rsidRPr="00EA445F">
              <w:rPr>
                <w:rStyle w:val="Hyperlink"/>
                <w:noProof/>
              </w:rPr>
              <w:t>Preliminary Site Plan Approval</w:t>
            </w:r>
            <w:r w:rsidR="00C77F9E">
              <w:rPr>
                <w:noProof/>
                <w:webHidden/>
              </w:rPr>
              <w:tab/>
            </w:r>
            <w:r w:rsidR="00C77F9E">
              <w:rPr>
                <w:noProof/>
                <w:webHidden/>
              </w:rPr>
              <w:fldChar w:fldCharType="begin"/>
            </w:r>
            <w:r w:rsidR="00C77F9E">
              <w:rPr>
                <w:noProof/>
                <w:webHidden/>
              </w:rPr>
              <w:instrText xml:space="preserve"> PAGEREF _Toc230012654 \h </w:instrText>
            </w:r>
            <w:r w:rsidR="00C77F9E">
              <w:rPr>
                <w:noProof/>
                <w:webHidden/>
              </w:rPr>
            </w:r>
            <w:r w:rsidR="00C77F9E">
              <w:rPr>
                <w:noProof/>
                <w:webHidden/>
              </w:rPr>
              <w:fldChar w:fldCharType="separate"/>
            </w:r>
            <w:r>
              <w:rPr>
                <w:noProof/>
                <w:webHidden/>
              </w:rPr>
              <w:t>15</w:t>
            </w:r>
            <w:r w:rsidR="00C77F9E">
              <w:rPr>
                <w:noProof/>
                <w:webHidden/>
              </w:rPr>
              <w:fldChar w:fldCharType="end"/>
            </w:r>
          </w:hyperlink>
        </w:p>
        <w:p w14:paraId="049E7C53" w14:textId="32D0F7A9" w:rsidR="00C77F9E" w:rsidRDefault="00FB3676">
          <w:pPr>
            <w:pStyle w:val="TOC2"/>
            <w:rPr>
              <w:rFonts w:eastAsiaTheme="minorEastAsia"/>
              <w:noProof/>
              <w:sz w:val="24"/>
            </w:rPr>
          </w:pPr>
          <w:hyperlink w:anchor="_Toc230012655" w:history="1">
            <w:r w:rsidR="00C77F9E" w:rsidRPr="00EA445F">
              <w:rPr>
                <w:rStyle w:val="Hyperlink"/>
                <w:noProof/>
              </w:rPr>
              <w:t>4.</w:t>
            </w:r>
            <w:r w:rsidR="00C77F9E">
              <w:rPr>
                <w:rFonts w:eastAsiaTheme="minorEastAsia"/>
                <w:noProof/>
                <w:sz w:val="24"/>
              </w:rPr>
              <w:tab/>
            </w:r>
            <w:r w:rsidR="00C77F9E" w:rsidRPr="00EA445F">
              <w:rPr>
                <w:rStyle w:val="Hyperlink"/>
                <w:noProof/>
              </w:rPr>
              <w:t>Environmental Certification</w:t>
            </w:r>
            <w:r w:rsidR="00C77F9E">
              <w:rPr>
                <w:noProof/>
                <w:webHidden/>
              </w:rPr>
              <w:tab/>
            </w:r>
            <w:r w:rsidR="00C77F9E">
              <w:rPr>
                <w:noProof/>
                <w:webHidden/>
              </w:rPr>
              <w:fldChar w:fldCharType="begin"/>
            </w:r>
            <w:r w:rsidR="00C77F9E">
              <w:rPr>
                <w:noProof/>
                <w:webHidden/>
              </w:rPr>
              <w:instrText xml:space="preserve"> PAGEREF _Toc230012655 \h </w:instrText>
            </w:r>
            <w:r w:rsidR="00C77F9E">
              <w:rPr>
                <w:noProof/>
                <w:webHidden/>
              </w:rPr>
            </w:r>
            <w:r w:rsidR="00C77F9E">
              <w:rPr>
                <w:noProof/>
                <w:webHidden/>
              </w:rPr>
              <w:fldChar w:fldCharType="separate"/>
            </w:r>
            <w:r>
              <w:rPr>
                <w:noProof/>
                <w:webHidden/>
              </w:rPr>
              <w:t>16</w:t>
            </w:r>
            <w:r w:rsidR="00C77F9E">
              <w:rPr>
                <w:noProof/>
                <w:webHidden/>
              </w:rPr>
              <w:fldChar w:fldCharType="end"/>
            </w:r>
          </w:hyperlink>
        </w:p>
        <w:p w14:paraId="4F143ACB" w14:textId="18D56E8C" w:rsidR="00C77F9E" w:rsidRDefault="00FB3676">
          <w:pPr>
            <w:pStyle w:val="TOC2"/>
            <w:rPr>
              <w:rFonts w:eastAsiaTheme="minorEastAsia"/>
              <w:noProof/>
              <w:sz w:val="24"/>
            </w:rPr>
          </w:pPr>
          <w:hyperlink w:anchor="_Toc230012656" w:history="1">
            <w:r w:rsidR="00C77F9E" w:rsidRPr="00EA445F">
              <w:rPr>
                <w:rStyle w:val="Hyperlink"/>
                <w:noProof/>
              </w:rPr>
              <w:t>5.</w:t>
            </w:r>
            <w:r w:rsidR="00C77F9E">
              <w:rPr>
                <w:rFonts w:eastAsiaTheme="minorEastAsia"/>
                <w:noProof/>
                <w:sz w:val="24"/>
              </w:rPr>
              <w:tab/>
            </w:r>
            <w:r w:rsidR="00C77F9E" w:rsidRPr="00EA445F">
              <w:rPr>
                <w:rStyle w:val="Hyperlink"/>
                <w:noProof/>
              </w:rPr>
              <w:t>Disclosure of All Financing Information</w:t>
            </w:r>
            <w:r w:rsidR="00C77F9E">
              <w:rPr>
                <w:noProof/>
                <w:webHidden/>
              </w:rPr>
              <w:tab/>
            </w:r>
            <w:r w:rsidR="00C77F9E">
              <w:rPr>
                <w:noProof/>
                <w:webHidden/>
              </w:rPr>
              <w:fldChar w:fldCharType="begin"/>
            </w:r>
            <w:r w:rsidR="00C77F9E">
              <w:rPr>
                <w:noProof/>
                <w:webHidden/>
              </w:rPr>
              <w:instrText xml:space="preserve"> PAGEREF _Toc230012656 \h </w:instrText>
            </w:r>
            <w:r w:rsidR="00C77F9E">
              <w:rPr>
                <w:noProof/>
                <w:webHidden/>
              </w:rPr>
            </w:r>
            <w:r w:rsidR="00C77F9E">
              <w:rPr>
                <w:noProof/>
                <w:webHidden/>
              </w:rPr>
              <w:fldChar w:fldCharType="separate"/>
            </w:r>
            <w:r>
              <w:rPr>
                <w:noProof/>
                <w:webHidden/>
              </w:rPr>
              <w:t>17</w:t>
            </w:r>
            <w:r w:rsidR="00C77F9E">
              <w:rPr>
                <w:noProof/>
                <w:webHidden/>
              </w:rPr>
              <w:fldChar w:fldCharType="end"/>
            </w:r>
          </w:hyperlink>
        </w:p>
        <w:p w14:paraId="562051E4" w14:textId="1D4342C4" w:rsidR="00C77F9E" w:rsidRDefault="00FB3676">
          <w:pPr>
            <w:pStyle w:val="TOC2"/>
            <w:rPr>
              <w:rFonts w:eastAsiaTheme="minorEastAsia"/>
              <w:noProof/>
              <w:sz w:val="24"/>
            </w:rPr>
          </w:pPr>
          <w:hyperlink w:anchor="_Toc230012657" w:history="1">
            <w:r w:rsidR="00C77F9E" w:rsidRPr="00EA445F">
              <w:rPr>
                <w:rStyle w:val="Hyperlink"/>
                <w:noProof/>
              </w:rPr>
              <w:t>6.</w:t>
            </w:r>
            <w:r w:rsidR="00C77F9E">
              <w:rPr>
                <w:rFonts w:eastAsiaTheme="minorEastAsia"/>
                <w:noProof/>
                <w:sz w:val="24"/>
              </w:rPr>
              <w:tab/>
            </w:r>
            <w:r w:rsidR="00C77F9E" w:rsidRPr="00EA445F">
              <w:rPr>
                <w:rStyle w:val="Hyperlink"/>
                <w:noProof/>
              </w:rPr>
              <w:t>Financing Commitments</w:t>
            </w:r>
            <w:r w:rsidR="00C77F9E">
              <w:rPr>
                <w:noProof/>
                <w:webHidden/>
              </w:rPr>
              <w:tab/>
            </w:r>
            <w:r w:rsidR="00C77F9E">
              <w:rPr>
                <w:noProof/>
                <w:webHidden/>
              </w:rPr>
              <w:fldChar w:fldCharType="begin"/>
            </w:r>
            <w:r w:rsidR="00C77F9E">
              <w:rPr>
                <w:noProof/>
                <w:webHidden/>
              </w:rPr>
              <w:instrText xml:space="preserve"> PAGEREF _Toc230012657 \h </w:instrText>
            </w:r>
            <w:r w:rsidR="00C77F9E">
              <w:rPr>
                <w:noProof/>
                <w:webHidden/>
              </w:rPr>
            </w:r>
            <w:r w:rsidR="00C77F9E">
              <w:rPr>
                <w:noProof/>
                <w:webHidden/>
              </w:rPr>
              <w:fldChar w:fldCharType="separate"/>
            </w:r>
            <w:r>
              <w:rPr>
                <w:noProof/>
                <w:webHidden/>
              </w:rPr>
              <w:t>18</w:t>
            </w:r>
            <w:r w:rsidR="00C77F9E">
              <w:rPr>
                <w:noProof/>
                <w:webHidden/>
              </w:rPr>
              <w:fldChar w:fldCharType="end"/>
            </w:r>
          </w:hyperlink>
        </w:p>
        <w:p w14:paraId="30F270FE" w14:textId="195C0D19" w:rsidR="00C77F9E" w:rsidRDefault="00FB3676">
          <w:pPr>
            <w:pStyle w:val="TOC2"/>
            <w:rPr>
              <w:rFonts w:eastAsiaTheme="minorEastAsia"/>
              <w:noProof/>
              <w:sz w:val="24"/>
            </w:rPr>
          </w:pPr>
          <w:hyperlink w:anchor="_Toc230012658" w:history="1">
            <w:r w:rsidR="00C77F9E" w:rsidRPr="00EA445F">
              <w:rPr>
                <w:rStyle w:val="Hyperlink"/>
                <w:noProof/>
              </w:rPr>
              <w:t>7.</w:t>
            </w:r>
            <w:r w:rsidR="00C77F9E">
              <w:rPr>
                <w:rFonts w:eastAsiaTheme="minorEastAsia"/>
                <w:noProof/>
                <w:sz w:val="24"/>
              </w:rPr>
              <w:tab/>
            </w:r>
            <w:r w:rsidR="00C77F9E" w:rsidRPr="00EA445F">
              <w:rPr>
                <w:rStyle w:val="Hyperlink"/>
                <w:noProof/>
              </w:rPr>
              <w:t>Financial Feasibility</w:t>
            </w:r>
            <w:r w:rsidR="00C77F9E">
              <w:rPr>
                <w:noProof/>
                <w:webHidden/>
              </w:rPr>
              <w:tab/>
            </w:r>
            <w:r w:rsidR="00C77F9E">
              <w:rPr>
                <w:noProof/>
                <w:webHidden/>
              </w:rPr>
              <w:fldChar w:fldCharType="begin"/>
            </w:r>
            <w:r w:rsidR="00C77F9E">
              <w:rPr>
                <w:noProof/>
                <w:webHidden/>
              </w:rPr>
              <w:instrText xml:space="preserve"> PAGEREF _Toc230012658 \h </w:instrText>
            </w:r>
            <w:r w:rsidR="00C77F9E">
              <w:rPr>
                <w:noProof/>
                <w:webHidden/>
              </w:rPr>
            </w:r>
            <w:r w:rsidR="00C77F9E">
              <w:rPr>
                <w:noProof/>
                <w:webHidden/>
              </w:rPr>
              <w:fldChar w:fldCharType="separate"/>
            </w:r>
            <w:r>
              <w:rPr>
                <w:noProof/>
                <w:webHidden/>
              </w:rPr>
              <w:t>22</w:t>
            </w:r>
            <w:r w:rsidR="00C77F9E">
              <w:rPr>
                <w:noProof/>
                <w:webHidden/>
              </w:rPr>
              <w:fldChar w:fldCharType="end"/>
            </w:r>
          </w:hyperlink>
        </w:p>
        <w:p w14:paraId="5FE59FF5" w14:textId="76145A05" w:rsidR="00C77F9E" w:rsidRDefault="00FB3676">
          <w:pPr>
            <w:pStyle w:val="TOC2"/>
            <w:rPr>
              <w:rFonts w:eastAsiaTheme="minorEastAsia"/>
              <w:noProof/>
              <w:sz w:val="24"/>
            </w:rPr>
          </w:pPr>
          <w:hyperlink w:anchor="_Toc230012659" w:history="1">
            <w:r w:rsidR="00C77F9E" w:rsidRPr="00EA445F">
              <w:rPr>
                <w:rStyle w:val="Hyperlink"/>
                <w:noProof/>
              </w:rPr>
              <w:t>8.</w:t>
            </w:r>
            <w:r w:rsidR="00C77F9E">
              <w:rPr>
                <w:rFonts w:eastAsiaTheme="minorEastAsia"/>
                <w:noProof/>
                <w:sz w:val="24"/>
              </w:rPr>
              <w:tab/>
            </w:r>
            <w:r w:rsidR="00C77F9E" w:rsidRPr="00EA445F">
              <w:rPr>
                <w:rStyle w:val="Hyperlink"/>
                <w:noProof/>
              </w:rPr>
              <w:t>NJ Energy Star Homes Program &amp; Benchmarking</w:t>
            </w:r>
            <w:r w:rsidR="00C77F9E">
              <w:rPr>
                <w:noProof/>
                <w:webHidden/>
              </w:rPr>
              <w:tab/>
            </w:r>
            <w:r w:rsidR="00C77F9E">
              <w:rPr>
                <w:noProof/>
                <w:webHidden/>
              </w:rPr>
              <w:fldChar w:fldCharType="begin"/>
            </w:r>
            <w:r w:rsidR="00C77F9E">
              <w:rPr>
                <w:noProof/>
                <w:webHidden/>
              </w:rPr>
              <w:instrText xml:space="preserve"> PAGEREF _Toc230012659 \h </w:instrText>
            </w:r>
            <w:r w:rsidR="00C77F9E">
              <w:rPr>
                <w:noProof/>
                <w:webHidden/>
              </w:rPr>
            </w:r>
            <w:r w:rsidR="00C77F9E">
              <w:rPr>
                <w:noProof/>
                <w:webHidden/>
              </w:rPr>
              <w:fldChar w:fldCharType="separate"/>
            </w:r>
            <w:r>
              <w:rPr>
                <w:noProof/>
                <w:webHidden/>
              </w:rPr>
              <w:t>24</w:t>
            </w:r>
            <w:r w:rsidR="00C77F9E">
              <w:rPr>
                <w:noProof/>
                <w:webHidden/>
              </w:rPr>
              <w:fldChar w:fldCharType="end"/>
            </w:r>
          </w:hyperlink>
        </w:p>
        <w:p w14:paraId="07365220" w14:textId="599D56B8" w:rsidR="00C77F9E" w:rsidRDefault="00FB3676">
          <w:pPr>
            <w:pStyle w:val="TOC2"/>
            <w:rPr>
              <w:rFonts w:eastAsiaTheme="minorEastAsia"/>
              <w:noProof/>
              <w:sz w:val="24"/>
            </w:rPr>
          </w:pPr>
          <w:hyperlink w:anchor="_Toc230012660" w:history="1">
            <w:r w:rsidR="00C77F9E" w:rsidRPr="00EA445F">
              <w:rPr>
                <w:rStyle w:val="Hyperlink"/>
                <w:noProof/>
              </w:rPr>
              <w:t>9.</w:t>
            </w:r>
            <w:r w:rsidR="00C77F9E">
              <w:rPr>
                <w:rFonts w:eastAsiaTheme="minorEastAsia"/>
                <w:noProof/>
                <w:sz w:val="24"/>
              </w:rPr>
              <w:tab/>
            </w:r>
            <w:r w:rsidR="00C77F9E" w:rsidRPr="00EA445F">
              <w:rPr>
                <w:rStyle w:val="Hyperlink"/>
                <w:noProof/>
              </w:rPr>
              <w:t>Certified Property Manager</w:t>
            </w:r>
            <w:r w:rsidR="00C77F9E">
              <w:rPr>
                <w:noProof/>
                <w:webHidden/>
              </w:rPr>
              <w:tab/>
            </w:r>
            <w:r w:rsidR="00C77F9E">
              <w:rPr>
                <w:noProof/>
                <w:webHidden/>
              </w:rPr>
              <w:fldChar w:fldCharType="begin"/>
            </w:r>
            <w:r w:rsidR="00C77F9E">
              <w:rPr>
                <w:noProof/>
                <w:webHidden/>
              </w:rPr>
              <w:instrText xml:space="preserve"> PAGEREF _Toc230012660 \h </w:instrText>
            </w:r>
            <w:r w:rsidR="00C77F9E">
              <w:rPr>
                <w:noProof/>
                <w:webHidden/>
              </w:rPr>
            </w:r>
            <w:r w:rsidR="00C77F9E">
              <w:rPr>
                <w:noProof/>
                <w:webHidden/>
              </w:rPr>
              <w:fldChar w:fldCharType="separate"/>
            </w:r>
            <w:r>
              <w:rPr>
                <w:noProof/>
                <w:webHidden/>
              </w:rPr>
              <w:t>25</w:t>
            </w:r>
            <w:r w:rsidR="00C77F9E">
              <w:rPr>
                <w:noProof/>
                <w:webHidden/>
              </w:rPr>
              <w:fldChar w:fldCharType="end"/>
            </w:r>
          </w:hyperlink>
        </w:p>
        <w:p w14:paraId="49F93A1D" w14:textId="2C14FD02" w:rsidR="00C77F9E" w:rsidRDefault="00FB3676">
          <w:pPr>
            <w:pStyle w:val="TOC2"/>
            <w:rPr>
              <w:rFonts w:eastAsiaTheme="minorEastAsia"/>
              <w:noProof/>
              <w:sz w:val="24"/>
            </w:rPr>
          </w:pPr>
          <w:hyperlink w:anchor="_Toc230012661" w:history="1">
            <w:r w:rsidR="00C77F9E" w:rsidRPr="00EA445F">
              <w:rPr>
                <w:rStyle w:val="Hyperlink"/>
                <w:noProof/>
              </w:rPr>
              <w:t>10.</w:t>
            </w:r>
            <w:r w:rsidR="00C77F9E">
              <w:rPr>
                <w:rFonts w:eastAsiaTheme="minorEastAsia"/>
                <w:noProof/>
                <w:sz w:val="24"/>
              </w:rPr>
              <w:tab/>
            </w:r>
            <w:r w:rsidR="00C77F9E" w:rsidRPr="00EA445F">
              <w:rPr>
                <w:rStyle w:val="Hyperlink"/>
                <w:noProof/>
              </w:rPr>
              <w:t>Acquisition Credits (if applicable)</w:t>
            </w:r>
            <w:r w:rsidR="00C77F9E">
              <w:rPr>
                <w:noProof/>
                <w:webHidden/>
              </w:rPr>
              <w:tab/>
            </w:r>
            <w:r w:rsidR="00C77F9E">
              <w:rPr>
                <w:noProof/>
                <w:webHidden/>
              </w:rPr>
              <w:fldChar w:fldCharType="begin"/>
            </w:r>
            <w:r w:rsidR="00C77F9E">
              <w:rPr>
                <w:noProof/>
                <w:webHidden/>
              </w:rPr>
              <w:instrText xml:space="preserve"> PAGEREF _Toc230012661 \h </w:instrText>
            </w:r>
            <w:r w:rsidR="00C77F9E">
              <w:rPr>
                <w:noProof/>
                <w:webHidden/>
              </w:rPr>
            </w:r>
            <w:r w:rsidR="00C77F9E">
              <w:rPr>
                <w:noProof/>
                <w:webHidden/>
              </w:rPr>
              <w:fldChar w:fldCharType="separate"/>
            </w:r>
            <w:r>
              <w:rPr>
                <w:noProof/>
                <w:webHidden/>
              </w:rPr>
              <w:t>25</w:t>
            </w:r>
            <w:r w:rsidR="00C77F9E">
              <w:rPr>
                <w:noProof/>
                <w:webHidden/>
              </w:rPr>
              <w:fldChar w:fldCharType="end"/>
            </w:r>
          </w:hyperlink>
        </w:p>
        <w:p w14:paraId="793755FB" w14:textId="405B24A6" w:rsidR="00C77F9E" w:rsidRDefault="00FB3676">
          <w:pPr>
            <w:pStyle w:val="TOC2"/>
            <w:rPr>
              <w:rFonts w:eastAsiaTheme="minorEastAsia"/>
              <w:noProof/>
              <w:sz w:val="24"/>
            </w:rPr>
          </w:pPr>
          <w:hyperlink w:anchor="_Toc230012662" w:history="1">
            <w:r w:rsidR="00C77F9E" w:rsidRPr="00EA445F">
              <w:rPr>
                <w:rStyle w:val="Hyperlink"/>
                <w:noProof/>
              </w:rPr>
              <w:t>11.</w:t>
            </w:r>
            <w:r w:rsidR="00C77F9E">
              <w:rPr>
                <w:rFonts w:eastAsiaTheme="minorEastAsia"/>
                <w:noProof/>
                <w:sz w:val="24"/>
              </w:rPr>
              <w:tab/>
            </w:r>
            <w:r w:rsidR="00C77F9E" w:rsidRPr="00EA445F">
              <w:rPr>
                <w:rStyle w:val="Hyperlink"/>
                <w:noProof/>
              </w:rPr>
              <w:t>CPA Certification of Step-in-the-Shoes Basis (if applicable)</w:t>
            </w:r>
            <w:r w:rsidR="00C77F9E">
              <w:rPr>
                <w:noProof/>
                <w:webHidden/>
              </w:rPr>
              <w:tab/>
            </w:r>
            <w:r w:rsidR="00C77F9E">
              <w:rPr>
                <w:noProof/>
                <w:webHidden/>
              </w:rPr>
              <w:fldChar w:fldCharType="begin"/>
            </w:r>
            <w:r w:rsidR="00C77F9E">
              <w:rPr>
                <w:noProof/>
                <w:webHidden/>
              </w:rPr>
              <w:instrText xml:space="preserve"> PAGEREF _Toc230012662 \h </w:instrText>
            </w:r>
            <w:r w:rsidR="00C77F9E">
              <w:rPr>
                <w:noProof/>
                <w:webHidden/>
              </w:rPr>
            </w:r>
            <w:r w:rsidR="00C77F9E">
              <w:rPr>
                <w:noProof/>
                <w:webHidden/>
              </w:rPr>
              <w:fldChar w:fldCharType="separate"/>
            </w:r>
            <w:r>
              <w:rPr>
                <w:noProof/>
                <w:webHidden/>
              </w:rPr>
              <w:t>25</w:t>
            </w:r>
            <w:r w:rsidR="00C77F9E">
              <w:rPr>
                <w:noProof/>
                <w:webHidden/>
              </w:rPr>
              <w:fldChar w:fldCharType="end"/>
            </w:r>
          </w:hyperlink>
        </w:p>
        <w:p w14:paraId="5AEA6A27" w14:textId="40C7F91E" w:rsidR="00C77F9E" w:rsidRDefault="00FB3676">
          <w:pPr>
            <w:pStyle w:val="TOC2"/>
            <w:rPr>
              <w:rFonts w:eastAsiaTheme="minorEastAsia"/>
              <w:noProof/>
              <w:sz w:val="24"/>
            </w:rPr>
          </w:pPr>
          <w:hyperlink w:anchor="_Toc230012663" w:history="1">
            <w:r w:rsidR="00C77F9E" w:rsidRPr="00EA445F">
              <w:rPr>
                <w:rStyle w:val="Hyperlink"/>
                <w:noProof/>
              </w:rPr>
              <w:t>12.</w:t>
            </w:r>
            <w:r w:rsidR="00C77F9E">
              <w:rPr>
                <w:rFonts w:eastAsiaTheme="minorEastAsia"/>
                <w:noProof/>
                <w:sz w:val="24"/>
              </w:rPr>
              <w:tab/>
            </w:r>
            <w:r w:rsidR="00C77F9E" w:rsidRPr="00EA445F">
              <w:rPr>
                <w:rStyle w:val="Hyperlink"/>
                <w:noProof/>
              </w:rPr>
              <w:t>USDA Rural Development (if applicable)</w:t>
            </w:r>
            <w:r w:rsidR="00C77F9E">
              <w:rPr>
                <w:noProof/>
                <w:webHidden/>
              </w:rPr>
              <w:tab/>
            </w:r>
            <w:r w:rsidR="00C77F9E">
              <w:rPr>
                <w:noProof/>
                <w:webHidden/>
              </w:rPr>
              <w:fldChar w:fldCharType="begin"/>
            </w:r>
            <w:r w:rsidR="00C77F9E">
              <w:rPr>
                <w:noProof/>
                <w:webHidden/>
              </w:rPr>
              <w:instrText xml:space="preserve"> PAGEREF _Toc230012663 \h </w:instrText>
            </w:r>
            <w:r w:rsidR="00C77F9E">
              <w:rPr>
                <w:noProof/>
                <w:webHidden/>
              </w:rPr>
            </w:r>
            <w:r w:rsidR="00C77F9E">
              <w:rPr>
                <w:noProof/>
                <w:webHidden/>
              </w:rPr>
              <w:fldChar w:fldCharType="separate"/>
            </w:r>
            <w:r>
              <w:rPr>
                <w:noProof/>
                <w:webHidden/>
              </w:rPr>
              <w:t>25</w:t>
            </w:r>
            <w:r w:rsidR="00C77F9E">
              <w:rPr>
                <w:noProof/>
                <w:webHidden/>
              </w:rPr>
              <w:fldChar w:fldCharType="end"/>
            </w:r>
          </w:hyperlink>
        </w:p>
        <w:p w14:paraId="6DF750A1" w14:textId="4CA52314" w:rsidR="00C77F9E" w:rsidRDefault="00FB3676">
          <w:pPr>
            <w:pStyle w:val="TOC2"/>
            <w:rPr>
              <w:rFonts w:eastAsiaTheme="minorEastAsia"/>
              <w:noProof/>
              <w:sz w:val="24"/>
            </w:rPr>
          </w:pPr>
          <w:hyperlink w:anchor="_Toc230012664" w:history="1">
            <w:r w:rsidR="00C77F9E" w:rsidRPr="00EA445F">
              <w:rPr>
                <w:rStyle w:val="Hyperlink"/>
                <w:noProof/>
              </w:rPr>
              <w:t>13.</w:t>
            </w:r>
            <w:r w:rsidR="00C77F9E">
              <w:rPr>
                <w:rFonts w:eastAsiaTheme="minorEastAsia"/>
                <w:noProof/>
                <w:sz w:val="24"/>
              </w:rPr>
              <w:tab/>
            </w:r>
            <w:r w:rsidR="00C77F9E" w:rsidRPr="00EA445F">
              <w:rPr>
                <w:rStyle w:val="Hyperlink"/>
                <w:noProof/>
              </w:rPr>
              <w:t>Rental Assistance (if applicable)</w:t>
            </w:r>
            <w:r w:rsidR="00C77F9E">
              <w:rPr>
                <w:noProof/>
                <w:webHidden/>
              </w:rPr>
              <w:tab/>
            </w:r>
            <w:r w:rsidR="00C77F9E">
              <w:rPr>
                <w:noProof/>
                <w:webHidden/>
              </w:rPr>
              <w:fldChar w:fldCharType="begin"/>
            </w:r>
            <w:r w:rsidR="00C77F9E">
              <w:rPr>
                <w:noProof/>
                <w:webHidden/>
              </w:rPr>
              <w:instrText xml:space="preserve"> PAGEREF _Toc230012664 \h </w:instrText>
            </w:r>
            <w:r w:rsidR="00C77F9E">
              <w:rPr>
                <w:noProof/>
                <w:webHidden/>
              </w:rPr>
            </w:r>
            <w:r w:rsidR="00C77F9E">
              <w:rPr>
                <w:noProof/>
                <w:webHidden/>
              </w:rPr>
              <w:fldChar w:fldCharType="separate"/>
            </w:r>
            <w:r>
              <w:rPr>
                <w:noProof/>
                <w:webHidden/>
              </w:rPr>
              <w:t>26</w:t>
            </w:r>
            <w:r w:rsidR="00C77F9E">
              <w:rPr>
                <w:noProof/>
                <w:webHidden/>
              </w:rPr>
              <w:fldChar w:fldCharType="end"/>
            </w:r>
          </w:hyperlink>
        </w:p>
        <w:p w14:paraId="43DD10FF" w14:textId="00938175" w:rsidR="00C77F9E" w:rsidRDefault="00FB3676">
          <w:pPr>
            <w:pStyle w:val="TOC2"/>
            <w:rPr>
              <w:rFonts w:eastAsiaTheme="minorEastAsia"/>
              <w:noProof/>
              <w:sz w:val="24"/>
            </w:rPr>
          </w:pPr>
          <w:hyperlink w:anchor="_Toc230012665" w:history="1">
            <w:r w:rsidR="00C77F9E" w:rsidRPr="00EA445F">
              <w:rPr>
                <w:rStyle w:val="Hyperlink"/>
                <w:noProof/>
              </w:rPr>
              <w:t>14.</w:t>
            </w:r>
            <w:r w:rsidR="00C77F9E">
              <w:rPr>
                <w:rFonts w:eastAsiaTheme="minorEastAsia"/>
                <w:noProof/>
                <w:sz w:val="24"/>
              </w:rPr>
              <w:tab/>
            </w:r>
            <w:r w:rsidR="00C77F9E" w:rsidRPr="00EA445F">
              <w:rPr>
                <w:rStyle w:val="Hyperlink"/>
                <w:noProof/>
              </w:rPr>
              <w:t>Projects with Supportive Housing Units (if applicable)</w:t>
            </w:r>
            <w:r w:rsidR="00C77F9E">
              <w:rPr>
                <w:noProof/>
                <w:webHidden/>
              </w:rPr>
              <w:tab/>
            </w:r>
            <w:r w:rsidR="00C77F9E">
              <w:rPr>
                <w:noProof/>
                <w:webHidden/>
              </w:rPr>
              <w:fldChar w:fldCharType="begin"/>
            </w:r>
            <w:r w:rsidR="00C77F9E">
              <w:rPr>
                <w:noProof/>
                <w:webHidden/>
              </w:rPr>
              <w:instrText xml:space="preserve"> PAGEREF _Toc230012665 \h </w:instrText>
            </w:r>
            <w:r w:rsidR="00C77F9E">
              <w:rPr>
                <w:noProof/>
                <w:webHidden/>
              </w:rPr>
            </w:r>
            <w:r w:rsidR="00C77F9E">
              <w:rPr>
                <w:noProof/>
                <w:webHidden/>
              </w:rPr>
              <w:fldChar w:fldCharType="separate"/>
            </w:r>
            <w:r>
              <w:rPr>
                <w:noProof/>
                <w:webHidden/>
              </w:rPr>
              <w:t>27</w:t>
            </w:r>
            <w:r w:rsidR="00C77F9E">
              <w:rPr>
                <w:noProof/>
                <w:webHidden/>
              </w:rPr>
              <w:fldChar w:fldCharType="end"/>
            </w:r>
          </w:hyperlink>
        </w:p>
        <w:p w14:paraId="12E1DEAE" w14:textId="0AFD26DC" w:rsidR="00C77F9E" w:rsidRDefault="00FB3676">
          <w:pPr>
            <w:pStyle w:val="TOC2"/>
            <w:rPr>
              <w:rFonts w:eastAsiaTheme="minorEastAsia"/>
              <w:noProof/>
              <w:sz w:val="24"/>
            </w:rPr>
          </w:pPr>
          <w:hyperlink w:anchor="_Toc230012666" w:history="1">
            <w:r w:rsidR="00C77F9E" w:rsidRPr="00EA445F">
              <w:rPr>
                <w:rStyle w:val="Hyperlink"/>
                <w:noProof/>
              </w:rPr>
              <w:t>15.</w:t>
            </w:r>
            <w:r w:rsidR="00C77F9E">
              <w:rPr>
                <w:rFonts w:eastAsiaTheme="minorEastAsia"/>
                <w:noProof/>
                <w:sz w:val="24"/>
              </w:rPr>
              <w:tab/>
            </w:r>
            <w:r w:rsidR="00C77F9E" w:rsidRPr="00EA445F">
              <w:rPr>
                <w:rStyle w:val="Hyperlink"/>
                <w:noProof/>
              </w:rPr>
              <w:t>Affirmative Fair Housing Marketing Plan</w:t>
            </w:r>
            <w:r w:rsidR="00C77F9E">
              <w:rPr>
                <w:noProof/>
                <w:webHidden/>
              </w:rPr>
              <w:tab/>
            </w:r>
            <w:r w:rsidR="00C77F9E">
              <w:rPr>
                <w:noProof/>
                <w:webHidden/>
              </w:rPr>
              <w:fldChar w:fldCharType="begin"/>
            </w:r>
            <w:r w:rsidR="00C77F9E">
              <w:rPr>
                <w:noProof/>
                <w:webHidden/>
              </w:rPr>
              <w:instrText xml:space="preserve"> PAGEREF _Toc230012666 \h </w:instrText>
            </w:r>
            <w:r w:rsidR="00C77F9E">
              <w:rPr>
                <w:noProof/>
                <w:webHidden/>
              </w:rPr>
            </w:r>
            <w:r w:rsidR="00C77F9E">
              <w:rPr>
                <w:noProof/>
                <w:webHidden/>
              </w:rPr>
              <w:fldChar w:fldCharType="separate"/>
            </w:r>
            <w:r>
              <w:rPr>
                <w:noProof/>
                <w:webHidden/>
              </w:rPr>
              <w:t>30</w:t>
            </w:r>
            <w:r w:rsidR="00C77F9E">
              <w:rPr>
                <w:noProof/>
                <w:webHidden/>
              </w:rPr>
              <w:fldChar w:fldCharType="end"/>
            </w:r>
          </w:hyperlink>
        </w:p>
        <w:p w14:paraId="7E287D18" w14:textId="238C9CB8" w:rsidR="00C77F9E" w:rsidRDefault="00FB3676">
          <w:pPr>
            <w:pStyle w:val="TOC2"/>
            <w:rPr>
              <w:rFonts w:eastAsiaTheme="minorEastAsia"/>
              <w:noProof/>
              <w:sz w:val="24"/>
            </w:rPr>
          </w:pPr>
          <w:hyperlink w:anchor="_Toc230012667" w:history="1">
            <w:r w:rsidR="00C77F9E" w:rsidRPr="00EA445F">
              <w:rPr>
                <w:rStyle w:val="Hyperlink"/>
                <w:noProof/>
              </w:rPr>
              <w:t>16.</w:t>
            </w:r>
            <w:r w:rsidR="00C77F9E">
              <w:rPr>
                <w:rFonts w:eastAsiaTheme="minorEastAsia"/>
                <w:noProof/>
                <w:sz w:val="24"/>
              </w:rPr>
              <w:tab/>
            </w:r>
            <w:r w:rsidR="00C77F9E" w:rsidRPr="00EA445F">
              <w:rPr>
                <w:rStyle w:val="Hyperlink"/>
                <w:noProof/>
              </w:rPr>
              <w:t>HOPE VI/CHOICE Neighborhood/Replacement Housing Projects</w:t>
            </w:r>
            <w:r w:rsidR="00C77F9E">
              <w:rPr>
                <w:noProof/>
                <w:webHidden/>
              </w:rPr>
              <w:tab/>
            </w:r>
            <w:r w:rsidR="00C77F9E">
              <w:rPr>
                <w:noProof/>
                <w:webHidden/>
              </w:rPr>
              <w:fldChar w:fldCharType="begin"/>
            </w:r>
            <w:r w:rsidR="00C77F9E">
              <w:rPr>
                <w:noProof/>
                <w:webHidden/>
              </w:rPr>
              <w:instrText xml:space="preserve"> PAGEREF _Toc230012667 \h </w:instrText>
            </w:r>
            <w:r w:rsidR="00C77F9E">
              <w:rPr>
                <w:noProof/>
                <w:webHidden/>
              </w:rPr>
            </w:r>
            <w:r w:rsidR="00C77F9E">
              <w:rPr>
                <w:noProof/>
                <w:webHidden/>
              </w:rPr>
              <w:fldChar w:fldCharType="separate"/>
            </w:r>
            <w:r>
              <w:rPr>
                <w:noProof/>
                <w:webHidden/>
              </w:rPr>
              <w:t>30</w:t>
            </w:r>
            <w:r w:rsidR="00C77F9E">
              <w:rPr>
                <w:noProof/>
                <w:webHidden/>
              </w:rPr>
              <w:fldChar w:fldCharType="end"/>
            </w:r>
          </w:hyperlink>
        </w:p>
        <w:p w14:paraId="7253F149" w14:textId="10D35867" w:rsidR="00C77F9E" w:rsidRDefault="00FB3676">
          <w:pPr>
            <w:pStyle w:val="TOC2"/>
            <w:rPr>
              <w:rFonts w:eastAsiaTheme="minorEastAsia"/>
              <w:noProof/>
              <w:sz w:val="24"/>
            </w:rPr>
          </w:pPr>
          <w:hyperlink w:anchor="_Toc230012668" w:history="1">
            <w:r w:rsidR="00C77F9E" w:rsidRPr="00EA445F">
              <w:rPr>
                <w:rStyle w:val="Hyperlink"/>
                <w:noProof/>
              </w:rPr>
              <w:t>17.</w:t>
            </w:r>
            <w:r w:rsidR="00C77F9E">
              <w:rPr>
                <w:rFonts w:eastAsiaTheme="minorEastAsia"/>
                <w:noProof/>
                <w:sz w:val="24"/>
              </w:rPr>
              <w:tab/>
            </w:r>
            <w:r w:rsidR="00C77F9E" w:rsidRPr="00EA445F">
              <w:rPr>
                <w:rStyle w:val="Hyperlink"/>
                <w:noProof/>
              </w:rPr>
              <w:t>High Concentration of LIHTC Units</w:t>
            </w:r>
            <w:r w:rsidR="00C77F9E">
              <w:rPr>
                <w:noProof/>
                <w:webHidden/>
              </w:rPr>
              <w:tab/>
            </w:r>
            <w:r w:rsidR="00C77F9E">
              <w:rPr>
                <w:noProof/>
                <w:webHidden/>
              </w:rPr>
              <w:fldChar w:fldCharType="begin"/>
            </w:r>
            <w:r w:rsidR="00C77F9E">
              <w:rPr>
                <w:noProof/>
                <w:webHidden/>
              </w:rPr>
              <w:instrText xml:space="preserve"> PAGEREF _Toc230012668 \h </w:instrText>
            </w:r>
            <w:r w:rsidR="00C77F9E">
              <w:rPr>
                <w:noProof/>
                <w:webHidden/>
              </w:rPr>
            </w:r>
            <w:r w:rsidR="00C77F9E">
              <w:rPr>
                <w:noProof/>
                <w:webHidden/>
              </w:rPr>
              <w:fldChar w:fldCharType="separate"/>
            </w:r>
            <w:r>
              <w:rPr>
                <w:noProof/>
                <w:webHidden/>
              </w:rPr>
              <w:t>30</w:t>
            </w:r>
            <w:r w:rsidR="00C77F9E">
              <w:rPr>
                <w:noProof/>
                <w:webHidden/>
              </w:rPr>
              <w:fldChar w:fldCharType="end"/>
            </w:r>
          </w:hyperlink>
        </w:p>
        <w:p w14:paraId="195C6932" w14:textId="0827ABAF" w:rsidR="00C77F9E" w:rsidRDefault="00FB3676">
          <w:pPr>
            <w:pStyle w:val="TOC2"/>
            <w:rPr>
              <w:rFonts w:eastAsiaTheme="minorEastAsia"/>
              <w:noProof/>
              <w:sz w:val="24"/>
            </w:rPr>
          </w:pPr>
          <w:hyperlink w:anchor="_Toc230012669" w:history="1">
            <w:r w:rsidR="00C77F9E" w:rsidRPr="00EA445F">
              <w:rPr>
                <w:rStyle w:val="Hyperlink"/>
                <w:noProof/>
              </w:rPr>
              <w:t>18.</w:t>
            </w:r>
            <w:r w:rsidR="00C77F9E">
              <w:rPr>
                <w:rFonts w:eastAsiaTheme="minorEastAsia"/>
                <w:noProof/>
                <w:sz w:val="24"/>
              </w:rPr>
              <w:tab/>
            </w:r>
            <w:r w:rsidR="00C77F9E" w:rsidRPr="00EA445F">
              <w:rPr>
                <w:rStyle w:val="Hyperlink"/>
                <w:noProof/>
              </w:rPr>
              <w:t>Foreclosure / Uncorrected Noncompliance</w:t>
            </w:r>
            <w:r w:rsidR="00C77F9E">
              <w:rPr>
                <w:noProof/>
                <w:webHidden/>
              </w:rPr>
              <w:tab/>
            </w:r>
            <w:r w:rsidR="00C77F9E">
              <w:rPr>
                <w:noProof/>
                <w:webHidden/>
              </w:rPr>
              <w:fldChar w:fldCharType="begin"/>
            </w:r>
            <w:r w:rsidR="00C77F9E">
              <w:rPr>
                <w:noProof/>
                <w:webHidden/>
              </w:rPr>
              <w:instrText xml:space="preserve"> PAGEREF _Toc230012669 \h </w:instrText>
            </w:r>
            <w:r w:rsidR="00C77F9E">
              <w:rPr>
                <w:noProof/>
                <w:webHidden/>
              </w:rPr>
            </w:r>
            <w:r w:rsidR="00C77F9E">
              <w:rPr>
                <w:noProof/>
                <w:webHidden/>
              </w:rPr>
              <w:fldChar w:fldCharType="separate"/>
            </w:r>
            <w:r>
              <w:rPr>
                <w:noProof/>
                <w:webHidden/>
              </w:rPr>
              <w:t>31</w:t>
            </w:r>
            <w:r w:rsidR="00C77F9E">
              <w:rPr>
                <w:noProof/>
                <w:webHidden/>
              </w:rPr>
              <w:fldChar w:fldCharType="end"/>
            </w:r>
          </w:hyperlink>
        </w:p>
        <w:p w14:paraId="093C5765" w14:textId="06D8E879" w:rsidR="00C77F9E" w:rsidRDefault="00FB3676">
          <w:pPr>
            <w:pStyle w:val="TOC2"/>
            <w:rPr>
              <w:rFonts w:eastAsiaTheme="minorEastAsia"/>
              <w:noProof/>
              <w:sz w:val="24"/>
            </w:rPr>
          </w:pPr>
          <w:hyperlink w:anchor="_Toc230012670" w:history="1">
            <w:r w:rsidR="00C77F9E" w:rsidRPr="00EA445F">
              <w:rPr>
                <w:rStyle w:val="Hyperlink"/>
                <w:noProof/>
              </w:rPr>
              <w:t>19.</w:t>
            </w:r>
            <w:r w:rsidR="00C77F9E">
              <w:rPr>
                <w:rFonts w:eastAsiaTheme="minorEastAsia"/>
                <w:noProof/>
                <w:sz w:val="24"/>
              </w:rPr>
              <w:tab/>
            </w:r>
            <w:r w:rsidR="00C77F9E" w:rsidRPr="00EA445F">
              <w:rPr>
                <w:rStyle w:val="Hyperlink"/>
                <w:noProof/>
              </w:rPr>
              <w:t>Minimum Design Standards</w:t>
            </w:r>
            <w:r w:rsidR="00C77F9E">
              <w:rPr>
                <w:noProof/>
                <w:webHidden/>
              </w:rPr>
              <w:tab/>
            </w:r>
            <w:r w:rsidR="00C77F9E">
              <w:rPr>
                <w:noProof/>
                <w:webHidden/>
              </w:rPr>
              <w:fldChar w:fldCharType="begin"/>
            </w:r>
            <w:r w:rsidR="00C77F9E">
              <w:rPr>
                <w:noProof/>
                <w:webHidden/>
              </w:rPr>
              <w:instrText xml:space="preserve"> PAGEREF _Toc230012670 \h </w:instrText>
            </w:r>
            <w:r w:rsidR="00C77F9E">
              <w:rPr>
                <w:noProof/>
                <w:webHidden/>
              </w:rPr>
            </w:r>
            <w:r w:rsidR="00C77F9E">
              <w:rPr>
                <w:noProof/>
                <w:webHidden/>
              </w:rPr>
              <w:fldChar w:fldCharType="separate"/>
            </w:r>
            <w:r>
              <w:rPr>
                <w:noProof/>
                <w:webHidden/>
              </w:rPr>
              <w:t>31</w:t>
            </w:r>
            <w:r w:rsidR="00C77F9E">
              <w:rPr>
                <w:noProof/>
                <w:webHidden/>
              </w:rPr>
              <w:fldChar w:fldCharType="end"/>
            </w:r>
          </w:hyperlink>
        </w:p>
        <w:p w14:paraId="6AF161F4" w14:textId="2531753D" w:rsidR="00C77F9E" w:rsidRDefault="00FB3676">
          <w:pPr>
            <w:pStyle w:val="TOC2"/>
            <w:rPr>
              <w:rFonts w:eastAsiaTheme="minorEastAsia"/>
              <w:noProof/>
              <w:sz w:val="24"/>
            </w:rPr>
          </w:pPr>
          <w:hyperlink w:anchor="_Toc230012671" w:history="1">
            <w:r w:rsidR="00C77F9E" w:rsidRPr="00EA445F">
              <w:rPr>
                <w:rStyle w:val="Hyperlink"/>
                <w:noProof/>
              </w:rPr>
              <w:t>20.</w:t>
            </w:r>
            <w:r w:rsidR="00C77F9E">
              <w:rPr>
                <w:rFonts w:eastAsiaTheme="minorEastAsia"/>
                <w:noProof/>
                <w:sz w:val="24"/>
              </w:rPr>
              <w:tab/>
            </w:r>
            <w:r w:rsidR="00C77F9E" w:rsidRPr="00EA445F">
              <w:rPr>
                <w:rStyle w:val="Hyperlink"/>
                <w:noProof/>
              </w:rPr>
              <w:t>Waiver of Qualified Contract Process</w:t>
            </w:r>
            <w:r w:rsidR="00C77F9E">
              <w:rPr>
                <w:noProof/>
                <w:webHidden/>
              </w:rPr>
              <w:tab/>
            </w:r>
            <w:r w:rsidR="00C77F9E">
              <w:rPr>
                <w:noProof/>
                <w:webHidden/>
              </w:rPr>
              <w:fldChar w:fldCharType="begin"/>
            </w:r>
            <w:r w:rsidR="00C77F9E">
              <w:rPr>
                <w:noProof/>
                <w:webHidden/>
              </w:rPr>
              <w:instrText xml:space="preserve"> PAGEREF _Toc230012671 \h </w:instrText>
            </w:r>
            <w:r w:rsidR="00C77F9E">
              <w:rPr>
                <w:noProof/>
                <w:webHidden/>
              </w:rPr>
            </w:r>
            <w:r w:rsidR="00C77F9E">
              <w:rPr>
                <w:noProof/>
                <w:webHidden/>
              </w:rPr>
              <w:fldChar w:fldCharType="separate"/>
            </w:r>
            <w:r>
              <w:rPr>
                <w:noProof/>
                <w:webHidden/>
              </w:rPr>
              <w:t>31</w:t>
            </w:r>
            <w:r w:rsidR="00C77F9E">
              <w:rPr>
                <w:noProof/>
                <w:webHidden/>
              </w:rPr>
              <w:fldChar w:fldCharType="end"/>
            </w:r>
          </w:hyperlink>
        </w:p>
        <w:p w14:paraId="4947CA8C" w14:textId="355352EF" w:rsidR="00C77F9E" w:rsidRDefault="00FB3676">
          <w:pPr>
            <w:pStyle w:val="TOC2"/>
            <w:rPr>
              <w:rFonts w:eastAsiaTheme="minorEastAsia"/>
              <w:noProof/>
              <w:sz w:val="24"/>
            </w:rPr>
          </w:pPr>
          <w:hyperlink w:anchor="_Toc230012672" w:history="1">
            <w:r w:rsidR="00C77F9E" w:rsidRPr="00EA445F">
              <w:rPr>
                <w:rStyle w:val="Hyperlink"/>
                <w:noProof/>
              </w:rPr>
              <w:t>21.</w:t>
            </w:r>
            <w:r w:rsidR="00C77F9E">
              <w:rPr>
                <w:rFonts w:eastAsiaTheme="minorEastAsia"/>
                <w:noProof/>
                <w:sz w:val="24"/>
              </w:rPr>
              <w:tab/>
            </w:r>
            <w:r w:rsidR="00C77F9E" w:rsidRPr="00EA445F">
              <w:rPr>
                <w:rStyle w:val="Hyperlink"/>
                <w:noProof/>
              </w:rPr>
              <w:t>Preserving the Right of First Refusal</w:t>
            </w:r>
            <w:r w:rsidR="00C77F9E">
              <w:rPr>
                <w:noProof/>
                <w:webHidden/>
              </w:rPr>
              <w:tab/>
            </w:r>
            <w:r w:rsidR="00C77F9E">
              <w:rPr>
                <w:noProof/>
                <w:webHidden/>
              </w:rPr>
              <w:fldChar w:fldCharType="begin"/>
            </w:r>
            <w:r w:rsidR="00C77F9E">
              <w:rPr>
                <w:noProof/>
                <w:webHidden/>
              </w:rPr>
              <w:instrText xml:space="preserve"> PAGEREF _Toc230012672 \h </w:instrText>
            </w:r>
            <w:r w:rsidR="00C77F9E">
              <w:rPr>
                <w:noProof/>
                <w:webHidden/>
              </w:rPr>
            </w:r>
            <w:r w:rsidR="00C77F9E">
              <w:rPr>
                <w:noProof/>
                <w:webHidden/>
              </w:rPr>
              <w:fldChar w:fldCharType="separate"/>
            </w:r>
            <w:r>
              <w:rPr>
                <w:noProof/>
                <w:webHidden/>
              </w:rPr>
              <w:t>32</w:t>
            </w:r>
            <w:r w:rsidR="00C77F9E">
              <w:rPr>
                <w:noProof/>
                <w:webHidden/>
              </w:rPr>
              <w:fldChar w:fldCharType="end"/>
            </w:r>
          </w:hyperlink>
        </w:p>
        <w:p w14:paraId="62322EE7" w14:textId="45BD6727" w:rsidR="00C77F9E" w:rsidRDefault="00FB3676">
          <w:pPr>
            <w:pStyle w:val="TOC2"/>
            <w:rPr>
              <w:rFonts w:eastAsiaTheme="minorEastAsia"/>
              <w:noProof/>
              <w:sz w:val="24"/>
            </w:rPr>
          </w:pPr>
          <w:hyperlink w:anchor="_Toc230012673" w:history="1">
            <w:r w:rsidR="00C77F9E" w:rsidRPr="00EA445F">
              <w:rPr>
                <w:rStyle w:val="Hyperlink"/>
                <w:noProof/>
              </w:rPr>
              <w:t>22.</w:t>
            </w:r>
            <w:r w:rsidR="00C77F9E">
              <w:rPr>
                <w:rFonts w:eastAsiaTheme="minorEastAsia"/>
                <w:noProof/>
                <w:sz w:val="24"/>
              </w:rPr>
              <w:tab/>
            </w:r>
            <w:r w:rsidR="00C77F9E" w:rsidRPr="00EA445F">
              <w:rPr>
                <w:rStyle w:val="Hyperlink"/>
                <w:noProof/>
              </w:rPr>
              <w:t>Inclusionary Review</w:t>
            </w:r>
            <w:r w:rsidR="00C77F9E">
              <w:rPr>
                <w:noProof/>
                <w:webHidden/>
              </w:rPr>
              <w:tab/>
            </w:r>
            <w:r w:rsidR="00C77F9E">
              <w:rPr>
                <w:noProof/>
                <w:webHidden/>
              </w:rPr>
              <w:fldChar w:fldCharType="begin"/>
            </w:r>
            <w:r w:rsidR="00C77F9E">
              <w:rPr>
                <w:noProof/>
                <w:webHidden/>
              </w:rPr>
              <w:instrText xml:space="preserve"> PAGEREF _Toc230012673 \h </w:instrText>
            </w:r>
            <w:r w:rsidR="00C77F9E">
              <w:rPr>
                <w:noProof/>
                <w:webHidden/>
              </w:rPr>
            </w:r>
            <w:r w:rsidR="00C77F9E">
              <w:rPr>
                <w:noProof/>
                <w:webHidden/>
              </w:rPr>
              <w:fldChar w:fldCharType="separate"/>
            </w:r>
            <w:r>
              <w:rPr>
                <w:noProof/>
                <w:webHidden/>
              </w:rPr>
              <w:t>33</w:t>
            </w:r>
            <w:r w:rsidR="00C77F9E">
              <w:rPr>
                <w:noProof/>
                <w:webHidden/>
              </w:rPr>
              <w:fldChar w:fldCharType="end"/>
            </w:r>
          </w:hyperlink>
        </w:p>
        <w:p w14:paraId="3A3E5026" w14:textId="27AB5FE6" w:rsidR="00C77F9E" w:rsidRDefault="00FB3676">
          <w:pPr>
            <w:pStyle w:val="TOC1"/>
            <w:tabs>
              <w:tab w:val="right" w:leader="dot" w:pos="10790"/>
            </w:tabs>
            <w:rPr>
              <w:rFonts w:eastAsiaTheme="minorEastAsia"/>
              <w:noProof/>
              <w:sz w:val="24"/>
            </w:rPr>
          </w:pPr>
          <w:hyperlink w:anchor="_Toc230012674" w:history="1">
            <w:r w:rsidR="00C77F9E" w:rsidRPr="00EA445F">
              <w:rPr>
                <w:rStyle w:val="Hyperlink"/>
                <w:noProof/>
              </w:rPr>
              <w:t>Part III — Point System and Set-Asides</w:t>
            </w:r>
            <w:r w:rsidR="00C77F9E">
              <w:rPr>
                <w:noProof/>
                <w:webHidden/>
              </w:rPr>
              <w:tab/>
            </w:r>
            <w:r w:rsidR="00C77F9E">
              <w:rPr>
                <w:noProof/>
                <w:webHidden/>
              </w:rPr>
              <w:fldChar w:fldCharType="begin"/>
            </w:r>
            <w:r w:rsidR="00C77F9E">
              <w:rPr>
                <w:noProof/>
                <w:webHidden/>
              </w:rPr>
              <w:instrText xml:space="preserve"> PAGEREF _Toc230012674 \h </w:instrText>
            </w:r>
            <w:r w:rsidR="00C77F9E">
              <w:rPr>
                <w:noProof/>
                <w:webHidden/>
              </w:rPr>
            </w:r>
            <w:r w:rsidR="00C77F9E">
              <w:rPr>
                <w:noProof/>
                <w:webHidden/>
              </w:rPr>
              <w:fldChar w:fldCharType="separate"/>
            </w:r>
            <w:r>
              <w:rPr>
                <w:noProof/>
                <w:webHidden/>
              </w:rPr>
              <w:t>34</w:t>
            </w:r>
            <w:r w:rsidR="00C77F9E">
              <w:rPr>
                <w:noProof/>
                <w:webHidden/>
              </w:rPr>
              <w:fldChar w:fldCharType="end"/>
            </w:r>
          </w:hyperlink>
        </w:p>
        <w:p w14:paraId="0395A1CB" w14:textId="0B9E8867" w:rsidR="00C77F9E" w:rsidRDefault="00FB3676">
          <w:pPr>
            <w:pStyle w:val="TOC2"/>
            <w:rPr>
              <w:rFonts w:eastAsiaTheme="minorEastAsia"/>
              <w:noProof/>
              <w:sz w:val="24"/>
            </w:rPr>
          </w:pPr>
          <w:hyperlink w:anchor="_Toc230012675" w:history="1">
            <w:r w:rsidR="00C77F9E" w:rsidRPr="00EA445F">
              <w:rPr>
                <w:rStyle w:val="Hyperlink"/>
                <w:noProof/>
              </w:rPr>
              <w:t>Section A. Point Worksheets</w:t>
            </w:r>
            <w:r w:rsidR="00C77F9E">
              <w:rPr>
                <w:noProof/>
                <w:webHidden/>
              </w:rPr>
              <w:tab/>
            </w:r>
            <w:r w:rsidR="00C77F9E">
              <w:rPr>
                <w:noProof/>
                <w:webHidden/>
              </w:rPr>
              <w:fldChar w:fldCharType="begin"/>
            </w:r>
            <w:r w:rsidR="00C77F9E">
              <w:rPr>
                <w:noProof/>
                <w:webHidden/>
              </w:rPr>
              <w:instrText xml:space="preserve"> PAGEREF _Toc230012675 \h </w:instrText>
            </w:r>
            <w:r w:rsidR="00C77F9E">
              <w:rPr>
                <w:noProof/>
                <w:webHidden/>
              </w:rPr>
            </w:r>
            <w:r w:rsidR="00C77F9E">
              <w:rPr>
                <w:noProof/>
                <w:webHidden/>
              </w:rPr>
              <w:fldChar w:fldCharType="separate"/>
            </w:r>
            <w:r>
              <w:rPr>
                <w:noProof/>
                <w:webHidden/>
              </w:rPr>
              <w:t>35</w:t>
            </w:r>
            <w:r w:rsidR="00C77F9E">
              <w:rPr>
                <w:noProof/>
                <w:webHidden/>
              </w:rPr>
              <w:fldChar w:fldCharType="end"/>
            </w:r>
          </w:hyperlink>
        </w:p>
        <w:p w14:paraId="1E6C9003" w14:textId="4520302C" w:rsidR="00C77F9E" w:rsidRDefault="00FB3676">
          <w:pPr>
            <w:pStyle w:val="TOC2"/>
            <w:rPr>
              <w:rFonts w:eastAsiaTheme="minorEastAsia"/>
              <w:noProof/>
              <w:sz w:val="24"/>
            </w:rPr>
          </w:pPr>
          <w:hyperlink w:anchor="_Toc230012676" w:history="1">
            <w:r w:rsidR="00C77F9E" w:rsidRPr="00EA445F">
              <w:rPr>
                <w:rStyle w:val="Hyperlink"/>
                <w:noProof/>
              </w:rPr>
              <w:t>Section B. Set-Aside Documentation</w:t>
            </w:r>
            <w:r w:rsidR="00C77F9E">
              <w:rPr>
                <w:noProof/>
                <w:webHidden/>
              </w:rPr>
              <w:tab/>
            </w:r>
            <w:r w:rsidR="00C77F9E">
              <w:rPr>
                <w:noProof/>
                <w:webHidden/>
              </w:rPr>
              <w:fldChar w:fldCharType="begin"/>
            </w:r>
            <w:r w:rsidR="00C77F9E">
              <w:rPr>
                <w:noProof/>
                <w:webHidden/>
              </w:rPr>
              <w:instrText xml:space="preserve"> PAGEREF _Toc230012676 \h </w:instrText>
            </w:r>
            <w:r w:rsidR="00C77F9E">
              <w:rPr>
                <w:noProof/>
                <w:webHidden/>
              </w:rPr>
            </w:r>
            <w:r w:rsidR="00C77F9E">
              <w:rPr>
                <w:noProof/>
                <w:webHidden/>
              </w:rPr>
              <w:fldChar w:fldCharType="separate"/>
            </w:r>
            <w:r>
              <w:rPr>
                <w:noProof/>
                <w:webHidden/>
              </w:rPr>
              <w:t>35</w:t>
            </w:r>
            <w:r w:rsidR="00C77F9E">
              <w:rPr>
                <w:noProof/>
                <w:webHidden/>
              </w:rPr>
              <w:fldChar w:fldCharType="end"/>
            </w:r>
          </w:hyperlink>
        </w:p>
        <w:p w14:paraId="45DD7D75" w14:textId="2C92FA84" w:rsidR="00C77F9E" w:rsidRDefault="00FB3676">
          <w:pPr>
            <w:pStyle w:val="TOC3"/>
            <w:rPr>
              <w:rFonts w:eastAsiaTheme="minorEastAsia"/>
              <w:noProof/>
              <w:sz w:val="24"/>
            </w:rPr>
          </w:pPr>
          <w:hyperlink w:anchor="_Toc230012677" w:history="1">
            <w:r w:rsidR="00C77F9E" w:rsidRPr="00EA445F">
              <w:rPr>
                <w:rStyle w:val="Hyperlink"/>
                <w:noProof/>
              </w:rPr>
              <w:t>1.</w:t>
            </w:r>
            <w:r w:rsidR="00C77F9E">
              <w:rPr>
                <w:rFonts w:eastAsiaTheme="minorEastAsia"/>
                <w:noProof/>
                <w:sz w:val="24"/>
              </w:rPr>
              <w:tab/>
            </w:r>
            <w:r w:rsidR="00C77F9E" w:rsidRPr="00EA445F">
              <w:rPr>
                <w:rStyle w:val="Hyperlink"/>
                <w:noProof/>
              </w:rPr>
              <w:t>Mixed-Income Set-Aside</w:t>
            </w:r>
            <w:r w:rsidR="00C77F9E">
              <w:rPr>
                <w:noProof/>
                <w:webHidden/>
              </w:rPr>
              <w:tab/>
            </w:r>
            <w:r w:rsidR="00C77F9E">
              <w:rPr>
                <w:noProof/>
                <w:webHidden/>
              </w:rPr>
              <w:fldChar w:fldCharType="begin"/>
            </w:r>
            <w:r w:rsidR="00C77F9E">
              <w:rPr>
                <w:noProof/>
                <w:webHidden/>
              </w:rPr>
              <w:instrText xml:space="preserve"> PAGEREF _Toc230012677 \h </w:instrText>
            </w:r>
            <w:r w:rsidR="00C77F9E">
              <w:rPr>
                <w:noProof/>
                <w:webHidden/>
              </w:rPr>
            </w:r>
            <w:r w:rsidR="00C77F9E">
              <w:rPr>
                <w:noProof/>
                <w:webHidden/>
              </w:rPr>
              <w:fldChar w:fldCharType="separate"/>
            </w:r>
            <w:r>
              <w:rPr>
                <w:noProof/>
                <w:webHidden/>
              </w:rPr>
              <w:t>35</w:t>
            </w:r>
            <w:r w:rsidR="00C77F9E">
              <w:rPr>
                <w:noProof/>
                <w:webHidden/>
              </w:rPr>
              <w:fldChar w:fldCharType="end"/>
            </w:r>
          </w:hyperlink>
        </w:p>
        <w:p w14:paraId="5D22DE73" w14:textId="5593880A" w:rsidR="00C77F9E" w:rsidRDefault="00FB3676">
          <w:pPr>
            <w:pStyle w:val="TOC3"/>
            <w:rPr>
              <w:rFonts w:eastAsiaTheme="minorEastAsia"/>
              <w:noProof/>
              <w:sz w:val="24"/>
            </w:rPr>
          </w:pPr>
          <w:hyperlink w:anchor="_Toc230012678" w:history="1">
            <w:r w:rsidR="00C77F9E" w:rsidRPr="00EA445F">
              <w:rPr>
                <w:rStyle w:val="Hyperlink"/>
                <w:noProof/>
              </w:rPr>
              <w:t>2.</w:t>
            </w:r>
            <w:r w:rsidR="00C77F9E">
              <w:rPr>
                <w:rFonts w:eastAsiaTheme="minorEastAsia"/>
                <w:noProof/>
                <w:sz w:val="24"/>
              </w:rPr>
              <w:tab/>
            </w:r>
            <w:r w:rsidR="00C77F9E" w:rsidRPr="00EA445F">
              <w:rPr>
                <w:rStyle w:val="Hyperlink"/>
                <w:noProof/>
              </w:rPr>
              <w:t>Preservation Set-Aside</w:t>
            </w:r>
            <w:r w:rsidR="00C77F9E">
              <w:rPr>
                <w:noProof/>
                <w:webHidden/>
              </w:rPr>
              <w:tab/>
            </w:r>
            <w:r w:rsidR="00C77F9E">
              <w:rPr>
                <w:noProof/>
                <w:webHidden/>
              </w:rPr>
              <w:fldChar w:fldCharType="begin"/>
            </w:r>
            <w:r w:rsidR="00C77F9E">
              <w:rPr>
                <w:noProof/>
                <w:webHidden/>
              </w:rPr>
              <w:instrText xml:space="preserve"> PAGEREF _Toc230012678 \h </w:instrText>
            </w:r>
            <w:r w:rsidR="00C77F9E">
              <w:rPr>
                <w:noProof/>
                <w:webHidden/>
              </w:rPr>
            </w:r>
            <w:r w:rsidR="00C77F9E">
              <w:rPr>
                <w:noProof/>
                <w:webHidden/>
              </w:rPr>
              <w:fldChar w:fldCharType="separate"/>
            </w:r>
            <w:r>
              <w:rPr>
                <w:noProof/>
                <w:webHidden/>
              </w:rPr>
              <w:t>36</w:t>
            </w:r>
            <w:r w:rsidR="00C77F9E">
              <w:rPr>
                <w:noProof/>
                <w:webHidden/>
              </w:rPr>
              <w:fldChar w:fldCharType="end"/>
            </w:r>
          </w:hyperlink>
        </w:p>
        <w:p w14:paraId="1DBCBFAA" w14:textId="24C350E4" w:rsidR="00C77F9E" w:rsidRDefault="00FB3676">
          <w:pPr>
            <w:pStyle w:val="TOC3"/>
            <w:rPr>
              <w:rFonts w:eastAsiaTheme="minorEastAsia"/>
              <w:noProof/>
              <w:sz w:val="24"/>
            </w:rPr>
          </w:pPr>
          <w:hyperlink w:anchor="_Toc230012679" w:history="1">
            <w:r w:rsidR="00C77F9E" w:rsidRPr="00EA445F">
              <w:rPr>
                <w:rStyle w:val="Hyperlink"/>
                <w:noProof/>
              </w:rPr>
              <w:t>3.</w:t>
            </w:r>
            <w:r w:rsidR="00C77F9E">
              <w:rPr>
                <w:rFonts w:eastAsiaTheme="minorEastAsia"/>
                <w:noProof/>
                <w:sz w:val="24"/>
              </w:rPr>
              <w:tab/>
            </w:r>
            <w:r w:rsidR="00C77F9E" w:rsidRPr="00EA445F">
              <w:rPr>
                <w:rStyle w:val="Hyperlink"/>
                <w:noProof/>
              </w:rPr>
              <w:t>Emerging Developer Set-Aside</w:t>
            </w:r>
            <w:r w:rsidR="00C77F9E">
              <w:rPr>
                <w:noProof/>
                <w:webHidden/>
              </w:rPr>
              <w:tab/>
            </w:r>
            <w:r w:rsidR="00C77F9E">
              <w:rPr>
                <w:noProof/>
                <w:webHidden/>
              </w:rPr>
              <w:fldChar w:fldCharType="begin"/>
            </w:r>
            <w:r w:rsidR="00C77F9E">
              <w:rPr>
                <w:noProof/>
                <w:webHidden/>
              </w:rPr>
              <w:instrText xml:space="preserve"> PAGEREF _Toc230012679 \h </w:instrText>
            </w:r>
            <w:r w:rsidR="00C77F9E">
              <w:rPr>
                <w:noProof/>
                <w:webHidden/>
              </w:rPr>
            </w:r>
            <w:r w:rsidR="00C77F9E">
              <w:rPr>
                <w:noProof/>
                <w:webHidden/>
              </w:rPr>
              <w:fldChar w:fldCharType="separate"/>
            </w:r>
            <w:r>
              <w:rPr>
                <w:noProof/>
                <w:webHidden/>
              </w:rPr>
              <w:t>37</w:t>
            </w:r>
            <w:r w:rsidR="00C77F9E">
              <w:rPr>
                <w:noProof/>
                <w:webHidden/>
              </w:rPr>
              <w:fldChar w:fldCharType="end"/>
            </w:r>
          </w:hyperlink>
        </w:p>
        <w:p w14:paraId="6D11A716" w14:textId="30A7EA8F" w:rsidR="00C77F9E" w:rsidRDefault="00FB3676">
          <w:pPr>
            <w:pStyle w:val="TOC2"/>
            <w:rPr>
              <w:rFonts w:eastAsiaTheme="minorEastAsia"/>
              <w:noProof/>
              <w:sz w:val="24"/>
            </w:rPr>
          </w:pPr>
          <w:hyperlink w:anchor="_Toc230012680" w:history="1">
            <w:r w:rsidR="00C77F9E" w:rsidRPr="00EA445F">
              <w:rPr>
                <w:rStyle w:val="Hyperlink"/>
                <w:noProof/>
              </w:rPr>
              <w:t>Section C. Points Documentation</w:t>
            </w:r>
            <w:r w:rsidR="00C77F9E">
              <w:rPr>
                <w:noProof/>
                <w:webHidden/>
              </w:rPr>
              <w:tab/>
            </w:r>
            <w:r w:rsidR="00C77F9E">
              <w:rPr>
                <w:noProof/>
                <w:webHidden/>
              </w:rPr>
              <w:fldChar w:fldCharType="begin"/>
            </w:r>
            <w:r w:rsidR="00C77F9E">
              <w:rPr>
                <w:noProof/>
                <w:webHidden/>
              </w:rPr>
              <w:instrText xml:space="preserve"> PAGEREF _Toc230012680 \h </w:instrText>
            </w:r>
            <w:r w:rsidR="00C77F9E">
              <w:rPr>
                <w:noProof/>
                <w:webHidden/>
              </w:rPr>
            </w:r>
            <w:r w:rsidR="00C77F9E">
              <w:rPr>
                <w:noProof/>
                <w:webHidden/>
              </w:rPr>
              <w:fldChar w:fldCharType="separate"/>
            </w:r>
            <w:r>
              <w:rPr>
                <w:noProof/>
                <w:webHidden/>
              </w:rPr>
              <w:t>38</w:t>
            </w:r>
            <w:r w:rsidR="00C77F9E">
              <w:rPr>
                <w:noProof/>
                <w:webHidden/>
              </w:rPr>
              <w:fldChar w:fldCharType="end"/>
            </w:r>
          </w:hyperlink>
        </w:p>
        <w:p w14:paraId="5943D806" w14:textId="4DB927F4" w:rsidR="00C77F9E" w:rsidRDefault="00FB3676">
          <w:pPr>
            <w:pStyle w:val="TOC3"/>
            <w:rPr>
              <w:rFonts w:eastAsiaTheme="minorEastAsia"/>
              <w:noProof/>
              <w:sz w:val="24"/>
            </w:rPr>
          </w:pPr>
          <w:hyperlink w:anchor="_Toc230012681" w:history="1">
            <w:r w:rsidR="00C77F9E" w:rsidRPr="00EA445F">
              <w:rPr>
                <w:rStyle w:val="Hyperlink"/>
                <w:noProof/>
              </w:rPr>
              <w:t>1.</w:t>
            </w:r>
            <w:r w:rsidR="00C77F9E">
              <w:rPr>
                <w:rFonts w:eastAsiaTheme="minorEastAsia"/>
                <w:noProof/>
                <w:sz w:val="24"/>
              </w:rPr>
              <w:tab/>
            </w:r>
            <w:r w:rsidR="00C77F9E" w:rsidRPr="00EA445F">
              <w:rPr>
                <w:rStyle w:val="Hyperlink"/>
                <w:noProof/>
              </w:rPr>
              <w:t>Compliance Period/Tenant Ownership</w:t>
            </w:r>
            <w:r w:rsidR="00C77F9E">
              <w:rPr>
                <w:noProof/>
                <w:webHidden/>
              </w:rPr>
              <w:tab/>
            </w:r>
            <w:r w:rsidR="00C77F9E">
              <w:rPr>
                <w:noProof/>
                <w:webHidden/>
              </w:rPr>
              <w:fldChar w:fldCharType="begin"/>
            </w:r>
            <w:r w:rsidR="00C77F9E">
              <w:rPr>
                <w:noProof/>
                <w:webHidden/>
              </w:rPr>
              <w:instrText xml:space="preserve"> PAGEREF _Toc230012681 \h </w:instrText>
            </w:r>
            <w:r w:rsidR="00C77F9E">
              <w:rPr>
                <w:noProof/>
                <w:webHidden/>
              </w:rPr>
            </w:r>
            <w:r w:rsidR="00C77F9E">
              <w:rPr>
                <w:noProof/>
                <w:webHidden/>
              </w:rPr>
              <w:fldChar w:fldCharType="separate"/>
            </w:r>
            <w:r>
              <w:rPr>
                <w:noProof/>
                <w:webHidden/>
              </w:rPr>
              <w:t>38</w:t>
            </w:r>
            <w:r w:rsidR="00C77F9E">
              <w:rPr>
                <w:noProof/>
                <w:webHidden/>
              </w:rPr>
              <w:fldChar w:fldCharType="end"/>
            </w:r>
          </w:hyperlink>
        </w:p>
        <w:p w14:paraId="1AC340B7" w14:textId="223BA9E5" w:rsidR="00C77F9E" w:rsidRDefault="00FB3676">
          <w:pPr>
            <w:pStyle w:val="TOC3"/>
            <w:rPr>
              <w:rFonts w:eastAsiaTheme="minorEastAsia"/>
              <w:noProof/>
              <w:sz w:val="24"/>
            </w:rPr>
          </w:pPr>
          <w:hyperlink w:anchor="_Toc230012682" w:history="1">
            <w:r w:rsidR="00C77F9E" w:rsidRPr="00EA445F">
              <w:rPr>
                <w:rStyle w:val="Hyperlink"/>
                <w:noProof/>
              </w:rPr>
              <w:t>2.</w:t>
            </w:r>
            <w:r w:rsidR="00C77F9E">
              <w:rPr>
                <w:rFonts w:eastAsiaTheme="minorEastAsia"/>
                <w:noProof/>
                <w:sz w:val="24"/>
              </w:rPr>
              <w:tab/>
            </w:r>
            <w:r w:rsidR="00C77F9E" w:rsidRPr="00EA445F">
              <w:rPr>
                <w:rStyle w:val="Hyperlink"/>
                <w:noProof/>
              </w:rPr>
              <w:t>Public Housing Waiting Lists</w:t>
            </w:r>
            <w:r w:rsidR="00C77F9E">
              <w:rPr>
                <w:noProof/>
                <w:webHidden/>
              </w:rPr>
              <w:tab/>
            </w:r>
            <w:r w:rsidR="00C77F9E">
              <w:rPr>
                <w:noProof/>
                <w:webHidden/>
              </w:rPr>
              <w:fldChar w:fldCharType="begin"/>
            </w:r>
            <w:r w:rsidR="00C77F9E">
              <w:rPr>
                <w:noProof/>
                <w:webHidden/>
              </w:rPr>
              <w:instrText xml:space="preserve"> PAGEREF _Toc230012682 \h </w:instrText>
            </w:r>
            <w:r w:rsidR="00C77F9E">
              <w:rPr>
                <w:noProof/>
                <w:webHidden/>
              </w:rPr>
            </w:r>
            <w:r w:rsidR="00C77F9E">
              <w:rPr>
                <w:noProof/>
                <w:webHidden/>
              </w:rPr>
              <w:fldChar w:fldCharType="separate"/>
            </w:r>
            <w:r>
              <w:rPr>
                <w:noProof/>
                <w:webHidden/>
              </w:rPr>
              <w:t>39</w:t>
            </w:r>
            <w:r w:rsidR="00C77F9E">
              <w:rPr>
                <w:noProof/>
                <w:webHidden/>
              </w:rPr>
              <w:fldChar w:fldCharType="end"/>
            </w:r>
          </w:hyperlink>
        </w:p>
        <w:p w14:paraId="4F965A7C" w14:textId="79E2919E" w:rsidR="00C77F9E" w:rsidRDefault="00FB3676">
          <w:pPr>
            <w:pStyle w:val="TOC3"/>
            <w:rPr>
              <w:rFonts w:eastAsiaTheme="minorEastAsia"/>
              <w:noProof/>
              <w:sz w:val="24"/>
            </w:rPr>
          </w:pPr>
          <w:hyperlink w:anchor="_Toc230012683" w:history="1">
            <w:r w:rsidR="00C77F9E" w:rsidRPr="00EA445F">
              <w:rPr>
                <w:rStyle w:val="Hyperlink"/>
                <w:noProof/>
              </w:rPr>
              <w:t>3.</w:t>
            </w:r>
            <w:r w:rsidR="00C77F9E">
              <w:rPr>
                <w:rFonts w:eastAsiaTheme="minorEastAsia"/>
                <w:noProof/>
                <w:sz w:val="24"/>
              </w:rPr>
              <w:tab/>
            </w:r>
            <w:r w:rsidR="00C77F9E" w:rsidRPr="00EA445F">
              <w:rPr>
                <w:rStyle w:val="Hyperlink"/>
                <w:noProof/>
              </w:rPr>
              <w:t>Large-Family Units (Family Cycle Only)</w:t>
            </w:r>
            <w:r w:rsidR="00C77F9E">
              <w:rPr>
                <w:noProof/>
                <w:webHidden/>
              </w:rPr>
              <w:tab/>
            </w:r>
            <w:r w:rsidR="00C77F9E">
              <w:rPr>
                <w:noProof/>
                <w:webHidden/>
              </w:rPr>
              <w:fldChar w:fldCharType="begin"/>
            </w:r>
            <w:r w:rsidR="00C77F9E">
              <w:rPr>
                <w:noProof/>
                <w:webHidden/>
              </w:rPr>
              <w:instrText xml:space="preserve"> PAGEREF _Toc230012683 \h </w:instrText>
            </w:r>
            <w:r w:rsidR="00C77F9E">
              <w:rPr>
                <w:noProof/>
                <w:webHidden/>
              </w:rPr>
            </w:r>
            <w:r w:rsidR="00C77F9E">
              <w:rPr>
                <w:noProof/>
                <w:webHidden/>
              </w:rPr>
              <w:fldChar w:fldCharType="separate"/>
            </w:r>
            <w:r>
              <w:rPr>
                <w:noProof/>
                <w:webHidden/>
              </w:rPr>
              <w:t>39</w:t>
            </w:r>
            <w:r w:rsidR="00C77F9E">
              <w:rPr>
                <w:noProof/>
                <w:webHidden/>
              </w:rPr>
              <w:fldChar w:fldCharType="end"/>
            </w:r>
          </w:hyperlink>
        </w:p>
        <w:p w14:paraId="561A351E" w14:textId="0E4F6C21" w:rsidR="00C77F9E" w:rsidRDefault="00FB3676">
          <w:pPr>
            <w:pStyle w:val="TOC3"/>
            <w:rPr>
              <w:rFonts w:eastAsiaTheme="minorEastAsia"/>
              <w:noProof/>
              <w:sz w:val="24"/>
            </w:rPr>
          </w:pPr>
          <w:hyperlink w:anchor="_Toc230012684" w:history="1">
            <w:r w:rsidR="00C77F9E" w:rsidRPr="00EA445F">
              <w:rPr>
                <w:rStyle w:val="Hyperlink"/>
                <w:noProof/>
              </w:rPr>
              <w:t>4.</w:t>
            </w:r>
            <w:r w:rsidR="00C77F9E">
              <w:rPr>
                <w:rFonts w:eastAsiaTheme="minorEastAsia"/>
                <w:noProof/>
                <w:sz w:val="24"/>
              </w:rPr>
              <w:tab/>
            </w:r>
            <w:r w:rsidR="00C77F9E" w:rsidRPr="00EA445F">
              <w:rPr>
                <w:rStyle w:val="Hyperlink"/>
                <w:noProof/>
              </w:rPr>
              <w:t>Municipal Support</w:t>
            </w:r>
            <w:r w:rsidR="00C77F9E">
              <w:rPr>
                <w:noProof/>
                <w:webHidden/>
              </w:rPr>
              <w:tab/>
            </w:r>
            <w:r w:rsidR="00C77F9E">
              <w:rPr>
                <w:noProof/>
                <w:webHidden/>
              </w:rPr>
              <w:fldChar w:fldCharType="begin"/>
            </w:r>
            <w:r w:rsidR="00C77F9E">
              <w:rPr>
                <w:noProof/>
                <w:webHidden/>
              </w:rPr>
              <w:instrText xml:space="preserve"> PAGEREF _Toc230012684 \h </w:instrText>
            </w:r>
            <w:r w:rsidR="00C77F9E">
              <w:rPr>
                <w:noProof/>
                <w:webHidden/>
              </w:rPr>
            </w:r>
            <w:r w:rsidR="00C77F9E">
              <w:rPr>
                <w:noProof/>
                <w:webHidden/>
              </w:rPr>
              <w:fldChar w:fldCharType="separate"/>
            </w:r>
            <w:r>
              <w:rPr>
                <w:noProof/>
                <w:webHidden/>
              </w:rPr>
              <w:t>40</w:t>
            </w:r>
            <w:r w:rsidR="00C77F9E">
              <w:rPr>
                <w:noProof/>
                <w:webHidden/>
              </w:rPr>
              <w:fldChar w:fldCharType="end"/>
            </w:r>
          </w:hyperlink>
        </w:p>
        <w:p w14:paraId="46749338" w14:textId="02EF3A77" w:rsidR="00C77F9E" w:rsidRDefault="00FB3676">
          <w:pPr>
            <w:pStyle w:val="TOC3"/>
            <w:rPr>
              <w:rFonts w:eastAsiaTheme="minorEastAsia"/>
              <w:noProof/>
              <w:sz w:val="24"/>
            </w:rPr>
          </w:pPr>
          <w:hyperlink w:anchor="_Toc230012685" w:history="1">
            <w:r w:rsidR="00C77F9E" w:rsidRPr="00EA445F">
              <w:rPr>
                <w:rStyle w:val="Hyperlink"/>
                <w:noProof/>
              </w:rPr>
              <w:t>5.</w:t>
            </w:r>
            <w:r w:rsidR="00C77F9E">
              <w:rPr>
                <w:rFonts w:eastAsiaTheme="minorEastAsia"/>
                <w:noProof/>
                <w:sz w:val="24"/>
              </w:rPr>
              <w:tab/>
            </w:r>
            <w:r w:rsidR="00C77F9E" w:rsidRPr="00EA445F">
              <w:rPr>
                <w:rStyle w:val="Hyperlink"/>
                <w:noProof/>
              </w:rPr>
              <w:t>Social Services (Family Cycle Only)</w:t>
            </w:r>
            <w:r w:rsidR="00C77F9E">
              <w:rPr>
                <w:noProof/>
                <w:webHidden/>
              </w:rPr>
              <w:tab/>
            </w:r>
            <w:r w:rsidR="00C77F9E">
              <w:rPr>
                <w:noProof/>
                <w:webHidden/>
              </w:rPr>
              <w:fldChar w:fldCharType="begin"/>
            </w:r>
            <w:r w:rsidR="00C77F9E">
              <w:rPr>
                <w:noProof/>
                <w:webHidden/>
              </w:rPr>
              <w:instrText xml:space="preserve"> PAGEREF _Toc230012685 \h </w:instrText>
            </w:r>
            <w:r w:rsidR="00C77F9E">
              <w:rPr>
                <w:noProof/>
                <w:webHidden/>
              </w:rPr>
            </w:r>
            <w:r w:rsidR="00C77F9E">
              <w:rPr>
                <w:noProof/>
                <w:webHidden/>
              </w:rPr>
              <w:fldChar w:fldCharType="separate"/>
            </w:r>
            <w:r>
              <w:rPr>
                <w:noProof/>
                <w:webHidden/>
              </w:rPr>
              <w:t>41</w:t>
            </w:r>
            <w:r w:rsidR="00C77F9E">
              <w:rPr>
                <w:noProof/>
                <w:webHidden/>
              </w:rPr>
              <w:fldChar w:fldCharType="end"/>
            </w:r>
          </w:hyperlink>
        </w:p>
        <w:p w14:paraId="0140A496" w14:textId="2FED79BB" w:rsidR="00C77F9E" w:rsidRDefault="00FB3676">
          <w:pPr>
            <w:pStyle w:val="TOC3"/>
            <w:rPr>
              <w:rFonts w:eastAsiaTheme="minorEastAsia"/>
              <w:noProof/>
              <w:sz w:val="24"/>
            </w:rPr>
          </w:pPr>
          <w:hyperlink w:anchor="_Toc230012686" w:history="1">
            <w:r w:rsidR="00C77F9E" w:rsidRPr="00EA445F">
              <w:rPr>
                <w:rStyle w:val="Hyperlink"/>
                <w:noProof/>
              </w:rPr>
              <w:t>6.</w:t>
            </w:r>
            <w:r w:rsidR="00C77F9E">
              <w:rPr>
                <w:rFonts w:eastAsiaTheme="minorEastAsia"/>
                <w:noProof/>
                <w:sz w:val="24"/>
              </w:rPr>
              <w:tab/>
            </w:r>
            <w:r w:rsidR="00C77F9E" w:rsidRPr="00EA445F">
              <w:rPr>
                <w:rStyle w:val="Hyperlink"/>
                <w:noProof/>
              </w:rPr>
              <w:t>Certified Minority and/or Women Business Enterprises (M/WBEs)</w:t>
            </w:r>
            <w:r w:rsidR="00C77F9E">
              <w:rPr>
                <w:noProof/>
                <w:webHidden/>
              </w:rPr>
              <w:tab/>
            </w:r>
            <w:r w:rsidR="00C77F9E">
              <w:rPr>
                <w:noProof/>
                <w:webHidden/>
              </w:rPr>
              <w:fldChar w:fldCharType="begin"/>
            </w:r>
            <w:r w:rsidR="00C77F9E">
              <w:rPr>
                <w:noProof/>
                <w:webHidden/>
              </w:rPr>
              <w:instrText xml:space="preserve"> PAGEREF _Toc230012686 \h </w:instrText>
            </w:r>
            <w:r w:rsidR="00C77F9E">
              <w:rPr>
                <w:noProof/>
                <w:webHidden/>
              </w:rPr>
            </w:r>
            <w:r w:rsidR="00C77F9E">
              <w:rPr>
                <w:noProof/>
                <w:webHidden/>
              </w:rPr>
              <w:fldChar w:fldCharType="separate"/>
            </w:r>
            <w:r>
              <w:rPr>
                <w:noProof/>
                <w:webHidden/>
              </w:rPr>
              <w:t>42</w:t>
            </w:r>
            <w:r w:rsidR="00C77F9E">
              <w:rPr>
                <w:noProof/>
                <w:webHidden/>
              </w:rPr>
              <w:fldChar w:fldCharType="end"/>
            </w:r>
          </w:hyperlink>
        </w:p>
        <w:p w14:paraId="27F6CEC8" w14:textId="4234A0A4" w:rsidR="00C77F9E" w:rsidRDefault="00FB3676">
          <w:pPr>
            <w:pStyle w:val="TOC3"/>
            <w:rPr>
              <w:rFonts w:eastAsiaTheme="minorEastAsia"/>
              <w:noProof/>
              <w:sz w:val="24"/>
            </w:rPr>
          </w:pPr>
          <w:hyperlink w:anchor="_Toc230012687" w:history="1">
            <w:r w:rsidR="00C77F9E" w:rsidRPr="00EA445F">
              <w:rPr>
                <w:rStyle w:val="Hyperlink"/>
                <w:noProof/>
              </w:rPr>
              <w:t>7.</w:t>
            </w:r>
            <w:r w:rsidR="00C77F9E">
              <w:rPr>
                <w:rFonts w:eastAsiaTheme="minorEastAsia"/>
                <w:noProof/>
                <w:sz w:val="24"/>
              </w:rPr>
              <w:tab/>
            </w:r>
            <w:r w:rsidR="00C77F9E" w:rsidRPr="00EA445F">
              <w:rPr>
                <w:rStyle w:val="Hyperlink"/>
                <w:noProof/>
              </w:rPr>
              <w:t>Ready to Grow Areas</w:t>
            </w:r>
            <w:r w:rsidR="00C77F9E">
              <w:rPr>
                <w:noProof/>
                <w:webHidden/>
              </w:rPr>
              <w:tab/>
            </w:r>
            <w:r w:rsidR="00C77F9E">
              <w:rPr>
                <w:noProof/>
                <w:webHidden/>
              </w:rPr>
              <w:fldChar w:fldCharType="begin"/>
            </w:r>
            <w:r w:rsidR="00C77F9E">
              <w:rPr>
                <w:noProof/>
                <w:webHidden/>
              </w:rPr>
              <w:instrText xml:space="preserve"> PAGEREF _Toc230012687 \h </w:instrText>
            </w:r>
            <w:r w:rsidR="00C77F9E">
              <w:rPr>
                <w:noProof/>
                <w:webHidden/>
              </w:rPr>
            </w:r>
            <w:r w:rsidR="00C77F9E">
              <w:rPr>
                <w:noProof/>
                <w:webHidden/>
              </w:rPr>
              <w:fldChar w:fldCharType="separate"/>
            </w:r>
            <w:r>
              <w:rPr>
                <w:noProof/>
                <w:webHidden/>
              </w:rPr>
              <w:t>44</w:t>
            </w:r>
            <w:r w:rsidR="00C77F9E">
              <w:rPr>
                <w:noProof/>
                <w:webHidden/>
              </w:rPr>
              <w:fldChar w:fldCharType="end"/>
            </w:r>
          </w:hyperlink>
        </w:p>
        <w:p w14:paraId="4267A2A7" w14:textId="3A01E2CE" w:rsidR="00C77F9E" w:rsidRDefault="00FB3676">
          <w:pPr>
            <w:pStyle w:val="TOC3"/>
            <w:rPr>
              <w:rFonts w:eastAsiaTheme="minorEastAsia"/>
              <w:noProof/>
              <w:sz w:val="24"/>
            </w:rPr>
          </w:pPr>
          <w:hyperlink w:anchor="_Toc230012688" w:history="1">
            <w:r w:rsidR="00C77F9E" w:rsidRPr="00EA445F">
              <w:rPr>
                <w:rStyle w:val="Hyperlink"/>
                <w:noProof/>
              </w:rPr>
              <w:t>8.</w:t>
            </w:r>
            <w:r w:rsidR="00C77F9E">
              <w:rPr>
                <w:rFonts w:eastAsiaTheme="minorEastAsia"/>
                <w:noProof/>
                <w:sz w:val="24"/>
              </w:rPr>
              <w:tab/>
            </w:r>
            <w:r w:rsidR="00C77F9E" w:rsidRPr="00EA445F">
              <w:rPr>
                <w:rStyle w:val="Hyperlink"/>
                <w:noProof/>
              </w:rPr>
              <w:t>Unit Amenities</w:t>
            </w:r>
            <w:r w:rsidR="00C77F9E">
              <w:rPr>
                <w:noProof/>
                <w:webHidden/>
              </w:rPr>
              <w:tab/>
            </w:r>
            <w:r w:rsidR="00C77F9E">
              <w:rPr>
                <w:noProof/>
                <w:webHidden/>
              </w:rPr>
              <w:fldChar w:fldCharType="begin"/>
            </w:r>
            <w:r w:rsidR="00C77F9E">
              <w:rPr>
                <w:noProof/>
                <w:webHidden/>
              </w:rPr>
              <w:instrText xml:space="preserve"> PAGEREF _Toc230012688 \h </w:instrText>
            </w:r>
            <w:r w:rsidR="00C77F9E">
              <w:rPr>
                <w:noProof/>
                <w:webHidden/>
              </w:rPr>
            </w:r>
            <w:r w:rsidR="00C77F9E">
              <w:rPr>
                <w:noProof/>
                <w:webHidden/>
              </w:rPr>
              <w:fldChar w:fldCharType="separate"/>
            </w:r>
            <w:r>
              <w:rPr>
                <w:noProof/>
                <w:webHidden/>
              </w:rPr>
              <w:t>46</w:t>
            </w:r>
            <w:r w:rsidR="00C77F9E">
              <w:rPr>
                <w:noProof/>
                <w:webHidden/>
              </w:rPr>
              <w:fldChar w:fldCharType="end"/>
            </w:r>
          </w:hyperlink>
        </w:p>
        <w:p w14:paraId="1CD7B766" w14:textId="02BE9EC5" w:rsidR="00C77F9E" w:rsidRDefault="00FB3676">
          <w:pPr>
            <w:pStyle w:val="TOC3"/>
            <w:rPr>
              <w:rFonts w:eastAsiaTheme="minorEastAsia"/>
              <w:noProof/>
              <w:sz w:val="24"/>
            </w:rPr>
          </w:pPr>
          <w:hyperlink w:anchor="_Toc230012689" w:history="1">
            <w:r w:rsidR="00C77F9E" w:rsidRPr="00EA445F">
              <w:rPr>
                <w:rStyle w:val="Hyperlink"/>
                <w:noProof/>
              </w:rPr>
              <w:t>9.</w:t>
            </w:r>
            <w:r w:rsidR="00C77F9E">
              <w:rPr>
                <w:rFonts w:eastAsiaTheme="minorEastAsia"/>
                <w:noProof/>
                <w:sz w:val="24"/>
              </w:rPr>
              <w:tab/>
            </w:r>
            <w:r w:rsidR="00C77F9E" w:rsidRPr="00EA445F">
              <w:rPr>
                <w:rStyle w:val="Hyperlink"/>
                <w:noProof/>
              </w:rPr>
              <w:t>Project Amenities</w:t>
            </w:r>
            <w:r w:rsidR="00C77F9E">
              <w:rPr>
                <w:noProof/>
                <w:webHidden/>
              </w:rPr>
              <w:tab/>
            </w:r>
            <w:r w:rsidR="00C77F9E">
              <w:rPr>
                <w:noProof/>
                <w:webHidden/>
              </w:rPr>
              <w:fldChar w:fldCharType="begin"/>
            </w:r>
            <w:r w:rsidR="00C77F9E">
              <w:rPr>
                <w:noProof/>
                <w:webHidden/>
              </w:rPr>
              <w:instrText xml:space="preserve"> PAGEREF _Toc230012689 \h </w:instrText>
            </w:r>
            <w:r w:rsidR="00C77F9E">
              <w:rPr>
                <w:noProof/>
                <w:webHidden/>
              </w:rPr>
            </w:r>
            <w:r w:rsidR="00C77F9E">
              <w:rPr>
                <w:noProof/>
                <w:webHidden/>
              </w:rPr>
              <w:fldChar w:fldCharType="separate"/>
            </w:r>
            <w:r>
              <w:rPr>
                <w:noProof/>
                <w:webHidden/>
              </w:rPr>
              <w:t>47</w:t>
            </w:r>
            <w:r w:rsidR="00C77F9E">
              <w:rPr>
                <w:noProof/>
                <w:webHidden/>
              </w:rPr>
              <w:fldChar w:fldCharType="end"/>
            </w:r>
          </w:hyperlink>
        </w:p>
        <w:p w14:paraId="1AA3943B" w14:textId="7F1D5DD8" w:rsidR="00C77F9E" w:rsidRDefault="00FB3676">
          <w:pPr>
            <w:pStyle w:val="TOC3"/>
            <w:rPr>
              <w:rFonts w:eastAsiaTheme="minorEastAsia"/>
              <w:noProof/>
              <w:sz w:val="24"/>
            </w:rPr>
          </w:pPr>
          <w:hyperlink w:anchor="_Toc230012690" w:history="1">
            <w:r w:rsidR="00C77F9E" w:rsidRPr="00EA445F">
              <w:rPr>
                <w:rStyle w:val="Hyperlink"/>
                <w:noProof/>
              </w:rPr>
              <w:t>10.</w:t>
            </w:r>
            <w:r w:rsidR="00C77F9E">
              <w:rPr>
                <w:rFonts w:eastAsiaTheme="minorEastAsia"/>
                <w:noProof/>
                <w:sz w:val="24"/>
              </w:rPr>
              <w:tab/>
            </w:r>
            <w:r w:rsidR="00C77F9E" w:rsidRPr="00EA445F">
              <w:rPr>
                <w:rStyle w:val="Hyperlink"/>
                <w:noProof/>
              </w:rPr>
              <w:t>Community Policing/Public Safety Enhancements</w:t>
            </w:r>
            <w:r w:rsidR="00C77F9E">
              <w:rPr>
                <w:noProof/>
                <w:webHidden/>
              </w:rPr>
              <w:tab/>
            </w:r>
            <w:r w:rsidR="00C77F9E">
              <w:rPr>
                <w:noProof/>
                <w:webHidden/>
              </w:rPr>
              <w:fldChar w:fldCharType="begin"/>
            </w:r>
            <w:r w:rsidR="00C77F9E">
              <w:rPr>
                <w:noProof/>
                <w:webHidden/>
              </w:rPr>
              <w:instrText xml:space="preserve"> PAGEREF _Toc230012690 \h </w:instrText>
            </w:r>
            <w:r w:rsidR="00C77F9E">
              <w:rPr>
                <w:noProof/>
                <w:webHidden/>
              </w:rPr>
            </w:r>
            <w:r w:rsidR="00C77F9E">
              <w:rPr>
                <w:noProof/>
                <w:webHidden/>
              </w:rPr>
              <w:fldChar w:fldCharType="separate"/>
            </w:r>
            <w:r>
              <w:rPr>
                <w:noProof/>
                <w:webHidden/>
              </w:rPr>
              <w:t>48</w:t>
            </w:r>
            <w:r w:rsidR="00C77F9E">
              <w:rPr>
                <w:noProof/>
                <w:webHidden/>
              </w:rPr>
              <w:fldChar w:fldCharType="end"/>
            </w:r>
          </w:hyperlink>
        </w:p>
        <w:p w14:paraId="107A5C8D" w14:textId="14302FF6" w:rsidR="00C77F9E" w:rsidRDefault="00FB3676">
          <w:pPr>
            <w:pStyle w:val="TOC3"/>
            <w:rPr>
              <w:rFonts w:eastAsiaTheme="minorEastAsia"/>
              <w:noProof/>
              <w:sz w:val="24"/>
            </w:rPr>
          </w:pPr>
          <w:hyperlink w:anchor="_Toc230012691" w:history="1">
            <w:r w:rsidR="00C77F9E" w:rsidRPr="00EA445F">
              <w:rPr>
                <w:rStyle w:val="Hyperlink"/>
                <w:noProof/>
              </w:rPr>
              <w:t>11.</w:t>
            </w:r>
            <w:r w:rsidR="00C77F9E">
              <w:rPr>
                <w:rFonts w:eastAsiaTheme="minorEastAsia"/>
                <w:noProof/>
                <w:sz w:val="24"/>
              </w:rPr>
              <w:tab/>
            </w:r>
            <w:r w:rsidR="00C77F9E" w:rsidRPr="00EA445F">
              <w:rPr>
                <w:rStyle w:val="Hyperlink"/>
                <w:noProof/>
              </w:rPr>
              <w:t>Site Selection</w:t>
            </w:r>
            <w:r w:rsidR="00C77F9E">
              <w:rPr>
                <w:noProof/>
                <w:webHidden/>
              </w:rPr>
              <w:tab/>
            </w:r>
            <w:r w:rsidR="00C77F9E">
              <w:rPr>
                <w:noProof/>
                <w:webHidden/>
              </w:rPr>
              <w:fldChar w:fldCharType="begin"/>
            </w:r>
            <w:r w:rsidR="00C77F9E">
              <w:rPr>
                <w:noProof/>
                <w:webHidden/>
              </w:rPr>
              <w:instrText xml:space="preserve"> PAGEREF _Toc230012691 \h </w:instrText>
            </w:r>
            <w:r w:rsidR="00C77F9E">
              <w:rPr>
                <w:noProof/>
                <w:webHidden/>
              </w:rPr>
            </w:r>
            <w:r w:rsidR="00C77F9E">
              <w:rPr>
                <w:noProof/>
                <w:webHidden/>
              </w:rPr>
              <w:fldChar w:fldCharType="separate"/>
            </w:r>
            <w:r>
              <w:rPr>
                <w:noProof/>
                <w:webHidden/>
              </w:rPr>
              <w:t>49</w:t>
            </w:r>
            <w:r w:rsidR="00C77F9E">
              <w:rPr>
                <w:noProof/>
                <w:webHidden/>
              </w:rPr>
              <w:fldChar w:fldCharType="end"/>
            </w:r>
          </w:hyperlink>
        </w:p>
        <w:p w14:paraId="413D3AC8" w14:textId="58AB5DE2" w:rsidR="00C77F9E" w:rsidRDefault="00FB3676">
          <w:pPr>
            <w:pStyle w:val="TOC3"/>
            <w:rPr>
              <w:rFonts w:eastAsiaTheme="minorEastAsia"/>
              <w:noProof/>
              <w:sz w:val="24"/>
            </w:rPr>
          </w:pPr>
          <w:hyperlink w:anchor="_Toc230012692" w:history="1">
            <w:r w:rsidR="00C77F9E" w:rsidRPr="00EA445F">
              <w:rPr>
                <w:rStyle w:val="Hyperlink"/>
                <w:noProof/>
              </w:rPr>
              <w:t>12.</w:t>
            </w:r>
            <w:r w:rsidR="00C77F9E">
              <w:rPr>
                <w:rFonts w:eastAsiaTheme="minorEastAsia"/>
                <w:noProof/>
                <w:sz w:val="24"/>
              </w:rPr>
              <w:tab/>
            </w:r>
            <w:r w:rsidR="00C77F9E" w:rsidRPr="00EA445F">
              <w:rPr>
                <w:rStyle w:val="Hyperlink"/>
                <w:noProof/>
              </w:rPr>
              <w:t>Syndicator/Investor Commitment</w:t>
            </w:r>
            <w:r w:rsidR="00C77F9E">
              <w:rPr>
                <w:noProof/>
                <w:webHidden/>
              </w:rPr>
              <w:tab/>
            </w:r>
            <w:r w:rsidR="00C77F9E">
              <w:rPr>
                <w:noProof/>
                <w:webHidden/>
              </w:rPr>
              <w:fldChar w:fldCharType="begin"/>
            </w:r>
            <w:r w:rsidR="00C77F9E">
              <w:rPr>
                <w:noProof/>
                <w:webHidden/>
              </w:rPr>
              <w:instrText xml:space="preserve"> PAGEREF _Toc230012692 \h </w:instrText>
            </w:r>
            <w:r w:rsidR="00C77F9E">
              <w:rPr>
                <w:noProof/>
                <w:webHidden/>
              </w:rPr>
            </w:r>
            <w:r w:rsidR="00C77F9E">
              <w:rPr>
                <w:noProof/>
                <w:webHidden/>
              </w:rPr>
              <w:fldChar w:fldCharType="separate"/>
            </w:r>
            <w:r>
              <w:rPr>
                <w:noProof/>
                <w:webHidden/>
              </w:rPr>
              <w:t>51</w:t>
            </w:r>
            <w:r w:rsidR="00C77F9E">
              <w:rPr>
                <w:noProof/>
                <w:webHidden/>
              </w:rPr>
              <w:fldChar w:fldCharType="end"/>
            </w:r>
          </w:hyperlink>
        </w:p>
        <w:p w14:paraId="6504CEEA" w14:textId="73AD1F80" w:rsidR="00C77F9E" w:rsidRDefault="00FB3676">
          <w:pPr>
            <w:pStyle w:val="TOC3"/>
            <w:rPr>
              <w:rFonts w:eastAsiaTheme="minorEastAsia"/>
              <w:noProof/>
              <w:sz w:val="24"/>
            </w:rPr>
          </w:pPr>
          <w:hyperlink w:anchor="_Toc230012693" w:history="1">
            <w:r w:rsidR="00C77F9E" w:rsidRPr="00EA445F">
              <w:rPr>
                <w:rStyle w:val="Hyperlink"/>
                <w:noProof/>
              </w:rPr>
              <w:t>13.</w:t>
            </w:r>
            <w:r w:rsidR="00C77F9E">
              <w:rPr>
                <w:rFonts w:eastAsiaTheme="minorEastAsia"/>
                <w:noProof/>
                <w:sz w:val="24"/>
              </w:rPr>
              <w:tab/>
            </w:r>
            <w:r w:rsidR="00C77F9E" w:rsidRPr="00EA445F">
              <w:rPr>
                <w:rStyle w:val="Hyperlink"/>
                <w:noProof/>
              </w:rPr>
              <w:t>Future-Ready Design</w:t>
            </w:r>
            <w:r w:rsidR="00C77F9E">
              <w:rPr>
                <w:noProof/>
                <w:webHidden/>
              </w:rPr>
              <w:tab/>
            </w:r>
            <w:r w:rsidR="00C77F9E">
              <w:rPr>
                <w:noProof/>
                <w:webHidden/>
              </w:rPr>
              <w:fldChar w:fldCharType="begin"/>
            </w:r>
            <w:r w:rsidR="00C77F9E">
              <w:rPr>
                <w:noProof/>
                <w:webHidden/>
              </w:rPr>
              <w:instrText xml:space="preserve"> PAGEREF _Toc230012693 \h </w:instrText>
            </w:r>
            <w:r w:rsidR="00C77F9E">
              <w:rPr>
                <w:noProof/>
                <w:webHidden/>
              </w:rPr>
            </w:r>
            <w:r w:rsidR="00C77F9E">
              <w:rPr>
                <w:noProof/>
                <w:webHidden/>
              </w:rPr>
              <w:fldChar w:fldCharType="separate"/>
            </w:r>
            <w:r>
              <w:rPr>
                <w:noProof/>
                <w:webHidden/>
              </w:rPr>
              <w:t>51</w:t>
            </w:r>
            <w:r w:rsidR="00C77F9E">
              <w:rPr>
                <w:noProof/>
                <w:webHidden/>
              </w:rPr>
              <w:fldChar w:fldCharType="end"/>
            </w:r>
          </w:hyperlink>
        </w:p>
        <w:p w14:paraId="0482D30F" w14:textId="7CBFA346" w:rsidR="00C77F9E" w:rsidRDefault="00FB3676">
          <w:pPr>
            <w:pStyle w:val="TOC3"/>
            <w:rPr>
              <w:rFonts w:eastAsiaTheme="minorEastAsia"/>
              <w:noProof/>
              <w:sz w:val="24"/>
            </w:rPr>
          </w:pPr>
          <w:hyperlink w:anchor="_Toc230012694" w:history="1">
            <w:r w:rsidR="00C77F9E" w:rsidRPr="00EA445F">
              <w:rPr>
                <w:rStyle w:val="Hyperlink"/>
                <w:noProof/>
              </w:rPr>
              <w:t>14.</w:t>
            </w:r>
            <w:r w:rsidR="00C77F9E">
              <w:rPr>
                <w:rFonts w:eastAsiaTheme="minorEastAsia"/>
                <w:noProof/>
                <w:sz w:val="24"/>
              </w:rPr>
              <w:tab/>
            </w:r>
            <w:r w:rsidR="00C77F9E" w:rsidRPr="00EA445F">
              <w:rPr>
                <w:rStyle w:val="Hyperlink"/>
                <w:noProof/>
              </w:rPr>
              <w:t>High Opportunity Areas</w:t>
            </w:r>
            <w:r w:rsidR="00C77F9E">
              <w:rPr>
                <w:noProof/>
                <w:webHidden/>
              </w:rPr>
              <w:tab/>
            </w:r>
            <w:r w:rsidR="00C77F9E">
              <w:rPr>
                <w:noProof/>
                <w:webHidden/>
              </w:rPr>
              <w:fldChar w:fldCharType="begin"/>
            </w:r>
            <w:r w:rsidR="00C77F9E">
              <w:rPr>
                <w:noProof/>
                <w:webHidden/>
              </w:rPr>
              <w:instrText xml:space="preserve"> PAGEREF _Toc230012694 \h </w:instrText>
            </w:r>
            <w:r w:rsidR="00C77F9E">
              <w:rPr>
                <w:noProof/>
                <w:webHidden/>
              </w:rPr>
            </w:r>
            <w:r w:rsidR="00C77F9E">
              <w:rPr>
                <w:noProof/>
                <w:webHidden/>
              </w:rPr>
              <w:fldChar w:fldCharType="separate"/>
            </w:r>
            <w:r>
              <w:rPr>
                <w:noProof/>
                <w:webHidden/>
              </w:rPr>
              <w:t>52</w:t>
            </w:r>
            <w:r w:rsidR="00C77F9E">
              <w:rPr>
                <w:noProof/>
                <w:webHidden/>
              </w:rPr>
              <w:fldChar w:fldCharType="end"/>
            </w:r>
          </w:hyperlink>
        </w:p>
        <w:p w14:paraId="29E79714" w14:textId="7ABE9486" w:rsidR="00C77F9E" w:rsidRDefault="00FB3676">
          <w:pPr>
            <w:pStyle w:val="TOC3"/>
            <w:rPr>
              <w:rFonts w:eastAsiaTheme="minorEastAsia"/>
              <w:noProof/>
              <w:sz w:val="24"/>
            </w:rPr>
          </w:pPr>
          <w:hyperlink w:anchor="_Toc230012695" w:history="1">
            <w:r w:rsidR="00C77F9E" w:rsidRPr="00EA445F">
              <w:rPr>
                <w:rStyle w:val="Hyperlink"/>
                <w:noProof/>
              </w:rPr>
              <w:t>15.</w:t>
            </w:r>
            <w:r w:rsidR="00C77F9E">
              <w:rPr>
                <w:rFonts w:eastAsiaTheme="minorEastAsia"/>
                <w:noProof/>
                <w:sz w:val="24"/>
              </w:rPr>
              <w:tab/>
            </w:r>
            <w:r w:rsidR="00C77F9E" w:rsidRPr="00EA445F">
              <w:rPr>
                <w:rStyle w:val="Hyperlink"/>
                <w:noProof/>
              </w:rPr>
              <w:t>Successful Development Experience</w:t>
            </w:r>
            <w:r w:rsidR="00C77F9E">
              <w:rPr>
                <w:noProof/>
                <w:webHidden/>
              </w:rPr>
              <w:tab/>
            </w:r>
            <w:r w:rsidR="00C77F9E">
              <w:rPr>
                <w:noProof/>
                <w:webHidden/>
              </w:rPr>
              <w:fldChar w:fldCharType="begin"/>
            </w:r>
            <w:r w:rsidR="00C77F9E">
              <w:rPr>
                <w:noProof/>
                <w:webHidden/>
              </w:rPr>
              <w:instrText xml:space="preserve"> PAGEREF _Toc230012695 \h </w:instrText>
            </w:r>
            <w:r w:rsidR="00C77F9E">
              <w:rPr>
                <w:noProof/>
                <w:webHidden/>
              </w:rPr>
            </w:r>
            <w:r w:rsidR="00C77F9E">
              <w:rPr>
                <w:noProof/>
                <w:webHidden/>
              </w:rPr>
              <w:fldChar w:fldCharType="separate"/>
            </w:r>
            <w:r>
              <w:rPr>
                <w:noProof/>
                <w:webHidden/>
              </w:rPr>
              <w:t>54</w:t>
            </w:r>
            <w:r w:rsidR="00C77F9E">
              <w:rPr>
                <w:noProof/>
                <w:webHidden/>
              </w:rPr>
              <w:fldChar w:fldCharType="end"/>
            </w:r>
          </w:hyperlink>
        </w:p>
        <w:p w14:paraId="349BAFAF" w14:textId="5BACE378" w:rsidR="00C77F9E" w:rsidRDefault="00FB3676">
          <w:pPr>
            <w:pStyle w:val="TOC3"/>
            <w:rPr>
              <w:rFonts w:eastAsiaTheme="minorEastAsia"/>
              <w:noProof/>
              <w:sz w:val="24"/>
            </w:rPr>
          </w:pPr>
          <w:hyperlink w:anchor="_Toc230012696" w:history="1">
            <w:r w:rsidR="00C77F9E" w:rsidRPr="00EA445F">
              <w:rPr>
                <w:rStyle w:val="Hyperlink"/>
                <w:noProof/>
              </w:rPr>
              <w:t>16.</w:t>
            </w:r>
            <w:r w:rsidR="00C77F9E">
              <w:rPr>
                <w:rFonts w:eastAsiaTheme="minorEastAsia"/>
                <w:noProof/>
                <w:sz w:val="24"/>
              </w:rPr>
              <w:tab/>
            </w:r>
            <w:r w:rsidR="00C77F9E" w:rsidRPr="00EA445F">
              <w:rPr>
                <w:rStyle w:val="Hyperlink"/>
                <w:noProof/>
              </w:rPr>
              <w:t>Units Reserved for Homeless/Disabled Individuals</w:t>
            </w:r>
            <w:r w:rsidR="00C77F9E">
              <w:rPr>
                <w:noProof/>
                <w:webHidden/>
              </w:rPr>
              <w:tab/>
            </w:r>
            <w:r w:rsidR="00C77F9E">
              <w:rPr>
                <w:noProof/>
                <w:webHidden/>
              </w:rPr>
              <w:fldChar w:fldCharType="begin"/>
            </w:r>
            <w:r w:rsidR="00C77F9E">
              <w:rPr>
                <w:noProof/>
                <w:webHidden/>
              </w:rPr>
              <w:instrText xml:space="preserve"> PAGEREF _Toc230012696 \h </w:instrText>
            </w:r>
            <w:r w:rsidR="00C77F9E">
              <w:rPr>
                <w:noProof/>
                <w:webHidden/>
              </w:rPr>
            </w:r>
            <w:r w:rsidR="00C77F9E">
              <w:rPr>
                <w:noProof/>
                <w:webHidden/>
              </w:rPr>
              <w:fldChar w:fldCharType="separate"/>
            </w:r>
            <w:r>
              <w:rPr>
                <w:noProof/>
                <w:webHidden/>
              </w:rPr>
              <w:t>55</w:t>
            </w:r>
            <w:r w:rsidR="00C77F9E">
              <w:rPr>
                <w:noProof/>
                <w:webHidden/>
              </w:rPr>
              <w:fldChar w:fldCharType="end"/>
            </w:r>
          </w:hyperlink>
        </w:p>
        <w:p w14:paraId="53AFA91C" w14:textId="059D007B" w:rsidR="00C77F9E" w:rsidRDefault="00FB3676">
          <w:pPr>
            <w:pStyle w:val="TOC3"/>
            <w:rPr>
              <w:rFonts w:eastAsiaTheme="minorEastAsia"/>
              <w:noProof/>
              <w:sz w:val="24"/>
            </w:rPr>
          </w:pPr>
          <w:hyperlink w:anchor="_Toc230012697" w:history="1">
            <w:r w:rsidR="00C77F9E" w:rsidRPr="00EA445F">
              <w:rPr>
                <w:rStyle w:val="Hyperlink"/>
                <w:noProof/>
              </w:rPr>
              <w:t>17.</w:t>
            </w:r>
            <w:r w:rsidR="00C77F9E">
              <w:rPr>
                <w:rFonts w:eastAsiaTheme="minorEastAsia"/>
                <w:noProof/>
                <w:sz w:val="24"/>
              </w:rPr>
              <w:tab/>
            </w:r>
            <w:r w:rsidR="00C77F9E" w:rsidRPr="00EA445F">
              <w:rPr>
                <w:rStyle w:val="Hyperlink"/>
                <w:noProof/>
              </w:rPr>
              <w:t>Affordability</w:t>
            </w:r>
            <w:r w:rsidR="00C77F9E">
              <w:rPr>
                <w:noProof/>
                <w:webHidden/>
              </w:rPr>
              <w:tab/>
            </w:r>
            <w:r w:rsidR="00C77F9E">
              <w:rPr>
                <w:noProof/>
                <w:webHidden/>
              </w:rPr>
              <w:fldChar w:fldCharType="begin"/>
            </w:r>
            <w:r w:rsidR="00C77F9E">
              <w:rPr>
                <w:noProof/>
                <w:webHidden/>
              </w:rPr>
              <w:instrText xml:space="preserve"> PAGEREF _Toc230012697 \h </w:instrText>
            </w:r>
            <w:r w:rsidR="00C77F9E">
              <w:rPr>
                <w:noProof/>
                <w:webHidden/>
              </w:rPr>
            </w:r>
            <w:r w:rsidR="00C77F9E">
              <w:rPr>
                <w:noProof/>
                <w:webHidden/>
              </w:rPr>
              <w:fldChar w:fldCharType="separate"/>
            </w:r>
            <w:r>
              <w:rPr>
                <w:noProof/>
                <w:webHidden/>
              </w:rPr>
              <w:t>55</w:t>
            </w:r>
            <w:r w:rsidR="00C77F9E">
              <w:rPr>
                <w:noProof/>
                <w:webHidden/>
              </w:rPr>
              <w:fldChar w:fldCharType="end"/>
            </w:r>
          </w:hyperlink>
        </w:p>
        <w:p w14:paraId="14F77D87" w14:textId="66430A19" w:rsidR="00C77F9E" w:rsidRDefault="00FB3676">
          <w:pPr>
            <w:pStyle w:val="TOC3"/>
            <w:rPr>
              <w:rFonts w:eastAsiaTheme="minorEastAsia"/>
              <w:noProof/>
              <w:sz w:val="24"/>
            </w:rPr>
          </w:pPr>
          <w:hyperlink w:anchor="_Toc230012698" w:history="1">
            <w:r w:rsidR="00C77F9E" w:rsidRPr="00EA445F">
              <w:rPr>
                <w:rStyle w:val="Hyperlink"/>
                <w:noProof/>
              </w:rPr>
              <w:t>18.</w:t>
            </w:r>
            <w:r w:rsidR="00C77F9E">
              <w:rPr>
                <w:rFonts w:eastAsiaTheme="minorEastAsia"/>
                <w:noProof/>
                <w:sz w:val="24"/>
              </w:rPr>
              <w:tab/>
            </w:r>
            <w:r w:rsidR="00C77F9E" w:rsidRPr="00EA445F">
              <w:rPr>
                <w:rStyle w:val="Hyperlink"/>
                <w:noProof/>
              </w:rPr>
              <w:t>Age-Friendly Senior Cycle Points</w:t>
            </w:r>
            <w:r w:rsidR="00C77F9E">
              <w:rPr>
                <w:noProof/>
                <w:webHidden/>
              </w:rPr>
              <w:tab/>
            </w:r>
            <w:r w:rsidR="00C77F9E">
              <w:rPr>
                <w:noProof/>
                <w:webHidden/>
              </w:rPr>
              <w:fldChar w:fldCharType="begin"/>
            </w:r>
            <w:r w:rsidR="00C77F9E">
              <w:rPr>
                <w:noProof/>
                <w:webHidden/>
              </w:rPr>
              <w:instrText xml:space="preserve"> PAGEREF _Toc230012698 \h </w:instrText>
            </w:r>
            <w:r w:rsidR="00C77F9E">
              <w:rPr>
                <w:noProof/>
                <w:webHidden/>
              </w:rPr>
            </w:r>
            <w:r w:rsidR="00C77F9E">
              <w:rPr>
                <w:noProof/>
                <w:webHidden/>
              </w:rPr>
              <w:fldChar w:fldCharType="separate"/>
            </w:r>
            <w:r>
              <w:rPr>
                <w:noProof/>
                <w:webHidden/>
              </w:rPr>
              <w:t>56</w:t>
            </w:r>
            <w:r w:rsidR="00C77F9E">
              <w:rPr>
                <w:noProof/>
                <w:webHidden/>
              </w:rPr>
              <w:fldChar w:fldCharType="end"/>
            </w:r>
          </w:hyperlink>
        </w:p>
        <w:p w14:paraId="75975C29" w14:textId="2958988A" w:rsidR="00C77F9E" w:rsidRDefault="00FB3676">
          <w:pPr>
            <w:pStyle w:val="TOC3"/>
            <w:rPr>
              <w:rFonts w:eastAsiaTheme="minorEastAsia"/>
              <w:noProof/>
              <w:sz w:val="24"/>
            </w:rPr>
          </w:pPr>
          <w:hyperlink w:anchor="_Toc230012699" w:history="1">
            <w:r w:rsidR="00C77F9E" w:rsidRPr="00EA445F">
              <w:rPr>
                <w:rStyle w:val="Hyperlink"/>
                <w:noProof/>
              </w:rPr>
              <w:t>19.</w:t>
            </w:r>
            <w:r w:rsidR="00C77F9E">
              <w:rPr>
                <w:rFonts w:eastAsiaTheme="minorEastAsia"/>
                <w:noProof/>
                <w:sz w:val="24"/>
              </w:rPr>
              <w:tab/>
            </w:r>
            <w:r w:rsidR="00C77F9E" w:rsidRPr="00EA445F">
              <w:rPr>
                <w:rStyle w:val="Hyperlink"/>
                <w:noProof/>
              </w:rPr>
              <w:t>Supportive Housing Cycle Points</w:t>
            </w:r>
            <w:r w:rsidR="00C77F9E">
              <w:rPr>
                <w:noProof/>
                <w:webHidden/>
              </w:rPr>
              <w:tab/>
            </w:r>
            <w:r w:rsidR="00C77F9E">
              <w:rPr>
                <w:noProof/>
                <w:webHidden/>
              </w:rPr>
              <w:fldChar w:fldCharType="begin"/>
            </w:r>
            <w:r w:rsidR="00C77F9E">
              <w:rPr>
                <w:noProof/>
                <w:webHidden/>
              </w:rPr>
              <w:instrText xml:space="preserve"> PAGEREF _Toc230012699 \h </w:instrText>
            </w:r>
            <w:r w:rsidR="00C77F9E">
              <w:rPr>
                <w:noProof/>
                <w:webHidden/>
              </w:rPr>
            </w:r>
            <w:r w:rsidR="00C77F9E">
              <w:rPr>
                <w:noProof/>
                <w:webHidden/>
              </w:rPr>
              <w:fldChar w:fldCharType="separate"/>
            </w:r>
            <w:r>
              <w:rPr>
                <w:noProof/>
                <w:webHidden/>
              </w:rPr>
              <w:t>58</w:t>
            </w:r>
            <w:r w:rsidR="00C77F9E">
              <w:rPr>
                <w:noProof/>
                <w:webHidden/>
              </w:rPr>
              <w:fldChar w:fldCharType="end"/>
            </w:r>
          </w:hyperlink>
        </w:p>
        <w:p w14:paraId="4AB792F8" w14:textId="3770C249" w:rsidR="00C77F9E" w:rsidRDefault="00FB3676">
          <w:pPr>
            <w:pStyle w:val="TOC3"/>
            <w:rPr>
              <w:rFonts w:eastAsiaTheme="minorEastAsia"/>
              <w:noProof/>
              <w:sz w:val="24"/>
            </w:rPr>
          </w:pPr>
          <w:hyperlink w:anchor="_Toc230012700" w:history="1">
            <w:r w:rsidR="00C77F9E" w:rsidRPr="00EA445F">
              <w:rPr>
                <w:rStyle w:val="Hyperlink"/>
                <w:noProof/>
              </w:rPr>
              <w:t>20.</w:t>
            </w:r>
            <w:r w:rsidR="00C77F9E">
              <w:rPr>
                <w:rFonts w:eastAsiaTheme="minorEastAsia"/>
                <w:noProof/>
                <w:sz w:val="24"/>
              </w:rPr>
              <w:tab/>
            </w:r>
            <w:r w:rsidR="00C77F9E" w:rsidRPr="00EA445F">
              <w:rPr>
                <w:rStyle w:val="Hyperlink"/>
                <w:noProof/>
              </w:rPr>
              <w:t>Qualified Nonprofit Sponsor</w:t>
            </w:r>
            <w:r w:rsidR="00C77F9E">
              <w:rPr>
                <w:noProof/>
                <w:webHidden/>
              </w:rPr>
              <w:tab/>
            </w:r>
            <w:r w:rsidR="00C77F9E">
              <w:rPr>
                <w:noProof/>
                <w:webHidden/>
              </w:rPr>
              <w:fldChar w:fldCharType="begin"/>
            </w:r>
            <w:r w:rsidR="00C77F9E">
              <w:rPr>
                <w:noProof/>
                <w:webHidden/>
              </w:rPr>
              <w:instrText xml:space="preserve"> PAGEREF _Toc230012700 \h </w:instrText>
            </w:r>
            <w:r w:rsidR="00C77F9E">
              <w:rPr>
                <w:noProof/>
                <w:webHidden/>
              </w:rPr>
            </w:r>
            <w:r w:rsidR="00C77F9E">
              <w:rPr>
                <w:noProof/>
                <w:webHidden/>
              </w:rPr>
              <w:fldChar w:fldCharType="separate"/>
            </w:r>
            <w:r>
              <w:rPr>
                <w:noProof/>
                <w:webHidden/>
              </w:rPr>
              <w:t>59</w:t>
            </w:r>
            <w:r w:rsidR="00C77F9E">
              <w:rPr>
                <w:noProof/>
                <w:webHidden/>
              </w:rPr>
              <w:fldChar w:fldCharType="end"/>
            </w:r>
          </w:hyperlink>
        </w:p>
        <w:p w14:paraId="7F8E1A84" w14:textId="7D5567EC" w:rsidR="00C77F9E" w:rsidRDefault="00FB3676">
          <w:pPr>
            <w:pStyle w:val="TOC3"/>
            <w:rPr>
              <w:rFonts w:eastAsiaTheme="minorEastAsia"/>
              <w:noProof/>
              <w:sz w:val="24"/>
            </w:rPr>
          </w:pPr>
          <w:hyperlink w:anchor="_Toc230012701" w:history="1">
            <w:r w:rsidR="00C77F9E" w:rsidRPr="00EA445F">
              <w:rPr>
                <w:rStyle w:val="Hyperlink"/>
                <w:noProof/>
              </w:rPr>
              <w:t>21.</w:t>
            </w:r>
            <w:r w:rsidR="00C77F9E">
              <w:rPr>
                <w:rFonts w:eastAsiaTheme="minorEastAsia"/>
                <w:noProof/>
                <w:sz w:val="24"/>
              </w:rPr>
              <w:tab/>
            </w:r>
            <w:r w:rsidR="00C77F9E" w:rsidRPr="00EA445F">
              <w:rPr>
                <w:rStyle w:val="Hyperlink"/>
                <w:noProof/>
              </w:rPr>
              <w:t>Bonus Point</w:t>
            </w:r>
            <w:r w:rsidR="00C77F9E">
              <w:rPr>
                <w:noProof/>
                <w:webHidden/>
              </w:rPr>
              <w:tab/>
            </w:r>
            <w:r w:rsidR="00C77F9E">
              <w:rPr>
                <w:noProof/>
                <w:webHidden/>
              </w:rPr>
              <w:fldChar w:fldCharType="begin"/>
            </w:r>
            <w:r w:rsidR="00C77F9E">
              <w:rPr>
                <w:noProof/>
                <w:webHidden/>
              </w:rPr>
              <w:instrText xml:space="preserve"> PAGEREF _Toc230012701 \h </w:instrText>
            </w:r>
            <w:r w:rsidR="00C77F9E">
              <w:rPr>
                <w:noProof/>
                <w:webHidden/>
              </w:rPr>
            </w:r>
            <w:r w:rsidR="00C77F9E">
              <w:rPr>
                <w:noProof/>
                <w:webHidden/>
              </w:rPr>
              <w:fldChar w:fldCharType="separate"/>
            </w:r>
            <w:r>
              <w:rPr>
                <w:noProof/>
                <w:webHidden/>
              </w:rPr>
              <w:t>59</w:t>
            </w:r>
            <w:r w:rsidR="00C77F9E">
              <w:rPr>
                <w:noProof/>
                <w:webHidden/>
              </w:rPr>
              <w:fldChar w:fldCharType="end"/>
            </w:r>
          </w:hyperlink>
        </w:p>
        <w:p w14:paraId="099C45C6" w14:textId="75760A47" w:rsidR="00C77F9E" w:rsidRDefault="00FB3676">
          <w:pPr>
            <w:pStyle w:val="TOC3"/>
            <w:rPr>
              <w:rFonts w:eastAsiaTheme="minorEastAsia"/>
              <w:noProof/>
              <w:sz w:val="24"/>
            </w:rPr>
          </w:pPr>
          <w:hyperlink w:anchor="_Toc230012702" w:history="1">
            <w:r w:rsidR="00C77F9E" w:rsidRPr="00EA445F">
              <w:rPr>
                <w:rStyle w:val="Hyperlink"/>
                <w:noProof/>
              </w:rPr>
              <w:t>22.</w:t>
            </w:r>
            <w:r w:rsidR="00C77F9E">
              <w:rPr>
                <w:rFonts w:eastAsiaTheme="minorEastAsia"/>
                <w:noProof/>
                <w:sz w:val="24"/>
              </w:rPr>
              <w:tab/>
            </w:r>
            <w:r w:rsidR="00C77F9E" w:rsidRPr="00EA445F">
              <w:rPr>
                <w:rStyle w:val="Hyperlink"/>
                <w:noProof/>
              </w:rPr>
              <w:t>Negative Points</w:t>
            </w:r>
            <w:r w:rsidR="00C77F9E">
              <w:rPr>
                <w:noProof/>
                <w:webHidden/>
              </w:rPr>
              <w:tab/>
            </w:r>
            <w:r w:rsidR="00C77F9E">
              <w:rPr>
                <w:noProof/>
                <w:webHidden/>
              </w:rPr>
              <w:fldChar w:fldCharType="begin"/>
            </w:r>
            <w:r w:rsidR="00C77F9E">
              <w:rPr>
                <w:noProof/>
                <w:webHidden/>
              </w:rPr>
              <w:instrText xml:space="preserve"> PAGEREF _Toc230012702 \h </w:instrText>
            </w:r>
            <w:r w:rsidR="00C77F9E">
              <w:rPr>
                <w:noProof/>
                <w:webHidden/>
              </w:rPr>
            </w:r>
            <w:r w:rsidR="00C77F9E">
              <w:rPr>
                <w:noProof/>
                <w:webHidden/>
              </w:rPr>
              <w:fldChar w:fldCharType="separate"/>
            </w:r>
            <w:r>
              <w:rPr>
                <w:noProof/>
                <w:webHidden/>
              </w:rPr>
              <w:t>60</w:t>
            </w:r>
            <w:r w:rsidR="00C77F9E">
              <w:rPr>
                <w:noProof/>
                <w:webHidden/>
              </w:rPr>
              <w:fldChar w:fldCharType="end"/>
            </w:r>
          </w:hyperlink>
        </w:p>
        <w:p w14:paraId="4B2D6E4F" w14:textId="4B55AA96" w:rsidR="00C77F9E" w:rsidRDefault="00FB3676">
          <w:pPr>
            <w:pStyle w:val="TOC1"/>
            <w:tabs>
              <w:tab w:val="right" w:leader="dot" w:pos="10790"/>
            </w:tabs>
            <w:rPr>
              <w:rFonts w:eastAsiaTheme="minorEastAsia"/>
              <w:noProof/>
              <w:sz w:val="24"/>
            </w:rPr>
          </w:pPr>
          <w:hyperlink w:anchor="_Toc230012703" w:history="1">
            <w:r w:rsidR="00C77F9E" w:rsidRPr="00EA445F">
              <w:rPr>
                <w:rStyle w:val="Hyperlink"/>
                <w:noProof/>
              </w:rPr>
              <w:t>Part IV — Sponsor Certification and Breakdown of Costs &amp; Basis</w:t>
            </w:r>
            <w:r w:rsidR="00C77F9E">
              <w:rPr>
                <w:noProof/>
                <w:webHidden/>
              </w:rPr>
              <w:tab/>
            </w:r>
            <w:r w:rsidR="00C77F9E">
              <w:rPr>
                <w:noProof/>
                <w:webHidden/>
              </w:rPr>
              <w:fldChar w:fldCharType="begin"/>
            </w:r>
            <w:r w:rsidR="00C77F9E">
              <w:rPr>
                <w:noProof/>
                <w:webHidden/>
              </w:rPr>
              <w:instrText xml:space="preserve"> PAGEREF _Toc230012703 \h </w:instrText>
            </w:r>
            <w:r w:rsidR="00C77F9E">
              <w:rPr>
                <w:noProof/>
                <w:webHidden/>
              </w:rPr>
            </w:r>
            <w:r w:rsidR="00C77F9E">
              <w:rPr>
                <w:noProof/>
                <w:webHidden/>
              </w:rPr>
              <w:fldChar w:fldCharType="separate"/>
            </w:r>
            <w:r>
              <w:rPr>
                <w:noProof/>
                <w:webHidden/>
              </w:rPr>
              <w:t>62</w:t>
            </w:r>
            <w:r w:rsidR="00C77F9E">
              <w:rPr>
                <w:noProof/>
                <w:webHidden/>
              </w:rPr>
              <w:fldChar w:fldCharType="end"/>
            </w:r>
          </w:hyperlink>
        </w:p>
        <w:p w14:paraId="28ED9B13" w14:textId="7028ACAD" w:rsidR="00C77F9E" w:rsidRDefault="00FB3676">
          <w:pPr>
            <w:pStyle w:val="TOC3"/>
            <w:rPr>
              <w:rFonts w:eastAsiaTheme="minorEastAsia"/>
              <w:noProof/>
              <w:sz w:val="24"/>
            </w:rPr>
          </w:pPr>
          <w:hyperlink w:anchor="_Toc230012704" w:history="1">
            <w:r w:rsidR="00C77F9E" w:rsidRPr="00EA445F">
              <w:rPr>
                <w:rStyle w:val="Hyperlink"/>
                <w:noProof/>
              </w:rPr>
              <w:t>1.</w:t>
            </w:r>
            <w:r w:rsidR="00C77F9E">
              <w:rPr>
                <w:rFonts w:eastAsiaTheme="minorEastAsia"/>
                <w:noProof/>
                <w:sz w:val="24"/>
              </w:rPr>
              <w:tab/>
            </w:r>
            <w:r w:rsidR="00C77F9E" w:rsidRPr="00EA445F">
              <w:rPr>
                <w:rStyle w:val="Hyperlink"/>
                <w:noProof/>
              </w:rPr>
              <w:t>Sponsor Certification</w:t>
            </w:r>
            <w:r w:rsidR="00C77F9E">
              <w:rPr>
                <w:noProof/>
                <w:webHidden/>
              </w:rPr>
              <w:tab/>
            </w:r>
            <w:r w:rsidR="00C77F9E">
              <w:rPr>
                <w:noProof/>
                <w:webHidden/>
              </w:rPr>
              <w:fldChar w:fldCharType="begin"/>
            </w:r>
            <w:r w:rsidR="00C77F9E">
              <w:rPr>
                <w:noProof/>
                <w:webHidden/>
              </w:rPr>
              <w:instrText xml:space="preserve"> PAGEREF _Toc230012704 \h </w:instrText>
            </w:r>
            <w:r w:rsidR="00C77F9E">
              <w:rPr>
                <w:noProof/>
                <w:webHidden/>
              </w:rPr>
            </w:r>
            <w:r w:rsidR="00C77F9E">
              <w:rPr>
                <w:noProof/>
                <w:webHidden/>
              </w:rPr>
              <w:fldChar w:fldCharType="separate"/>
            </w:r>
            <w:r>
              <w:rPr>
                <w:noProof/>
                <w:webHidden/>
              </w:rPr>
              <w:t>62</w:t>
            </w:r>
            <w:r w:rsidR="00C77F9E">
              <w:rPr>
                <w:noProof/>
                <w:webHidden/>
              </w:rPr>
              <w:fldChar w:fldCharType="end"/>
            </w:r>
          </w:hyperlink>
        </w:p>
        <w:p w14:paraId="3E630198" w14:textId="2AD8C30F" w:rsidR="00C77F9E" w:rsidRDefault="00FB3676">
          <w:pPr>
            <w:pStyle w:val="TOC3"/>
            <w:rPr>
              <w:rFonts w:eastAsiaTheme="minorEastAsia"/>
              <w:noProof/>
              <w:sz w:val="24"/>
            </w:rPr>
          </w:pPr>
          <w:hyperlink w:anchor="_Toc230012705" w:history="1">
            <w:r w:rsidR="00C77F9E" w:rsidRPr="00EA445F">
              <w:rPr>
                <w:rStyle w:val="Hyperlink"/>
                <w:noProof/>
              </w:rPr>
              <w:t>2.</w:t>
            </w:r>
            <w:r w:rsidR="00C77F9E">
              <w:rPr>
                <w:rFonts w:eastAsiaTheme="minorEastAsia"/>
                <w:noProof/>
                <w:sz w:val="24"/>
              </w:rPr>
              <w:tab/>
            </w:r>
            <w:r w:rsidR="00C77F9E" w:rsidRPr="00EA445F">
              <w:rPr>
                <w:rStyle w:val="Hyperlink"/>
                <w:noProof/>
              </w:rPr>
              <w:t>H.E.R.A. Basis Boost Request (if applicable, 9% ONLY)</w:t>
            </w:r>
            <w:r w:rsidR="00C77F9E">
              <w:rPr>
                <w:noProof/>
                <w:webHidden/>
              </w:rPr>
              <w:tab/>
            </w:r>
            <w:r w:rsidR="00C77F9E">
              <w:rPr>
                <w:noProof/>
                <w:webHidden/>
              </w:rPr>
              <w:fldChar w:fldCharType="begin"/>
            </w:r>
            <w:r w:rsidR="00C77F9E">
              <w:rPr>
                <w:noProof/>
                <w:webHidden/>
              </w:rPr>
              <w:instrText xml:space="preserve"> PAGEREF _Toc230012705 \h </w:instrText>
            </w:r>
            <w:r w:rsidR="00C77F9E">
              <w:rPr>
                <w:noProof/>
                <w:webHidden/>
              </w:rPr>
            </w:r>
            <w:r w:rsidR="00C77F9E">
              <w:rPr>
                <w:noProof/>
                <w:webHidden/>
              </w:rPr>
              <w:fldChar w:fldCharType="separate"/>
            </w:r>
            <w:r>
              <w:rPr>
                <w:noProof/>
                <w:webHidden/>
              </w:rPr>
              <w:t>66</w:t>
            </w:r>
            <w:r w:rsidR="00C77F9E">
              <w:rPr>
                <w:noProof/>
                <w:webHidden/>
              </w:rPr>
              <w:fldChar w:fldCharType="end"/>
            </w:r>
          </w:hyperlink>
        </w:p>
        <w:p w14:paraId="7740E7F3" w14:textId="54DCCACA" w:rsidR="00C77F9E" w:rsidRDefault="00FB3676">
          <w:pPr>
            <w:pStyle w:val="TOC3"/>
            <w:rPr>
              <w:rFonts w:eastAsiaTheme="minorEastAsia"/>
              <w:noProof/>
              <w:sz w:val="24"/>
            </w:rPr>
          </w:pPr>
          <w:hyperlink w:anchor="_Toc230012706" w:history="1">
            <w:r w:rsidR="00C77F9E" w:rsidRPr="00EA445F">
              <w:rPr>
                <w:rStyle w:val="Hyperlink"/>
                <w:noProof/>
              </w:rPr>
              <w:t>3.</w:t>
            </w:r>
            <w:r w:rsidR="00C77F9E">
              <w:rPr>
                <w:rFonts w:eastAsiaTheme="minorEastAsia"/>
                <w:noProof/>
                <w:sz w:val="24"/>
              </w:rPr>
              <w:tab/>
            </w:r>
            <w:r w:rsidR="00C77F9E" w:rsidRPr="00EA445F">
              <w:rPr>
                <w:rStyle w:val="Hyperlink"/>
                <w:noProof/>
              </w:rPr>
              <w:t>Breakdown of Costs and Basis</w:t>
            </w:r>
            <w:r w:rsidR="00C77F9E">
              <w:rPr>
                <w:noProof/>
                <w:webHidden/>
              </w:rPr>
              <w:tab/>
            </w:r>
            <w:r w:rsidR="00C77F9E">
              <w:rPr>
                <w:noProof/>
                <w:webHidden/>
              </w:rPr>
              <w:fldChar w:fldCharType="begin"/>
            </w:r>
            <w:r w:rsidR="00C77F9E">
              <w:rPr>
                <w:noProof/>
                <w:webHidden/>
              </w:rPr>
              <w:instrText xml:space="preserve"> PAGEREF _Toc230012706 \h </w:instrText>
            </w:r>
            <w:r w:rsidR="00C77F9E">
              <w:rPr>
                <w:noProof/>
                <w:webHidden/>
              </w:rPr>
            </w:r>
            <w:r w:rsidR="00C77F9E">
              <w:rPr>
                <w:noProof/>
                <w:webHidden/>
              </w:rPr>
              <w:fldChar w:fldCharType="separate"/>
            </w:r>
            <w:r>
              <w:rPr>
                <w:noProof/>
                <w:webHidden/>
              </w:rPr>
              <w:t>66</w:t>
            </w:r>
            <w:r w:rsidR="00C77F9E">
              <w:rPr>
                <w:noProof/>
                <w:webHidden/>
              </w:rPr>
              <w:fldChar w:fldCharType="end"/>
            </w:r>
          </w:hyperlink>
        </w:p>
        <w:p w14:paraId="100F5D47" w14:textId="399C9075" w:rsidR="00C77F9E" w:rsidRDefault="00FB3676">
          <w:pPr>
            <w:pStyle w:val="TOC3"/>
            <w:rPr>
              <w:rFonts w:eastAsiaTheme="minorEastAsia"/>
              <w:noProof/>
              <w:sz w:val="24"/>
            </w:rPr>
          </w:pPr>
          <w:hyperlink w:anchor="_Toc230012707" w:history="1">
            <w:r w:rsidR="00C77F9E" w:rsidRPr="00EA445F">
              <w:rPr>
                <w:rStyle w:val="Hyperlink"/>
                <w:noProof/>
              </w:rPr>
              <w:t>4.</w:t>
            </w:r>
            <w:r w:rsidR="00C77F9E">
              <w:rPr>
                <w:rFonts w:eastAsiaTheme="minorEastAsia"/>
                <w:noProof/>
                <w:sz w:val="24"/>
              </w:rPr>
              <w:tab/>
            </w:r>
            <w:r w:rsidR="00C77F9E" w:rsidRPr="00EA445F">
              <w:rPr>
                <w:rStyle w:val="Hyperlink"/>
                <w:noProof/>
              </w:rPr>
              <w:t>Eligible Basis Limits Worksheet</w:t>
            </w:r>
            <w:r w:rsidR="00C77F9E">
              <w:rPr>
                <w:noProof/>
                <w:webHidden/>
              </w:rPr>
              <w:tab/>
            </w:r>
            <w:r w:rsidR="00C77F9E">
              <w:rPr>
                <w:noProof/>
                <w:webHidden/>
              </w:rPr>
              <w:fldChar w:fldCharType="begin"/>
            </w:r>
            <w:r w:rsidR="00C77F9E">
              <w:rPr>
                <w:noProof/>
                <w:webHidden/>
              </w:rPr>
              <w:instrText xml:space="preserve"> PAGEREF _Toc230012707 \h </w:instrText>
            </w:r>
            <w:r w:rsidR="00C77F9E">
              <w:rPr>
                <w:noProof/>
                <w:webHidden/>
              </w:rPr>
            </w:r>
            <w:r w:rsidR="00C77F9E">
              <w:rPr>
                <w:noProof/>
                <w:webHidden/>
              </w:rPr>
              <w:fldChar w:fldCharType="separate"/>
            </w:r>
            <w:r>
              <w:rPr>
                <w:noProof/>
                <w:webHidden/>
              </w:rPr>
              <w:t>66</w:t>
            </w:r>
            <w:r w:rsidR="00C77F9E">
              <w:rPr>
                <w:noProof/>
                <w:webHidden/>
              </w:rPr>
              <w:fldChar w:fldCharType="end"/>
            </w:r>
          </w:hyperlink>
        </w:p>
        <w:p w14:paraId="387A13FB" w14:textId="377CE7B5" w:rsidR="00C77F9E" w:rsidRDefault="00FB3676">
          <w:pPr>
            <w:pStyle w:val="TOC3"/>
            <w:rPr>
              <w:rFonts w:eastAsiaTheme="minorEastAsia"/>
              <w:noProof/>
              <w:sz w:val="24"/>
            </w:rPr>
          </w:pPr>
          <w:hyperlink w:anchor="_Toc230012708" w:history="1">
            <w:r w:rsidR="00C77F9E" w:rsidRPr="00EA445F">
              <w:rPr>
                <w:rStyle w:val="Hyperlink"/>
                <w:noProof/>
              </w:rPr>
              <w:t>5.</w:t>
            </w:r>
            <w:r w:rsidR="00C77F9E">
              <w:rPr>
                <w:rFonts w:eastAsiaTheme="minorEastAsia"/>
                <w:noProof/>
                <w:sz w:val="24"/>
              </w:rPr>
              <w:tab/>
            </w:r>
            <w:r w:rsidR="00C77F9E" w:rsidRPr="00EA445F">
              <w:rPr>
                <w:rStyle w:val="Hyperlink"/>
                <w:noProof/>
              </w:rPr>
              <w:t>Tiebreakers</w:t>
            </w:r>
            <w:r w:rsidR="00C77F9E">
              <w:rPr>
                <w:noProof/>
                <w:webHidden/>
              </w:rPr>
              <w:tab/>
            </w:r>
            <w:r w:rsidR="00C77F9E">
              <w:rPr>
                <w:noProof/>
                <w:webHidden/>
              </w:rPr>
              <w:fldChar w:fldCharType="begin"/>
            </w:r>
            <w:r w:rsidR="00C77F9E">
              <w:rPr>
                <w:noProof/>
                <w:webHidden/>
              </w:rPr>
              <w:instrText xml:space="preserve"> PAGEREF _Toc230012708 \h </w:instrText>
            </w:r>
            <w:r w:rsidR="00C77F9E">
              <w:rPr>
                <w:noProof/>
                <w:webHidden/>
              </w:rPr>
            </w:r>
            <w:r w:rsidR="00C77F9E">
              <w:rPr>
                <w:noProof/>
                <w:webHidden/>
              </w:rPr>
              <w:fldChar w:fldCharType="separate"/>
            </w:r>
            <w:r>
              <w:rPr>
                <w:noProof/>
                <w:webHidden/>
              </w:rPr>
              <w:t>66</w:t>
            </w:r>
            <w:r w:rsidR="00C77F9E">
              <w:rPr>
                <w:noProof/>
                <w:webHidden/>
              </w:rPr>
              <w:fldChar w:fldCharType="end"/>
            </w:r>
          </w:hyperlink>
        </w:p>
        <w:p w14:paraId="3E5D5DF3" w14:textId="04337B53" w:rsidR="00C77F9E" w:rsidRDefault="00FB3676">
          <w:pPr>
            <w:pStyle w:val="TOC3"/>
            <w:rPr>
              <w:rFonts w:eastAsiaTheme="minorEastAsia"/>
              <w:noProof/>
              <w:sz w:val="24"/>
            </w:rPr>
          </w:pPr>
          <w:hyperlink w:anchor="_Toc230012709" w:history="1">
            <w:r w:rsidR="00C77F9E" w:rsidRPr="00EA445F">
              <w:rPr>
                <w:rStyle w:val="Hyperlink"/>
                <w:noProof/>
              </w:rPr>
              <w:t>6.</w:t>
            </w:r>
            <w:r w:rsidR="00C77F9E">
              <w:rPr>
                <w:rFonts w:eastAsiaTheme="minorEastAsia"/>
                <w:noProof/>
                <w:sz w:val="24"/>
              </w:rPr>
              <w:tab/>
            </w:r>
            <w:r w:rsidR="00C77F9E" w:rsidRPr="00EA445F">
              <w:rPr>
                <w:rStyle w:val="Hyperlink"/>
                <w:noProof/>
              </w:rPr>
              <w:t>Limits and Percentages</w:t>
            </w:r>
            <w:r w:rsidR="00C77F9E">
              <w:rPr>
                <w:noProof/>
                <w:webHidden/>
              </w:rPr>
              <w:tab/>
            </w:r>
            <w:r w:rsidR="00C77F9E">
              <w:rPr>
                <w:noProof/>
                <w:webHidden/>
              </w:rPr>
              <w:fldChar w:fldCharType="begin"/>
            </w:r>
            <w:r w:rsidR="00C77F9E">
              <w:rPr>
                <w:noProof/>
                <w:webHidden/>
              </w:rPr>
              <w:instrText xml:space="preserve"> PAGEREF _Toc230012709 \h </w:instrText>
            </w:r>
            <w:r w:rsidR="00C77F9E">
              <w:rPr>
                <w:noProof/>
                <w:webHidden/>
              </w:rPr>
            </w:r>
            <w:r w:rsidR="00C77F9E">
              <w:rPr>
                <w:noProof/>
                <w:webHidden/>
              </w:rPr>
              <w:fldChar w:fldCharType="separate"/>
            </w:r>
            <w:r>
              <w:rPr>
                <w:noProof/>
                <w:webHidden/>
              </w:rPr>
              <w:t>66</w:t>
            </w:r>
            <w:r w:rsidR="00C77F9E">
              <w:rPr>
                <w:noProof/>
                <w:webHidden/>
              </w:rPr>
              <w:fldChar w:fldCharType="end"/>
            </w:r>
          </w:hyperlink>
        </w:p>
        <w:p w14:paraId="1EE9FDFC" w14:textId="3F20F9C7" w:rsidR="00C77F9E" w:rsidRDefault="00FB3676">
          <w:pPr>
            <w:pStyle w:val="TOC3"/>
            <w:rPr>
              <w:rFonts w:eastAsiaTheme="minorEastAsia"/>
              <w:noProof/>
              <w:sz w:val="24"/>
            </w:rPr>
          </w:pPr>
          <w:hyperlink w:anchor="_Toc230012710" w:history="1">
            <w:r w:rsidR="00C77F9E" w:rsidRPr="00EA445F">
              <w:rPr>
                <w:rStyle w:val="Hyperlink"/>
                <w:noProof/>
              </w:rPr>
              <w:t>7.</w:t>
            </w:r>
            <w:r w:rsidR="00C77F9E">
              <w:rPr>
                <w:rFonts w:eastAsiaTheme="minorEastAsia"/>
                <w:noProof/>
                <w:sz w:val="24"/>
              </w:rPr>
              <w:tab/>
            </w:r>
            <w:r w:rsidR="00C77F9E" w:rsidRPr="00EA445F">
              <w:rPr>
                <w:rStyle w:val="Hyperlink"/>
                <w:noProof/>
              </w:rPr>
              <w:t>15-Year Operating Pro Forma</w:t>
            </w:r>
            <w:r w:rsidR="00C77F9E">
              <w:rPr>
                <w:noProof/>
                <w:webHidden/>
              </w:rPr>
              <w:tab/>
            </w:r>
            <w:r w:rsidR="00C77F9E">
              <w:rPr>
                <w:noProof/>
                <w:webHidden/>
              </w:rPr>
              <w:fldChar w:fldCharType="begin"/>
            </w:r>
            <w:r w:rsidR="00C77F9E">
              <w:rPr>
                <w:noProof/>
                <w:webHidden/>
              </w:rPr>
              <w:instrText xml:space="preserve"> PAGEREF _Toc230012710 \h </w:instrText>
            </w:r>
            <w:r w:rsidR="00C77F9E">
              <w:rPr>
                <w:noProof/>
                <w:webHidden/>
              </w:rPr>
            </w:r>
            <w:r w:rsidR="00C77F9E">
              <w:rPr>
                <w:noProof/>
                <w:webHidden/>
              </w:rPr>
              <w:fldChar w:fldCharType="separate"/>
            </w:r>
            <w:r>
              <w:rPr>
                <w:noProof/>
                <w:webHidden/>
              </w:rPr>
              <w:t>66</w:t>
            </w:r>
            <w:r w:rsidR="00C77F9E">
              <w:rPr>
                <w:noProof/>
                <w:webHidden/>
              </w:rPr>
              <w:fldChar w:fldCharType="end"/>
            </w:r>
          </w:hyperlink>
        </w:p>
        <w:p w14:paraId="11C163B2" w14:textId="7C74624F" w:rsidR="00C77F9E" w:rsidRDefault="00FB3676">
          <w:pPr>
            <w:pStyle w:val="TOC3"/>
            <w:rPr>
              <w:rFonts w:eastAsiaTheme="minorEastAsia"/>
              <w:noProof/>
              <w:sz w:val="24"/>
            </w:rPr>
          </w:pPr>
          <w:hyperlink w:anchor="_Toc230012711" w:history="1">
            <w:r w:rsidR="00C77F9E" w:rsidRPr="00EA445F">
              <w:rPr>
                <w:rStyle w:val="Hyperlink"/>
                <w:noProof/>
              </w:rPr>
              <w:t>8.</w:t>
            </w:r>
            <w:r w:rsidR="00C77F9E">
              <w:rPr>
                <w:rFonts w:eastAsiaTheme="minorEastAsia"/>
                <w:noProof/>
                <w:sz w:val="24"/>
              </w:rPr>
              <w:tab/>
            </w:r>
            <w:r w:rsidR="00C77F9E" w:rsidRPr="00EA445F">
              <w:rPr>
                <w:rStyle w:val="Hyperlink"/>
                <w:noProof/>
              </w:rPr>
              <w:t>Signature Page for Breakdown and Pro Forma</w:t>
            </w:r>
            <w:r w:rsidR="00C77F9E">
              <w:rPr>
                <w:noProof/>
                <w:webHidden/>
              </w:rPr>
              <w:tab/>
            </w:r>
            <w:r w:rsidR="00C77F9E">
              <w:rPr>
                <w:noProof/>
                <w:webHidden/>
              </w:rPr>
              <w:fldChar w:fldCharType="begin"/>
            </w:r>
            <w:r w:rsidR="00C77F9E">
              <w:rPr>
                <w:noProof/>
                <w:webHidden/>
              </w:rPr>
              <w:instrText xml:space="preserve"> PAGEREF _Toc230012711 \h </w:instrText>
            </w:r>
            <w:r w:rsidR="00C77F9E">
              <w:rPr>
                <w:noProof/>
                <w:webHidden/>
              </w:rPr>
            </w:r>
            <w:r w:rsidR="00C77F9E">
              <w:rPr>
                <w:noProof/>
                <w:webHidden/>
              </w:rPr>
              <w:fldChar w:fldCharType="separate"/>
            </w:r>
            <w:r>
              <w:rPr>
                <w:noProof/>
                <w:webHidden/>
              </w:rPr>
              <w:t>66</w:t>
            </w:r>
            <w:r w:rsidR="00C77F9E">
              <w:rPr>
                <w:noProof/>
                <w:webHidden/>
              </w:rPr>
              <w:fldChar w:fldCharType="end"/>
            </w:r>
          </w:hyperlink>
        </w:p>
        <w:p w14:paraId="6E6BCA7E" w14:textId="237E852B" w:rsidR="00C92DBA" w:rsidRDefault="00C92DBA">
          <w:r>
            <w:rPr>
              <w:b/>
              <w:bCs/>
              <w:noProof/>
            </w:rPr>
            <w:fldChar w:fldCharType="end"/>
          </w:r>
        </w:p>
      </w:sdtContent>
    </w:sdt>
    <w:p w14:paraId="12402233" w14:textId="77777777" w:rsidR="00B22112" w:rsidRDefault="00B22112" w:rsidP="00B22112"/>
    <w:p w14:paraId="0334B3AF" w14:textId="6B3C0904" w:rsidR="00B22112" w:rsidRDefault="00B22112" w:rsidP="00B22112">
      <w:pPr>
        <w:pStyle w:val="Heading1"/>
      </w:pPr>
      <w:bookmarkStart w:id="0" w:name="_Toc230012648"/>
      <w:r>
        <w:lastRenderedPageBreak/>
        <w:t>Instructions</w:t>
      </w:r>
      <w:bookmarkEnd w:id="0"/>
    </w:p>
    <w:p w14:paraId="1F89109C" w14:textId="36A4EEB5" w:rsidR="008E241A" w:rsidRPr="00FF77F0" w:rsidRDefault="008E241A" w:rsidP="00041117">
      <w:pPr>
        <w:rPr>
          <w:b/>
          <w:bCs/>
          <w:u w:val="single"/>
        </w:rPr>
      </w:pPr>
      <w:r w:rsidRPr="00FF77F0">
        <w:rPr>
          <w:b/>
          <w:bCs/>
          <w:u w:val="single"/>
        </w:rPr>
        <w:t>NOTE: The Low-Income Housing Tax Credit Application is offered as a reference tool for applicants. It is not a governing document like Section 42 of the Internal Revenue Code or New Jersey’s Qualified Allocation Plan (QAP), N.J.A.C. 5:80-33.1 to -33.</w:t>
      </w:r>
      <w:r w:rsidR="00041117" w:rsidRPr="00FF77F0">
        <w:rPr>
          <w:b/>
          <w:bCs/>
          <w:u w:val="single"/>
        </w:rPr>
        <w:t>40</w:t>
      </w:r>
      <w:r w:rsidRPr="00FF77F0">
        <w:rPr>
          <w:b/>
          <w:bCs/>
          <w:u w:val="single"/>
        </w:rPr>
        <w:t>.</w:t>
      </w:r>
      <w:r w:rsidR="00041117" w:rsidRPr="00FF77F0">
        <w:rPr>
          <w:b/>
          <w:bCs/>
          <w:u w:val="single"/>
        </w:rPr>
        <w:t xml:space="preserve"> </w:t>
      </w:r>
      <w:r w:rsidR="005667D7" w:rsidRPr="00FF77F0">
        <w:rPr>
          <w:b/>
          <w:bCs/>
          <w:u w:val="single"/>
        </w:rPr>
        <w:t>For any discrepancies</w:t>
      </w:r>
      <w:r w:rsidR="00041117" w:rsidRPr="00FF77F0">
        <w:rPr>
          <w:b/>
          <w:bCs/>
          <w:u w:val="single"/>
        </w:rPr>
        <w:t xml:space="preserve"> between th</w:t>
      </w:r>
      <w:r w:rsidR="005667D7" w:rsidRPr="00FF77F0">
        <w:rPr>
          <w:b/>
          <w:bCs/>
          <w:u w:val="single"/>
        </w:rPr>
        <w:t xml:space="preserve">e application </w:t>
      </w:r>
      <w:r w:rsidR="00041117" w:rsidRPr="00FF77F0">
        <w:rPr>
          <w:b/>
          <w:bCs/>
          <w:u w:val="single"/>
        </w:rPr>
        <w:t xml:space="preserve">and the QAP, the QAP takes precedence. It is the applicant’s responsibility to ensure that the submitted application satisfies the requirements of IRC § 42, the QAP, and other applicable </w:t>
      </w:r>
      <w:r w:rsidR="005667D7" w:rsidRPr="00FF77F0">
        <w:rPr>
          <w:b/>
          <w:bCs/>
          <w:u w:val="single"/>
        </w:rPr>
        <w:t xml:space="preserve">governing </w:t>
      </w:r>
      <w:r w:rsidR="00041117" w:rsidRPr="00FF77F0">
        <w:rPr>
          <w:b/>
          <w:bCs/>
          <w:u w:val="single"/>
        </w:rPr>
        <w:t>statutes and regulations. NJHMFA makes no claim, promise, guarantee, or representation as to the suitability, reliability, appropriateness, or accuracy of the information contained in this document.</w:t>
      </w:r>
    </w:p>
    <w:p w14:paraId="5E85C1F9" w14:textId="7828EE1B" w:rsidR="00B22112" w:rsidRDefault="00AD1BF4" w:rsidP="009647BF">
      <w:pPr>
        <w:pStyle w:val="ListParagraph"/>
        <w:numPr>
          <w:ilvl w:val="0"/>
          <w:numId w:val="6"/>
        </w:numPr>
      </w:pPr>
      <w:r>
        <w:t xml:space="preserve">Submit one paper copy and one electronic copy of your application through </w:t>
      </w:r>
      <w:r w:rsidR="00CE1E74">
        <w:t xml:space="preserve">the </w:t>
      </w:r>
      <w:r w:rsidR="00C25CE8">
        <w:t xml:space="preserve">Tax Credit feature of the </w:t>
      </w:r>
      <w:r w:rsidR="00CE1E74">
        <w:t>Agency’s Multifamily and Supportive Housing Lending Portal</w:t>
      </w:r>
      <w:r>
        <w:t xml:space="preserve"> by the deadline. </w:t>
      </w:r>
      <w:r w:rsidR="00CE1E74">
        <w:t xml:space="preserve">The Portal </w:t>
      </w:r>
      <w:r>
        <w:t>can be accessed here:</w:t>
      </w:r>
      <w:r w:rsidR="00CE1E74">
        <w:br/>
      </w:r>
      <w:hyperlink r:id="rId8" w:history="1">
        <w:r w:rsidR="00CE1E74" w:rsidRPr="00CF47A8">
          <w:rPr>
            <w:rStyle w:val="Hyperlink"/>
          </w:rPr>
          <w:t>https://www.nj.gov/dca/hmfa/developers/multifamily/lendingportal/</w:t>
        </w:r>
      </w:hyperlink>
      <w:r>
        <w:t>.</w:t>
      </w:r>
      <w:r w:rsidR="00B773EA">
        <w:br/>
      </w:r>
      <w:r w:rsidR="00B773EA">
        <w:br/>
      </w:r>
      <w:r w:rsidR="00B773EA" w:rsidRPr="00FF77F0">
        <w:t xml:space="preserve">NOTE: </w:t>
      </w:r>
      <w:r w:rsidR="004D27A1" w:rsidRPr="00FF77F0">
        <w:t xml:space="preserve">Please </w:t>
      </w:r>
      <w:r w:rsidR="00CF47A8" w:rsidRPr="00FF77F0">
        <w:t xml:space="preserve">subscribe to the Agency’s Developer Bulletins to be informed </w:t>
      </w:r>
      <w:r w:rsidR="00CE1E74" w:rsidRPr="00FF77F0">
        <w:t xml:space="preserve">of when the </w:t>
      </w:r>
      <w:r w:rsidR="0016605D">
        <w:t>Tax Credit</w:t>
      </w:r>
      <w:r w:rsidR="00CE1E74" w:rsidRPr="00FF77F0">
        <w:t xml:space="preserve"> </w:t>
      </w:r>
      <w:r w:rsidR="0016605D">
        <w:t>feature</w:t>
      </w:r>
      <w:r w:rsidR="00CE1E74" w:rsidRPr="00FF77F0">
        <w:t xml:space="preserve"> goes live:</w:t>
      </w:r>
      <w:r w:rsidR="00CE1E74">
        <w:t xml:space="preserve"> </w:t>
      </w:r>
      <w:hyperlink r:id="rId9" w:history="1">
        <w:r w:rsidR="00D62EBE" w:rsidRPr="00B97B25">
          <w:rPr>
            <w:rStyle w:val="Hyperlink"/>
          </w:rPr>
          <w:t>https://visitor.constantcontact.com/d.jsp?m=haw7gqcab&amp;p=oi</w:t>
        </w:r>
      </w:hyperlink>
    </w:p>
    <w:p w14:paraId="3E0C47E8" w14:textId="48057661" w:rsidR="00AD1BF4" w:rsidRDefault="00AD1BF4" w:rsidP="009647BF">
      <w:pPr>
        <w:pStyle w:val="ListParagraph"/>
        <w:numPr>
          <w:ilvl w:val="0"/>
          <w:numId w:val="6"/>
        </w:numPr>
      </w:pPr>
      <w:r>
        <w:t xml:space="preserve">Submit both copies of the application to </w:t>
      </w:r>
      <w:r w:rsidR="001600F3">
        <w:t>NJ</w:t>
      </w:r>
      <w:r>
        <w:t>HMFA no later than noon on the following dates:</w:t>
      </w:r>
    </w:p>
    <w:p w14:paraId="7F03FEF4" w14:textId="55438049" w:rsidR="00AD1BF4" w:rsidRDefault="00AD1BF4" w:rsidP="009647BF">
      <w:pPr>
        <w:pStyle w:val="ListParagraph"/>
        <w:numPr>
          <w:ilvl w:val="1"/>
          <w:numId w:val="6"/>
        </w:numPr>
      </w:pPr>
      <w:r>
        <w:t>S</w:t>
      </w:r>
      <w:r w:rsidR="00C25CE8">
        <w:t>ummer</w:t>
      </w:r>
      <w:r>
        <w:t xml:space="preserve"> 2026 Round:</w:t>
      </w:r>
      <w:r>
        <w:tab/>
      </w:r>
      <w:r w:rsidRPr="005125BF">
        <w:rPr>
          <w:b/>
          <w:bCs/>
        </w:rPr>
        <w:t>July 1, 2026</w:t>
      </w:r>
    </w:p>
    <w:p w14:paraId="0C5AFDA0" w14:textId="6EA306CE" w:rsidR="00AD1BF4" w:rsidRDefault="00AD1BF4" w:rsidP="009647BF">
      <w:pPr>
        <w:pStyle w:val="ListParagraph"/>
        <w:numPr>
          <w:ilvl w:val="1"/>
          <w:numId w:val="6"/>
        </w:numPr>
      </w:pPr>
      <w:r>
        <w:t>Hardship Reserve:</w:t>
      </w:r>
      <w:r>
        <w:tab/>
      </w:r>
      <w:r w:rsidRPr="005125BF">
        <w:rPr>
          <w:b/>
          <w:bCs/>
        </w:rPr>
        <w:t>September 30, 2026</w:t>
      </w:r>
    </w:p>
    <w:p w14:paraId="44E5392A" w14:textId="45BB54BE" w:rsidR="0007635C" w:rsidRDefault="0007635C" w:rsidP="00FD28BF">
      <w:pPr>
        <w:pStyle w:val="ListParagraph"/>
      </w:pPr>
      <w:r>
        <w:t xml:space="preserve">It is anticipated that awards for the </w:t>
      </w:r>
      <w:r w:rsidR="003356B2">
        <w:t xml:space="preserve">Summer </w:t>
      </w:r>
      <w:r>
        <w:t>2026 Round will be announced in November</w:t>
      </w:r>
      <w:r w:rsidR="003356B2">
        <w:t>/December</w:t>
      </w:r>
      <w:r>
        <w:t xml:space="preserve"> 2026.</w:t>
      </w:r>
    </w:p>
    <w:p w14:paraId="10BC23E3" w14:textId="002F82F0" w:rsidR="00AD1BF4" w:rsidRDefault="00AD1BF4" w:rsidP="009647BF">
      <w:pPr>
        <w:pStyle w:val="ListParagraph"/>
        <w:numPr>
          <w:ilvl w:val="0"/>
          <w:numId w:val="6"/>
        </w:numPr>
      </w:pPr>
      <w:r w:rsidRPr="00AD1BF4">
        <w:t xml:space="preserve">Organize the application in the same order as the preceding Table of Contents. </w:t>
      </w:r>
      <w:r w:rsidR="00BF0683" w:rsidRPr="00BF0683">
        <w:t xml:space="preserve">The eligibility requirements and point sections are organized as they appear in the </w:t>
      </w:r>
      <w:r w:rsidR="00BF0683">
        <w:t>QAP,</w:t>
      </w:r>
      <w:r w:rsidR="00BF0683" w:rsidRPr="00BF0683">
        <w:t xml:space="preserve"> for your ease in referencing the QAP as you complete the application.</w:t>
      </w:r>
      <w:r w:rsidR="00BF0683">
        <w:t xml:space="preserve"> </w:t>
      </w:r>
      <w:r w:rsidRPr="00AD1BF4">
        <w:t xml:space="preserve">If an item within a section is not applicable to your project, indicate </w:t>
      </w:r>
      <w:r>
        <w:t>“</w:t>
      </w:r>
      <w:r w:rsidRPr="00AD1BF4">
        <w:t>not applicable.</w:t>
      </w:r>
      <w:r>
        <w:t>”</w:t>
      </w:r>
      <w:r w:rsidRPr="00AD1BF4">
        <w:t xml:space="preserve"> Do not insert informational pages such as the Notes to the Breakdown of Costs and Basis or lists of QCTs and DDAs.</w:t>
      </w:r>
      <w:r w:rsidR="0007635C">
        <w:br/>
      </w:r>
      <w:r w:rsidR="0007635C">
        <w:br/>
        <w:t>2026 QAP:</w:t>
      </w:r>
      <w:r w:rsidR="0007635C">
        <w:tab/>
      </w:r>
      <w:hyperlink r:id="rId10" w:history="1">
        <w:r w:rsidR="0007635C" w:rsidRPr="00053AAA">
          <w:rPr>
            <w:rStyle w:val="Hyperlink"/>
          </w:rPr>
          <w:t>https://www.nj.gov/dca/hmfa/developers/docs/lihtc/qap/tc_qap_download.pdf</w:t>
        </w:r>
      </w:hyperlink>
    </w:p>
    <w:p w14:paraId="73EE238A" w14:textId="58691E7D" w:rsidR="00AD1BF4" w:rsidRDefault="00AD1BF4" w:rsidP="009647BF">
      <w:pPr>
        <w:pStyle w:val="ListParagraph"/>
        <w:numPr>
          <w:ilvl w:val="0"/>
          <w:numId w:val="6"/>
        </w:numPr>
      </w:pPr>
      <w:r w:rsidRPr="00AD1BF4">
        <w:t xml:space="preserve">For both the hard copy and electronic version, separate </w:t>
      </w:r>
      <w:r w:rsidR="001600F3">
        <w:t>the</w:t>
      </w:r>
      <w:r w:rsidRPr="00AD1BF4">
        <w:t xml:space="preserve"> application into 4 distinct files/folders and label accordingly (Part I, Part II, Part III and Part IV)</w:t>
      </w:r>
      <w:r>
        <w:t>.</w:t>
      </w:r>
      <w:r w:rsidR="001600F3">
        <w:t xml:space="preserve"> You are encouraged to subdivide each Part according to the preceding Table of Contents.</w:t>
      </w:r>
    </w:p>
    <w:p w14:paraId="2FCBD0A7" w14:textId="5FFEC7F4" w:rsidR="00AD1BF4" w:rsidRDefault="00AD1BF4" w:rsidP="009647BF">
      <w:pPr>
        <w:pStyle w:val="ListParagraph"/>
        <w:numPr>
          <w:ilvl w:val="0"/>
          <w:numId w:val="6"/>
        </w:numPr>
      </w:pPr>
      <w:r w:rsidRPr="00AD1BF4">
        <w:t xml:space="preserve">Comply with the instructions </w:t>
      </w:r>
      <w:r w:rsidR="001600F3">
        <w:t>for</w:t>
      </w:r>
      <w:r w:rsidRPr="00AD1BF4">
        <w:t xml:space="preserve"> each Part of the application completely, remembering to insert all requested documentation. The application should be clear, unambiguous</w:t>
      </w:r>
      <w:r w:rsidR="001600F3">
        <w:t>,</w:t>
      </w:r>
      <w:r w:rsidRPr="00AD1BF4">
        <w:t xml:space="preserve"> and complete in all respects at time of submission. Late and substantially incomplete applications </w:t>
      </w:r>
      <w:r w:rsidR="001600F3">
        <w:t>wi</w:t>
      </w:r>
      <w:r w:rsidRPr="00AD1BF4">
        <w:t xml:space="preserve">ll not be admitted into a cycle and late applications will be returned to the applicant. NJHMFA </w:t>
      </w:r>
      <w:r w:rsidR="001600F3">
        <w:t>reserves</w:t>
      </w:r>
      <w:r w:rsidRPr="00AD1BF4">
        <w:t xml:space="preserve"> the authority to impose penalties and/or rescind a reservation or an allocation if any representations made in the application are mistakenly or intentionally misrepresented or not fulfilled.</w:t>
      </w:r>
    </w:p>
    <w:p w14:paraId="004AC2C3" w14:textId="109F1460" w:rsidR="001600F3" w:rsidRDefault="001600F3" w:rsidP="009647BF">
      <w:pPr>
        <w:pStyle w:val="ListParagraph"/>
        <w:numPr>
          <w:ilvl w:val="0"/>
          <w:numId w:val="6"/>
        </w:numPr>
      </w:pPr>
      <w:r>
        <w:t>Projects financed by tax-exempt bonds that request tax credits pursuant to I.R.C. § 42(h)(4)</w:t>
      </w:r>
      <w:r w:rsidR="001D4D13">
        <w:t>, and do not request ceiling (competitive) credits,</w:t>
      </w:r>
      <w:r>
        <w:t xml:space="preserve"> need submit only the following information for the application to be deemed complete:</w:t>
      </w:r>
    </w:p>
    <w:p w14:paraId="652EB3F9" w14:textId="24BEA787" w:rsidR="001600F3" w:rsidRDefault="001600F3" w:rsidP="009647BF">
      <w:pPr>
        <w:pStyle w:val="ListParagraph"/>
        <w:numPr>
          <w:ilvl w:val="1"/>
          <w:numId w:val="6"/>
        </w:numPr>
      </w:pPr>
      <w:r>
        <w:t>Part I — Project Information Summary</w:t>
      </w:r>
      <w:r w:rsidR="001D4D13">
        <w:t>.</w:t>
      </w:r>
    </w:p>
    <w:p w14:paraId="2D04EBD6" w14:textId="2F4FDFD2" w:rsidR="001600F3" w:rsidRDefault="001D4D13" w:rsidP="009647BF">
      <w:pPr>
        <w:pStyle w:val="ListParagraph"/>
        <w:numPr>
          <w:ilvl w:val="1"/>
          <w:numId w:val="6"/>
        </w:numPr>
      </w:pPr>
      <w:r>
        <w:t xml:space="preserve">From </w:t>
      </w:r>
      <w:r w:rsidR="001600F3">
        <w:t xml:space="preserve">Part </w:t>
      </w:r>
      <w:r w:rsidR="005125BF">
        <w:t>II</w:t>
      </w:r>
      <w:r>
        <w:t xml:space="preserve"> — Eligibility Requirements, all applicable sections. A copy of the appraisal/market study required by your lender and/or syndicator may be submitted in lieu of the market study required at N.J.A.C. 5:80-33.12(c)1ii.</w:t>
      </w:r>
    </w:p>
    <w:p w14:paraId="208E5FA1" w14:textId="6E5E3F03" w:rsidR="001D4D13" w:rsidRDefault="001D4D13" w:rsidP="009647BF">
      <w:pPr>
        <w:pStyle w:val="ListParagraph"/>
        <w:numPr>
          <w:ilvl w:val="1"/>
          <w:numId w:val="6"/>
        </w:numPr>
      </w:pPr>
      <w:r>
        <w:t xml:space="preserve">From Part </w:t>
      </w:r>
      <w:r w:rsidR="005125BF">
        <w:t>III</w:t>
      </w:r>
      <w:r>
        <w:t xml:space="preserve"> — Point System and Set-Asides, only:</w:t>
      </w:r>
    </w:p>
    <w:p w14:paraId="6152E275" w14:textId="2E18CB92" w:rsidR="001D4D13" w:rsidRDefault="001D4D13" w:rsidP="009647BF">
      <w:pPr>
        <w:pStyle w:val="ListParagraph"/>
        <w:numPr>
          <w:ilvl w:val="2"/>
          <w:numId w:val="6"/>
        </w:numPr>
      </w:pPr>
      <w:r>
        <w:lastRenderedPageBreak/>
        <w:t>Section C.1 — Compliance Period/Tenant Ownership, with</w:t>
      </w:r>
      <w:r w:rsidRPr="001D4D13">
        <w:t xml:space="preserve"> a period of restriction meeting the criteria corresponding with the maximum points stipulated at N.J.A.C. 5:80-33.15(a)1i</w:t>
      </w:r>
      <w:r w:rsidR="001E22A6">
        <w:t xml:space="preserve"> and (if applicable) Conversion to Tenant Ownership</w:t>
      </w:r>
    </w:p>
    <w:p w14:paraId="5434070F" w14:textId="4D54EBBC" w:rsidR="001D4D13" w:rsidRDefault="001D4D13" w:rsidP="009647BF">
      <w:pPr>
        <w:pStyle w:val="ListParagraph"/>
        <w:numPr>
          <w:ilvl w:val="2"/>
          <w:numId w:val="6"/>
        </w:numPr>
      </w:pPr>
      <w:r>
        <w:t>Section C.4 — Municipal Support (if applicable)</w:t>
      </w:r>
    </w:p>
    <w:p w14:paraId="4EC7CA90" w14:textId="552541D4" w:rsidR="003E76F3" w:rsidRDefault="003E76F3" w:rsidP="009647BF">
      <w:pPr>
        <w:pStyle w:val="ListParagraph"/>
        <w:numPr>
          <w:ilvl w:val="2"/>
          <w:numId w:val="6"/>
        </w:numPr>
      </w:pPr>
      <w:r>
        <w:t>Section C.20 — Qualified Nonprofit Sponsor (if applicable)</w:t>
      </w:r>
    </w:p>
    <w:p w14:paraId="79F8AC62" w14:textId="1799232F" w:rsidR="001D4D13" w:rsidRDefault="001D4D13" w:rsidP="009647BF">
      <w:pPr>
        <w:pStyle w:val="ListParagraph"/>
        <w:numPr>
          <w:ilvl w:val="2"/>
          <w:numId w:val="6"/>
        </w:numPr>
      </w:pPr>
      <w:r>
        <w:t>Section C.</w:t>
      </w:r>
      <w:r w:rsidR="00BF0683">
        <w:t>22</w:t>
      </w:r>
      <w:r>
        <w:t xml:space="preserve"> — Negative Points</w:t>
      </w:r>
    </w:p>
    <w:p w14:paraId="4CDAEEF7" w14:textId="456A13A9" w:rsidR="001D4D13" w:rsidRDefault="001D4D13" w:rsidP="009647BF">
      <w:pPr>
        <w:pStyle w:val="ListParagraph"/>
        <w:numPr>
          <w:ilvl w:val="1"/>
          <w:numId w:val="6"/>
        </w:numPr>
      </w:pPr>
      <w:r>
        <w:t>Part IV — Sponsor Certification and Breakdown of Costs &amp; Basis</w:t>
      </w:r>
      <w:r w:rsidR="00BF0683">
        <w:t>.</w:t>
      </w:r>
    </w:p>
    <w:p w14:paraId="4F25A835" w14:textId="571E1D80" w:rsidR="005F6A52" w:rsidRDefault="005F6A52" w:rsidP="009647BF">
      <w:pPr>
        <w:pStyle w:val="ListParagraph"/>
        <w:numPr>
          <w:ilvl w:val="0"/>
          <w:numId w:val="6"/>
        </w:numPr>
      </w:pPr>
      <w:r w:rsidRPr="005F6A52">
        <w:t>If you need help completing this application, please review the Q</w:t>
      </w:r>
      <w:r>
        <w:t>AP</w:t>
      </w:r>
      <w:r w:rsidRPr="005F6A52">
        <w:t xml:space="preserve"> or review the Frequently Asked Questions (FAQs) on the website at </w:t>
      </w:r>
      <w:hyperlink r:id="rId11" w:history="1">
        <w:r w:rsidRPr="005F2EB1">
          <w:rPr>
            <w:rStyle w:val="Hyperlink"/>
          </w:rPr>
          <w:t>https://www.nj.gov/dca/hmfa/developers/lihtc/faqs/</w:t>
        </w:r>
      </w:hyperlink>
      <w:r w:rsidRPr="005F6A52">
        <w:t xml:space="preserve">. Written questions may be submitted to: </w:t>
      </w:r>
      <w:hyperlink r:id="rId12" w:history="1">
        <w:r w:rsidRPr="005F2EB1">
          <w:rPr>
            <w:rStyle w:val="Hyperlink"/>
          </w:rPr>
          <w:t>NJHMFAtaxcredits@njhmfa.gov</w:t>
        </w:r>
      </w:hyperlink>
      <w:r w:rsidRPr="005F6A52">
        <w:t xml:space="preserve"> and the answers will be posted in the FAQs.</w:t>
      </w:r>
    </w:p>
    <w:p w14:paraId="2F750621" w14:textId="757A6237" w:rsidR="00B22112" w:rsidRDefault="002E425D" w:rsidP="00B22112">
      <w:pPr>
        <w:pStyle w:val="Heading1"/>
      </w:pPr>
      <w:bookmarkStart w:id="1" w:name="_Toc230012649"/>
      <w:r>
        <w:lastRenderedPageBreak/>
        <w:t xml:space="preserve">LIHTC </w:t>
      </w:r>
      <w:r w:rsidR="00B22112">
        <w:t>Fee Schedule</w:t>
      </w:r>
      <w:bookmarkEnd w:id="1"/>
    </w:p>
    <w:p w14:paraId="17C23664" w14:textId="7210205F" w:rsidR="009B2867" w:rsidRPr="009B2867" w:rsidRDefault="009B2867" w:rsidP="00B22112">
      <w:pPr>
        <w:rPr>
          <w:b/>
          <w:bCs/>
        </w:rPr>
      </w:pPr>
      <w:r w:rsidRPr="009B2867">
        <w:rPr>
          <w:b/>
          <w:bCs/>
        </w:rPr>
        <w:t>NOTE</w:t>
      </w:r>
      <w:r w:rsidR="002E425D">
        <w:rPr>
          <w:b/>
          <w:bCs/>
        </w:rPr>
        <w:t>S</w:t>
      </w:r>
      <w:r w:rsidRPr="009B2867">
        <w:rPr>
          <w:b/>
          <w:bCs/>
        </w:rPr>
        <w:t>:</w:t>
      </w:r>
      <w:r w:rsidR="002E425D">
        <w:rPr>
          <w:b/>
          <w:bCs/>
        </w:rPr>
        <w:t xml:space="preserve"> </w:t>
      </w:r>
      <w:r w:rsidR="00C25CE8">
        <w:rPr>
          <w:b/>
          <w:bCs/>
        </w:rPr>
        <w:t xml:space="preserve">The fee for the </w:t>
      </w:r>
      <w:r w:rsidR="006903D0">
        <w:rPr>
          <w:b/>
          <w:bCs/>
        </w:rPr>
        <w:t xml:space="preserve">LIHTC application </w:t>
      </w:r>
      <w:r w:rsidR="00C25CE8">
        <w:rPr>
          <w:b/>
          <w:bCs/>
        </w:rPr>
        <w:t>is separate</w:t>
      </w:r>
      <w:r w:rsidR="006903D0">
        <w:rPr>
          <w:b/>
          <w:bCs/>
        </w:rPr>
        <w:t xml:space="preserve"> from </w:t>
      </w:r>
      <w:r w:rsidR="008E241A">
        <w:rPr>
          <w:b/>
          <w:bCs/>
        </w:rPr>
        <w:t xml:space="preserve">and in addition to </w:t>
      </w:r>
      <w:r w:rsidR="006903D0">
        <w:rPr>
          <w:b/>
          <w:bCs/>
        </w:rPr>
        <w:t xml:space="preserve">application fees for </w:t>
      </w:r>
      <w:r w:rsidR="008E241A">
        <w:rPr>
          <w:b/>
          <w:bCs/>
        </w:rPr>
        <w:t xml:space="preserve">any </w:t>
      </w:r>
      <w:r w:rsidR="00C25CE8">
        <w:rPr>
          <w:b/>
          <w:bCs/>
        </w:rPr>
        <w:t>Agency</w:t>
      </w:r>
      <w:r w:rsidR="006903D0">
        <w:rPr>
          <w:b/>
          <w:bCs/>
        </w:rPr>
        <w:t xml:space="preserve"> financing.</w:t>
      </w:r>
      <w:r w:rsidR="00C25CE8" w:rsidRPr="009B2867">
        <w:rPr>
          <w:b/>
          <w:bCs/>
        </w:rPr>
        <w:t xml:space="preserve"> All fees are non-refundable.</w:t>
      </w:r>
    </w:p>
    <w:p w14:paraId="66900371" w14:textId="7EB25455" w:rsidR="00B22112" w:rsidRPr="00937A51" w:rsidRDefault="002E425D" w:rsidP="00937A51">
      <w:pPr>
        <w:rPr>
          <w:b/>
          <w:bCs/>
        </w:rPr>
      </w:pPr>
      <w:r>
        <w:rPr>
          <w:b/>
          <w:bCs/>
        </w:rPr>
        <w:t xml:space="preserve">LIHTC </w:t>
      </w:r>
      <w:r w:rsidR="009B2867" w:rsidRPr="00937A51">
        <w:rPr>
          <w:b/>
          <w:bCs/>
        </w:rPr>
        <w:t>Application Fees</w:t>
      </w:r>
      <w:r w:rsidR="00937A51">
        <w:rPr>
          <w:b/>
          <w:bCs/>
        </w:rPr>
        <w:t>:</w:t>
      </w:r>
    </w:p>
    <w:p w14:paraId="1277A46A" w14:textId="128E2628" w:rsidR="009B2867" w:rsidRDefault="009B2867" w:rsidP="007D49BC">
      <w:pPr>
        <w:tabs>
          <w:tab w:val="left" w:pos="4320"/>
        </w:tabs>
      </w:pPr>
      <w:r>
        <w:t>Initial Application</w:t>
      </w:r>
      <w:r>
        <w:tab/>
        <w:t>$5,000</w:t>
      </w:r>
      <w:r>
        <w:br/>
        <w:t>Reapplication (same calendar year only)</w:t>
      </w:r>
      <w:r>
        <w:tab/>
        <w:t>$1,000</w:t>
      </w:r>
      <w:r>
        <w:br/>
        <w:t>Hardship/Exchange Application</w:t>
      </w:r>
      <w:r>
        <w:tab/>
        <w:t>$1,000</w:t>
      </w:r>
    </w:p>
    <w:p w14:paraId="18D38C59" w14:textId="5BDC0273" w:rsidR="009B2867" w:rsidRPr="00937A51" w:rsidRDefault="002E425D" w:rsidP="00937A51">
      <w:pPr>
        <w:rPr>
          <w:b/>
          <w:bCs/>
        </w:rPr>
      </w:pPr>
      <w:r>
        <w:rPr>
          <w:b/>
          <w:bCs/>
        </w:rPr>
        <w:t xml:space="preserve">LIHTC </w:t>
      </w:r>
      <w:r w:rsidR="009B2867" w:rsidRPr="00937A51">
        <w:rPr>
          <w:b/>
          <w:bCs/>
        </w:rPr>
        <w:t>Allocation</w:t>
      </w:r>
      <w:r w:rsidR="007D49BC" w:rsidRPr="00937A51">
        <w:rPr>
          <w:b/>
          <w:bCs/>
        </w:rPr>
        <w:t>/Issuance</w:t>
      </w:r>
      <w:r w:rsidR="009B2867" w:rsidRPr="00937A51">
        <w:rPr>
          <w:b/>
          <w:bCs/>
        </w:rPr>
        <w:t xml:space="preserve"> Fees</w:t>
      </w:r>
      <w:r w:rsidR="00937A51">
        <w:rPr>
          <w:b/>
          <w:bCs/>
        </w:rPr>
        <w:t>:</w:t>
      </w:r>
    </w:p>
    <w:p w14:paraId="603CA178" w14:textId="5ADB708D" w:rsidR="009B2867" w:rsidRDefault="009B2867" w:rsidP="007D49BC">
      <w:pPr>
        <w:tabs>
          <w:tab w:val="left" w:pos="4320"/>
        </w:tabs>
      </w:pPr>
      <w:r>
        <w:t>NJHMFA-Financed Project</w:t>
      </w:r>
      <w:r>
        <w:tab/>
        <w:t>2% of the 10-year tax credit amount</w:t>
      </w:r>
      <w:r>
        <w:br/>
        <w:t>Non-NJHMFA-Financed Project</w:t>
      </w:r>
      <w:r>
        <w:tab/>
        <w:t>3% of the 10-year tax credit amount</w:t>
      </w:r>
    </w:p>
    <w:p w14:paraId="62E6499A" w14:textId="77777777" w:rsidR="007D49BC" w:rsidRDefault="007D49BC" w:rsidP="007D49BC">
      <w:pPr>
        <w:tabs>
          <w:tab w:val="left" w:pos="4320"/>
        </w:tabs>
      </w:pPr>
      <w:r>
        <w:t>For 9% credits, one half of the allocation fee is payable at</w:t>
      </w:r>
      <w:r w:rsidRPr="003F181D">
        <w:rPr>
          <w:rFonts w:ascii="Times New Roman" w:hAnsi="Times New Roman" w:cs="Times New Roman"/>
          <w:color w:val="000000"/>
          <w:kern w:val="0"/>
          <w:sz w:val="23"/>
          <w:szCs w:val="23"/>
        </w:rPr>
        <w:t xml:space="preserve"> </w:t>
      </w:r>
      <w:r w:rsidRPr="003F181D">
        <w:t>the time the allocation criteria described at N.J.A.C 5:80-33.24(a) is submitted to NJHMFA</w:t>
      </w:r>
      <w:r>
        <w:t>. For 4% credits, one half of the issuance fee is payable at the time the credit determination described at N.J.A.C. 5:80-33.9(a)1 is made. The remainder, upwardly adjusted, if necessary, is payable prior to issuance of Form 8609. The amount of the allocation/issuance fee is the same for 9% and 4% credits.</w:t>
      </w:r>
    </w:p>
    <w:p w14:paraId="10246117" w14:textId="36FEC380" w:rsidR="009B2867" w:rsidRPr="00937A51" w:rsidRDefault="007D49BC" w:rsidP="00937A51">
      <w:pPr>
        <w:rPr>
          <w:b/>
          <w:bCs/>
        </w:rPr>
      </w:pPr>
      <w:r w:rsidRPr="00937A51">
        <w:rPr>
          <w:b/>
          <w:bCs/>
        </w:rPr>
        <w:t>Other</w:t>
      </w:r>
      <w:r w:rsidR="009B2867" w:rsidRPr="00937A51">
        <w:rPr>
          <w:b/>
          <w:bCs/>
        </w:rPr>
        <w:t xml:space="preserve"> </w:t>
      </w:r>
      <w:r w:rsidR="008E241A">
        <w:rPr>
          <w:b/>
          <w:bCs/>
        </w:rPr>
        <w:t xml:space="preserve">LIHTC </w:t>
      </w:r>
      <w:r w:rsidR="009B2867" w:rsidRPr="00937A51">
        <w:rPr>
          <w:b/>
          <w:bCs/>
        </w:rPr>
        <w:t>Fee</w:t>
      </w:r>
      <w:r w:rsidRPr="00937A51">
        <w:rPr>
          <w:b/>
          <w:bCs/>
        </w:rPr>
        <w:t>s</w:t>
      </w:r>
      <w:r w:rsidR="00937A51">
        <w:rPr>
          <w:b/>
          <w:bCs/>
        </w:rPr>
        <w:t>:</w:t>
      </w:r>
    </w:p>
    <w:p w14:paraId="5A7F74CF" w14:textId="4E0B1AA7" w:rsidR="009B2867" w:rsidRDefault="009B2867" w:rsidP="007D49BC">
      <w:pPr>
        <w:ind w:left="4320" w:hanging="4320"/>
      </w:pPr>
      <w:r>
        <w:t xml:space="preserve">First Half Allocation </w:t>
      </w:r>
      <w:r w:rsidR="007D49BC">
        <w:t xml:space="preserve">Extension </w:t>
      </w:r>
      <w:r>
        <w:t>Fee</w:t>
      </w:r>
      <w:r>
        <w:tab/>
        <w:t xml:space="preserve">$1,000 for each week or part thereof that the owner is late in submitting </w:t>
      </w:r>
      <w:r w:rsidR="007D49BC">
        <w:t>the allocation criteria described at N.J.A.C. 5:80-33.24(a)</w:t>
      </w:r>
    </w:p>
    <w:p w14:paraId="38A8D57A" w14:textId="4C2B20C6" w:rsidR="007D49BC" w:rsidRPr="009B2867" w:rsidRDefault="007D49BC" w:rsidP="007D49BC">
      <w:pPr>
        <w:ind w:left="4320" w:hanging="4320"/>
      </w:pPr>
      <w:r>
        <w:t>Expedited Form 8609 Review Fee</w:t>
      </w:r>
      <w:r>
        <w:tab/>
        <w:t>$1,000 for any project that submits the IRS Form 8609 request package later than 90 days prior to the owner’s tax-filing deadline</w:t>
      </w:r>
    </w:p>
    <w:p w14:paraId="0CBAB529" w14:textId="0B02A628" w:rsidR="001600F3" w:rsidRDefault="001600F3" w:rsidP="00B22112">
      <w:pPr>
        <w:pStyle w:val="Heading1"/>
      </w:pPr>
      <w:bookmarkStart w:id="2" w:name="_Toc230012650"/>
      <w:r>
        <w:lastRenderedPageBreak/>
        <w:t>Part I — Project Information Summary</w:t>
      </w:r>
      <w:bookmarkEnd w:id="2"/>
    </w:p>
    <w:p w14:paraId="16FA6AC1" w14:textId="63EC6A6F" w:rsidR="001600F3" w:rsidRPr="00937A51" w:rsidRDefault="00E40BE0" w:rsidP="00937A51">
      <w:pPr>
        <w:rPr>
          <w:b/>
          <w:bCs/>
        </w:rPr>
      </w:pPr>
      <w:r w:rsidRPr="00937A51">
        <w:rPr>
          <w:b/>
          <w:bCs/>
        </w:rPr>
        <w:t>Checklist</w:t>
      </w:r>
      <w:r w:rsidR="00937A51">
        <w:rPr>
          <w:b/>
          <w:bCs/>
        </w:rPr>
        <w:t>:</w:t>
      </w:r>
    </w:p>
    <w:tbl>
      <w:tblPr>
        <w:tblStyle w:val="TableGrid"/>
        <w:tblW w:w="10800" w:type="dxa"/>
        <w:tblLook w:val="04A0" w:firstRow="1" w:lastRow="0" w:firstColumn="1" w:lastColumn="0" w:noHBand="0" w:noVBand="1"/>
      </w:tblPr>
      <w:tblGrid>
        <w:gridCol w:w="4680"/>
        <w:gridCol w:w="4680"/>
        <w:gridCol w:w="1440"/>
      </w:tblGrid>
      <w:tr w:rsidR="00E40BE0" w14:paraId="29B9429E" w14:textId="77777777" w:rsidTr="00E26F64">
        <w:trPr>
          <w:trHeight w:val="576"/>
        </w:trPr>
        <w:tc>
          <w:tcPr>
            <w:tcW w:w="4680" w:type="dxa"/>
            <w:vAlign w:val="center"/>
          </w:tcPr>
          <w:p w14:paraId="23ED870A" w14:textId="24202EE0" w:rsidR="00E40BE0" w:rsidRPr="0035793E" w:rsidRDefault="00E40BE0" w:rsidP="0035793E">
            <w:pPr>
              <w:jc w:val="center"/>
              <w:rPr>
                <w:b/>
                <w:bCs/>
              </w:rPr>
            </w:pPr>
            <w:r w:rsidRPr="0035793E">
              <w:rPr>
                <w:b/>
                <w:bCs/>
              </w:rPr>
              <w:t>Item</w:t>
            </w:r>
          </w:p>
        </w:tc>
        <w:tc>
          <w:tcPr>
            <w:tcW w:w="4680" w:type="dxa"/>
            <w:vAlign w:val="center"/>
          </w:tcPr>
          <w:p w14:paraId="6A625017" w14:textId="55BE1DA7" w:rsidR="00E40BE0" w:rsidRPr="0035793E" w:rsidRDefault="00E40BE0" w:rsidP="0035793E">
            <w:pPr>
              <w:jc w:val="center"/>
              <w:rPr>
                <w:b/>
                <w:bCs/>
              </w:rPr>
            </w:pPr>
            <w:r w:rsidRPr="0035793E">
              <w:rPr>
                <w:b/>
                <w:bCs/>
              </w:rPr>
              <w:t>Required For?</w:t>
            </w:r>
          </w:p>
        </w:tc>
        <w:tc>
          <w:tcPr>
            <w:tcW w:w="1440" w:type="dxa"/>
            <w:vAlign w:val="center"/>
          </w:tcPr>
          <w:p w14:paraId="58A76ACE" w14:textId="03F4522D" w:rsidR="00E40BE0" w:rsidRPr="0035793E" w:rsidRDefault="00E40BE0" w:rsidP="0035793E">
            <w:pPr>
              <w:jc w:val="center"/>
              <w:rPr>
                <w:b/>
                <w:bCs/>
              </w:rPr>
            </w:pPr>
            <w:r w:rsidRPr="0035793E">
              <w:rPr>
                <w:b/>
                <w:bCs/>
              </w:rPr>
              <w:t>Included?</w:t>
            </w:r>
          </w:p>
        </w:tc>
      </w:tr>
      <w:tr w:rsidR="00E40BE0" w14:paraId="59E1FE0C" w14:textId="77777777" w:rsidTr="00E26F64">
        <w:trPr>
          <w:trHeight w:val="576"/>
        </w:trPr>
        <w:tc>
          <w:tcPr>
            <w:tcW w:w="4680" w:type="dxa"/>
            <w:vAlign w:val="center"/>
          </w:tcPr>
          <w:p w14:paraId="433D82D0" w14:textId="5D2DC7B9" w:rsidR="00E40BE0" w:rsidRDefault="00E40BE0" w:rsidP="0035793E">
            <w:r>
              <w:t>UNIAP Part I — Project Information Summary Form</w:t>
            </w:r>
          </w:p>
        </w:tc>
        <w:tc>
          <w:tcPr>
            <w:tcW w:w="4680" w:type="dxa"/>
            <w:vAlign w:val="center"/>
          </w:tcPr>
          <w:p w14:paraId="29D0301E" w14:textId="43298813" w:rsidR="00E40BE0" w:rsidRDefault="00E40BE0" w:rsidP="0035793E">
            <w:r>
              <w:t>All projects</w:t>
            </w:r>
          </w:p>
        </w:tc>
        <w:tc>
          <w:tcPr>
            <w:tcW w:w="1440" w:type="dxa"/>
            <w:vAlign w:val="center"/>
          </w:tcPr>
          <w:p w14:paraId="32D2BE79" w14:textId="77777777" w:rsidR="00E40BE0" w:rsidRDefault="00E40BE0" w:rsidP="0035793E"/>
        </w:tc>
      </w:tr>
      <w:tr w:rsidR="00E40BE0" w14:paraId="64A6C9CB" w14:textId="77777777" w:rsidTr="00E26F64">
        <w:trPr>
          <w:trHeight w:val="576"/>
        </w:trPr>
        <w:tc>
          <w:tcPr>
            <w:tcW w:w="4680" w:type="dxa"/>
            <w:vAlign w:val="center"/>
          </w:tcPr>
          <w:p w14:paraId="4DDC073F" w14:textId="2741A64E" w:rsidR="00E40BE0" w:rsidRDefault="0035793E" w:rsidP="0035793E">
            <w:r>
              <w:t>Organizational Chart for the Final Ownership Entity</w:t>
            </w:r>
          </w:p>
        </w:tc>
        <w:tc>
          <w:tcPr>
            <w:tcW w:w="4680" w:type="dxa"/>
            <w:vAlign w:val="center"/>
          </w:tcPr>
          <w:p w14:paraId="0D0EE384" w14:textId="41573AB9" w:rsidR="00E40BE0" w:rsidRDefault="0035793E" w:rsidP="0035793E">
            <w:r>
              <w:t>All projects</w:t>
            </w:r>
          </w:p>
        </w:tc>
        <w:tc>
          <w:tcPr>
            <w:tcW w:w="1440" w:type="dxa"/>
            <w:vAlign w:val="center"/>
          </w:tcPr>
          <w:p w14:paraId="0F3AFA73" w14:textId="77777777" w:rsidR="00E40BE0" w:rsidRDefault="00E40BE0" w:rsidP="0035793E"/>
        </w:tc>
      </w:tr>
      <w:tr w:rsidR="00E40BE0" w14:paraId="387C03B4" w14:textId="77777777" w:rsidTr="00E26F64">
        <w:trPr>
          <w:trHeight w:val="576"/>
        </w:trPr>
        <w:tc>
          <w:tcPr>
            <w:tcW w:w="4680" w:type="dxa"/>
            <w:vAlign w:val="center"/>
          </w:tcPr>
          <w:p w14:paraId="6D985D8A" w14:textId="2772DA02" w:rsidR="00E40BE0" w:rsidRDefault="008837EB" w:rsidP="0035793E">
            <w:r>
              <w:t xml:space="preserve">Development Team </w:t>
            </w:r>
            <w:r w:rsidR="0035793E">
              <w:t>R</w:t>
            </w:r>
            <w:r w:rsidR="0035793E" w:rsidRPr="00456251">
              <w:t>ésumé</w:t>
            </w:r>
            <w:r w:rsidR="0035793E">
              <w:t>(s)</w:t>
            </w:r>
          </w:p>
        </w:tc>
        <w:tc>
          <w:tcPr>
            <w:tcW w:w="4680" w:type="dxa"/>
            <w:vAlign w:val="center"/>
          </w:tcPr>
          <w:p w14:paraId="5E0487DB" w14:textId="77777777" w:rsidR="008837EB" w:rsidRDefault="008837EB" w:rsidP="0035793E">
            <w:r>
              <w:t>Sponsor;</w:t>
            </w:r>
          </w:p>
          <w:p w14:paraId="2592DDA2" w14:textId="77777777" w:rsidR="008837EB" w:rsidRDefault="008837EB" w:rsidP="0035793E">
            <w:r>
              <w:t>Developer;</w:t>
            </w:r>
          </w:p>
          <w:p w14:paraId="390ED671" w14:textId="77777777" w:rsidR="008837EB" w:rsidRDefault="008837EB" w:rsidP="0035793E">
            <w:r>
              <w:t>General partner;</w:t>
            </w:r>
          </w:p>
          <w:p w14:paraId="07C4D73D" w14:textId="77777777" w:rsidR="008837EB" w:rsidRDefault="008837EB" w:rsidP="0035793E">
            <w:r>
              <w:t>Voting member(s); AND</w:t>
            </w:r>
          </w:p>
          <w:p w14:paraId="09496D73" w14:textId="6EE533A8" w:rsidR="00E40BE0" w:rsidRDefault="008837EB" w:rsidP="0035793E">
            <w:r>
              <w:t>Limited partner</w:t>
            </w:r>
          </w:p>
        </w:tc>
        <w:tc>
          <w:tcPr>
            <w:tcW w:w="1440" w:type="dxa"/>
            <w:vAlign w:val="center"/>
          </w:tcPr>
          <w:p w14:paraId="60F8810F" w14:textId="77777777" w:rsidR="00E40BE0" w:rsidRDefault="00E40BE0" w:rsidP="0035793E"/>
        </w:tc>
      </w:tr>
      <w:tr w:rsidR="0035793E" w14:paraId="717CB729" w14:textId="77777777" w:rsidTr="00E26F64">
        <w:trPr>
          <w:trHeight w:val="576"/>
        </w:trPr>
        <w:tc>
          <w:tcPr>
            <w:tcW w:w="4680" w:type="dxa"/>
            <w:vAlign w:val="center"/>
          </w:tcPr>
          <w:p w14:paraId="1E87C1E8" w14:textId="6C4000EF" w:rsidR="0035793E" w:rsidRDefault="0035793E" w:rsidP="0035793E">
            <w:r>
              <w:t>Municipal Resolution of Need (or equivalent)</w:t>
            </w:r>
          </w:p>
        </w:tc>
        <w:tc>
          <w:tcPr>
            <w:tcW w:w="4680" w:type="dxa"/>
            <w:vAlign w:val="center"/>
          </w:tcPr>
          <w:p w14:paraId="5926B44D" w14:textId="5C33E312" w:rsidR="0035793E" w:rsidRDefault="00E26F64" w:rsidP="0035793E">
            <w:r>
              <w:t>NJHMFA-financed projects</w:t>
            </w:r>
          </w:p>
        </w:tc>
        <w:tc>
          <w:tcPr>
            <w:tcW w:w="1440" w:type="dxa"/>
            <w:vAlign w:val="center"/>
          </w:tcPr>
          <w:p w14:paraId="3CDFD1B4" w14:textId="77777777" w:rsidR="0035793E" w:rsidRDefault="0035793E" w:rsidP="0035793E"/>
        </w:tc>
      </w:tr>
      <w:tr w:rsidR="0035793E" w14:paraId="07016E47" w14:textId="77777777" w:rsidTr="00E26F64">
        <w:trPr>
          <w:trHeight w:val="576"/>
        </w:trPr>
        <w:tc>
          <w:tcPr>
            <w:tcW w:w="4680" w:type="dxa"/>
            <w:vAlign w:val="center"/>
          </w:tcPr>
          <w:p w14:paraId="71A59A1B" w14:textId="499000D2" w:rsidR="0035793E" w:rsidRDefault="0035793E" w:rsidP="0035793E">
            <w:r>
              <w:t>Additional Buildings Sheet(s)</w:t>
            </w:r>
          </w:p>
        </w:tc>
        <w:tc>
          <w:tcPr>
            <w:tcW w:w="4680" w:type="dxa"/>
            <w:vAlign w:val="center"/>
          </w:tcPr>
          <w:p w14:paraId="7915F025" w14:textId="4F4A8A97" w:rsidR="0035793E" w:rsidRDefault="0035793E" w:rsidP="0035793E">
            <w:r>
              <w:t>If applicable</w:t>
            </w:r>
          </w:p>
        </w:tc>
        <w:tc>
          <w:tcPr>
            <w:tcW w:w="1440" w:type="dxa"/>
            <w:vAlign w:val="center"/>
          </w:tcPr>
          <w:p w14:paraId="59AAC2D6" w14:textId="77777777" w:rsidR="0035793E" w:rsidRDefault="0035793E" w:rsidP="0035793E"/>
        </w:tc>
      </w:tr>
      <w:tr w:rsidR="0035793E" w14:paraId="0600D8B6" w14:textId="77777777" w:rsidTr="00E26F64">
        <w:trPr>
          <w:trHeight w:val="576"/>
        </w:trPr>
        <w:tc>
          <w:tcPr>
            <w:tcW w:w="4680" w:type="dxa"/>
            <w:vAlign w:val="center"/>
          </w:tcPr>
          <w:p w14:paraId="5E58C725" w14:textId="585E587F" w:rsidR="0035793E" w:rsidRDefault="0035793E" w:rsidP="0035793E">
            <w:r>
              <w:t>Additional Unit Distribution Sheet(s)</w:t>
            </w:r>
          </w:p>
        </w:tc>
        <w:tc>
          <w:tcPr>
            <w:tcW w:w="4680" w:type="dxa"/>
            <w:vAlign w:val="center"/>
          </w:tcPr>
          <w:p w14:paraId="0EDCBD19" w14:textId="3E0BB6D2" w:rsidR="0035793E" w:rsidRDefault="0035793E" w:rsidP="0035793E">
            <w:r>
              <w:t>If applicable</w:t>
            </w:r>
          </w:p>
        </w:tc>
        <w:tc>
          <w:tcPr>
            <w:tcW w:w="1440" w:type="dxa"/>
            <w:vAlign w:val="center"/>
          </w:tcPr>
          <w:p w14:paraId="454F15B7" w14:textId="77777777" w:rsidR="0035793E" w:rsidRDefault="0035793E" w:rsidP="0035793E"/>
        </w:tc>
      </w:tr>
      <w:tr w:rsidR="0035793E" w14:paraId="5B44C02E" w14:textId="77777777" w:rsidTr="00E26F64">
        <w:trPr>
          <w:trHeight w:val="576"/>
        </w:trPr>
        <w:tc>
          <w:tcPr>
            <w:tcW w:w="4680" w:type="dxa"/>
            <w:vAlign w:val="center"/>
          </w:tcPr>
          <w:p w14:paraId="00687E8A" w14:textId="77A3AB12" w:rsidR="0035793E" w:rsidRDefault="0035793E" w:rsidP="0035793E">
            <w:r>
              <w:t xml:space="preserve">Evidence that </w:t>
            </w:r>
            <w:r w:rsidR="00201EC4">
              <w:t>P</w:t>
            </w:r>
            <w:r>
              <w:t xml:space="preserve">roject is </w:t>
            </w:r>
            <w:r w:rsidR="00201EC4">
              <w:t>D</w:t>
            </w:r>
            <w:r>
              <w:t xml:space="preserve">esignated by HUD </w:t>
            </w:r>
            <w:r w:rsidR="00201EC4">
              <w:t>S</w:t>
            </w:r>
            <w:r>
              <w:t xml:space="preserve">ecretary as </w:t>
            </w:r>
            <w:r w:rsidR="00201EC4">
              <w:t>H</w:t>
            </w:r>
            <w:r>
              <w:t xml:space="preserve">ousing for </w:t>
            </w:r>
            <w:r w:rsidR="00201EC4">
              <w:t>O</w:t>
            </w:r>
            <w:r>
              <w:t xml:space="preserve">lder </w:t>
            </w:r>
            <w:r w:rsidR="00201EC4">
              <w:t>P</w:t>
            </w:r>
            <w:r>
              <w:t>ersons</w:t>
            </w:r>
          </w:p>
        </w:tc>
        <w:tc>
          <w:tcPr>
            <w:tcW w:w="4680" w:type="dxa"/>
            <w:vAlign w:val="center"/>
          </w:tcPr>
          <w:p w14:paraId="43CB2283" w14:textId="185302BC" w:rsidR="0035793E" w:rsidRDefault="0035793E" w:rsidP="0035793E">
            <w:r>
              <w:t>If applicable</w:t>
            </w:r>
          </w:p>
        </w:tc>
        <w:tc>
          <w:tcPr>
            <w:tcW w:w="1440" w:type="dxa"/>
            <w:vAlign w:val="center"/>
          </w:tcPr>
          <w:p w14:paraId="62F7E623" w14:textId="77777777" w:rsidR="0035793E" w:rsidRDefault="0035793E" w:rsidP="0035793E"/>
        </w:tc>
      </w:tr>
      <w:tr w:rsidR="00201EC4" w14:paraId="450CA28A" w14:textId="77777777" w:rsidTr="00E26F64">
        <w:trPr>
          <w:trHeight w:val="576"/>
        </w:trPr>
        <w:tc>
          <w:tcPr>
            <w:tcW w:w="4680" w:type="dxa"/>
            <w:vAlign w:val="center"/>
          </w:tcPr>
          <w:p w14:paraId="04503114" w14:textId="4B8BB28A" w:rsidR="00201EC4" w:rsidRDefault="00201EC4" w:rsidP="0035793E">
            <w:r>
              <w:t>Site Control Documentation</w:t>
            </w:r>
          </w:p>
        </w:tc>
        <w:tc>
          <w:tcPr>
            <w:tcW w:w="4680" w:type="dxa"/>
            <w:vAlign w:val="center"/>
          </w:tcPr>
          <w:p w14:paraId="13778178" w14:textId="7D1C4F72" w:rsidR="00201EC4" w:rsidRDefault="00201EC4" w:rsidP="0035793E">
            <w:r>
              <w:t>All projects</w:t>
            </w:r>
          </w:p>
        </w:tc>
        <w:tc>
          <w:tcPr>
            <w:tcW w:w="1440" w:type="dxa"/>
            <w:vAlign w:val="center"/>
          </w:tcPr>
          <w:p w14:paraId="6AAE8AB8" w14:textId="5DBB1146" w:rsidR="00201EC4" w:rsidRDefault="00201EC4" w:rsidP="0035793E">
            <w:r>
              <w:t>See Part II</w:t>
            </w:r>
          </w:p>
        </w:tc>
      </w:tr>
      <w:tr w:rsidR="00201EC4" w14:paraId="48E61E5D" w14:textId="77777777" w:rsidTr="00E26F64">
        <w:trPr>
          <w:trHeight w:val="576"/>
        </w:trPr>
        <w:tc>
          <w:tcPr>
            <w:tcW w:w="4680" w:type="dxa"/>
            <w:vAlign w:val="center"/>
          </w:tcPr>
          <w:p w14:paraId="48FE8B28" w14:textId="3202BE2E" w:rsidR="00201EC4" w:rsidRDefault="00201EC4" w:rsidP="0035793E">
            <w:r>
              <w:t>Phase I Environmental Assessment</w:t>
            </w:r>
          </w:p>
        </w:tc>
        <w:tc>
          <w:tcPr>
            <w:tcW w:w="4680" w:type="dxa"/>
            <w:vAlign w:val="center"/>
          </w:tcPr>
          <w:p w14:paraId="682D65D4" w14:textId="01E2A30D" w:rsidR="00201EC4" w:rsidRDefault="00201EC4" w:rsidP="0035793E">
            <w:r>
              <w:t>If applicable</w:t>
            </w:r>
          </w:p>
        </w:tc>
        <w:tc>
          <w:tcPr>
            <w:tcW w:w="1440" w:type="dxa"/>
            <w:vAlign w:val="center"/>
          </w:tcPr>
          <w:p w14:paraId="30A8703A" w14:textId="14E0BE1C" w:rsidR="00201EC4" w:rsidRDefault="00201EC4" w:rsidP="0035793E">
            <w:r>
              <w:t>See Part II</w:t>
            </w:r>
          </w:p>
        </w:tc>
      </w:tr>
      <w:tr w:rsidR="00201EC4" w14:paraId="7378DE04" w14:textId="77777777" w:rsidTr="00E26F64">
        <w:trPr>
          <w:trHeight w:val="576"/>
        </w:trPr>
        <w:tc>
          <w:tcPr>
            <w:tcW w:w="4680" w:type="dxa"/>
            <w:vAlign w:val="center"/>
          </w:tcPr>
          <w:p w14:paraId="123D9E69" w14:textId="65D8C7A6" w:rsidR="00201EC4" w:rsidRDefault="00201EC4" w:rsidP="0035793E">
            <w:r>
              <w:t>Documentation of the Tax Abatement / Exemption / PILOT</w:t>
            </w:r>
          </w:p>
        </w:tc>
        <w:tc>
          <w:tcPr>
            <w:tcW w:w="4680" w:type="dxa"/>
            <w:vAlign w:val="center"/>
          </w:tcPr>
          <w:p w14:paraId="60F2E73A" w14:textId="0983CB98" w:rsidR="00201EC4" w:rsidRDefault="00201EC4" w:rsidP="0035793E">
            <w:r>
              <w:t>If applicable</w:t>
            </w:r>
          </w:p>
        </w:tc>
        <w:tc>
          <w:tcPr>
            <w:tcW w:w="1440" w:type="dxa"/>
            <w:vAlign w:val="center"/>
          </w:tcPr>
          <w:p w14:paraId="619D880A" w14:textId="67506FA1" w:rsidR="00201EC4" w:rsidRDefault="00201EC4" w:rsidP="0035793E">
            <w:r>
              <w:t>See Part III</w:t>
            </w:r>
          </w:p>
        </w:tc>
      </w:tr>
    </w:tbl>
    <w:p w14:paraId="655D48FB" w14:textId="77777777" w:rsidR="00E40BE0" w:rsidRPr="001600F3" w:rsidRDefault="00E40BE0" w:rsidP="001600F3"/>
    <w:p w14:paraId="5698E410" w14:textId="13A71AC5" w:rsidR="00B22112" w:rsidRDefault="00B22112" w:rsidP="00B22112">
      <w:pPr>
        <w:pStyle w:val="Heading1"/>
      </w:pPr>
      <w:bookmarkStart w:id="3" w:name="_Toc230012651"/>
      <w:r>
        <w:lastRenderedPageBreak/>
        <w:t>Part II — Eligibility Requirements</w:t>
      </w:r>
      <w:bookmarkEnd w:id="3"/>
    </w:p>
    <w:p w14:paraId="0467B9CA" w14:textId="3557BF15" w:rsidR="00326E7B" w:rsidRPr="00326E7B" w:rsidRDefault="00326E7B" w:rsidP="00326E7B">
      <w:pPr>
        <w:jc w:val="center"/>
        <w:rPr>
          <w:b/>
          <w:bCs/>
        </w:rPr>
      </w:pPr>
      <w:r w:rsidRPr="00FF77F0">
        <w:rPr>
          <w:b/>
          <w:bCs/>
          <w:color w:val="C00000"/>
        </w:rPr>
        <w:t>Please tab each section in this Part and insert the required documentation after the corresponding tab.</w:t>
      </w:r>
    </w:p>
    <w:p w14:paraId="0DED0C07" w14:textId="7AB90799" w:rsidR="003119C3" w:rsidRPr="00937A51" w:rsidRDefault="003119C3" w:rsidP="00937A51">
      <w:pPr>
        <w:rPr>
          <w:b/>
          <w:bCs/>
        </w:rPr>
      </w:pPr>
      <w:r w:rsidRPr="00937A51">
        <w:rPr>
          <w:b/>
          <w:bCs/>
        </w:rPr>
        <w:t>Checklist</w:t>
      </w:r>
      <w:r w:rsidR="00937A51" w:rsidRPr="00937A51">
        <w:rPr>
          <w:b/>
          <w:bCs/>
        </w:rPr>
        <w:t>:</w:t>
      </w:r>
    </w:p>
    <w:tbl>
      <w:tblPr>
        <w:tblStyle w:val="TableGrid"/>
        <w:tblW w:w="10800" w:type="dxa"/>
        <w:tblLook w:val="04A0" w:firstRow="1" w:lastRow="0" w:firstColumn="1" w:lastColumn="0" w:noHBand="0" w:noVBand="1"/>
      </w:tblPr>
      <w:tblGrid>
        <w:gridCol w:w="2880"/>
        <w:gridCol w:w="3600"/>
        <w:gridCol w:w="3168"/>
        <w:gridCol w:w="1152"/>
      </w:tblGrid>
      <w:tr w:rsidR="00EF3DC4" w14:paraId="4E3DA566" w14:textId="77777777" w:rsidTr="00FF77F0">
        <w:trPr>
          <w:cantSplit/>
          <w:trHeight w:val="432"/>
          <w:tblHeader/>
        </w:trPr>
        <w:tc>
          <w:tcPr>
            <w:tcW w:w="2880" w:type="dxa"/>
            <w:vAlign w:val="center"/>
          </w:tcPr>
          <w:p w14:paraId="51701CCE" w14:textId="0F3972CA" w:rsidR="00EF3DC4" w:rsidRDefault="00C016B7" w:rsidP="00C016B7">
            <w:pPr>
              <w:jc w:val="center"/>
              <w:rPr>
                <w:b/>
                <w:bCs/>
              </w:rPr>
            </w:pPr>
            <w:r w:rsidRPr="00C016B7">
              <w:rPr>
                <w:b/>
                <w:bCs/>
              </w:rPr>
              <w:t xml:space="preserve">QAP </w:t>
            </w:r>
            <w:r w:rsidR="00E40BE0">
              <w:rPr>
                <w:b/>
                <w:bCs/>
              </w:rPr>
              <w:t>Reference</w:t>
            </w:r>
          </w:p>
          <w:p w14:paraId="67BD9C58" w14:textId="4AFFC688" w:rsidR="00C016B7" w:rsidRPr="00C016B7" w:rsidRDefault="00C016B7" w:rsidP="00C016B7">
            <w:pPr>
              <w:jc w:val="center"/>
              <w:rPr>
                <w:b/>
                <w:bCs/>
              </w:rPr>
            </w:pPr>
            <w:r w:rsidRPr="00C016B7">
              <w:rPr>
                <w:b/>
                <w:bCs/>
              </w:rPr>
              <w:t>(N.J.A.C. 5:80-33. …)</w:t>
            </w:r>
          </w:p>
        </w:tc>
        <w:tc>
          <w:tcPr>
            <w:tcW w:w="3600" w:type="dxa"/>
            <w:vAlign w:val="center"/>
          </w:tcPr>
          <w:p w14:paraId="7925D5E7" w14:textId="7D0B89D7" w:rsidR="00C016B7" w:rsidRPr="00C016B7" w:rsidRDefault="00C016B7" w:rsidP="00C016B7">
            <w:pPr>
              <w:jc w:val="center"/>
              <w:rPr>
                <w:b/>
                <w:bCs/>
              </w:rPr>
            </w:pPr>
            <w:r>
              <w:rPr>
                <w:b/>
                <w:bCs/>
              </w:rPr>
              <w:t>Requirement</w:t>
            </w:r>
          </w:p>
        </w:tc>
        <w:tc>
          <w:tcPr>
            <w:tcW w:w="3168" w:type="dxa"/>
            <w:vAlign w:val="center"/>
          </w:tcPr>
          <w:p w14:paraId="262AAA8D" w14:textId="79846E60" w:rsidR="00C016B7" w:rsidRPr="00C016B7" w:rsidRDefault="00E40BE0" w:rsidP="00C016B7">
            <w:pPr>
              <w:jc w:val="center"/>
              <w:rPr>
                <w:b/>
                <w:bCs/>
              </w:rPr>
            </w:pPr>
            <w:r>
              <w:rPr>
                <w:b/>
                <w:bCs/>
              </w:rPr>
              <w:t>Required For?</w:t>
            </w:r>
          </w:p>
        </w:tc>
        <w:tc>
          <w:tcPr>
            <w:tcW w:w="1152" w:type="dxa"/>
            <w:vAlign w:val="center"/>
          </w:tcPr>
          <w:p w14:paraId="4DDDBA37" w14:textId="32997B68" w:rsidR="00C016B7" w:rsidRPr="00C016B7" w:rsidRDefault="00C016B7" w:rsidP="00C016B7">
            <w:pPr>
              <w:jc w:val="center"/>
              <w:rPr>
                <w:b/>
                <w:bCs/>
              </w:rPr>
            </w:pPr>
            <w:r>
              <w:rPr>
                <w:b/>
                <w:bCs/>
              </w:rPr>
              <w:t>Included?</w:t>
            </w:r>
          </w:p>
        </w:tc>
      </w:tr>
      <w:tr w:rsidR="00EF3DC4" w14:paraId="2452F8F1" w14:textId="77777777" w:rsidTr="00FF77F0">
        <w:trPr>
          <w:cantSplit/>
          <w:trHeight w:val="432"/>
        </w:trPr>
        <w:tc>
          <w:tcPr>
            <w:tcW w:w="2880" w:type="dxa"/>
            <w:vAlign w:val="center"/>
          </w:tcPr>
          <w:p w14:paraId="2DFF1698" w14:textId="204332D6" w:rsidR="00C016B7" w:rsidRDefault="00C016B7" w:rsidP="00C016B7">
            <w:pPr>
              <w:ind w:left="-23"/>
            </w:pPr>
            <w:r>
              <w:t xml:space="preserve">12(c)1. </w:t>
            </w:r>
            <w:r w:rsidRPr="000D7A4F">
              <w:t>Market Analysis</w:t>
            </w:r>
          </w:p>
        </w:tc>
        <w:tc>
          <w:tcPr>
            <w:tcW w:w="3600" w:type="dxa"/>
            <w:vAlign w:val="center"/>
          </w:tcPr>
          <w:p w14:paraId="0C543D42" w14:textId="517F1856" w:rsidR="00C016B7" w:rsidRDefault="000273C1" w:rsidP="00C016B7">
            <w:r>
              <w:t>Project Narrative</w:t>
            </w:r>
          </w:p>
        </w:tc>
        <w:tc>
          <w:tcPr>
            <w:tcW w:w="3168" w:type="dxa"/>
            <w:vAlign w:val="center"/>
          </w:tcPr>
          <w:p w14:paraId="178D20BE" w14:textId="605EF61E" w:rsidR="00C016B7" w:rsidRDefault="00C016B7" w:rsidP="00C016B7">
            <w:r>
              <w:t xml:space="preserve">All </w:t>
            </w:r>
            <w:r w:rsidR="0088296D">
              <w:t>p</w:t>
            </w:r>
            <w:r>
              <w:t>rojects</w:t>
            </w:r>
          </w:p>
        </w:tc>
        <w:tc>
          <w:tcPr>
            <w:tcW w:w="1152" w:type="dxa"/>
            <w:vAlign w:val="center"/>
          </w:tcPr>
          <w:p w14:paraId="1C2DCE60" w14:textId="77777777" w:rsidR="00C016B7" w:rsidRDefault="00C016B7" w:rsidP="00C016B7"/>
        </w:tc>
      </w:tr>
      <w:tr w:rsidR="002501BF" w14:paraId="50A3AF65" w14:textId="77777777" w:rsidTr="00FF77F0">
        <w:trPr>
          <w:cantSplit/>
          <w:trHeight w:val="432"/>
        </w:trPr>
        <w:tc>
          <w:tcPr>
            <w:tcW w:w="2880" w:type="dxa"/>
            <w:vAlign w:val="center"/>
          </w:tcPr>
          <w:p w14:paraId="046CA128" w14:textId="77777777" w:rsidR="002501BF" w:rsidRDefault="002501BF" w:rsidP="002501BF">
            <w:pPr>
              <w:ind w:left="-23"/>
            </w:pPr>
          </w:p>
        </w:tc>
        <w:tc>
          <w:tcPr>
            <w:tcW w:w="3600" w:type="dxa"/>
            <w:vAlign w:val="center"/>
          </w:tcPr>
          <w:p w14:paraId="566F3E11" w14:textId="69FBAE3D" w:rsidR="002501BF" w:rsidRDefault="002501BF" w:rsidP="002501BF">
            <w:r>
              <w:t>Market Study</w:t>
            </w:r>
          </w:p>
        </w:tc>
        <w:tc>
          <w:tcPr>
            <w:tcW w:w="3168" w:type="dxa"/>
            <w:vAlign w:val="center"/>
          </w:tcPr>
          <w:p w14:paraId="04ACF768" w14:textId="66E6E8FC" w:rsidR="002501BF" w:rsidRDefault="008837EB" w:rsidP="0088296D">
            <w:r>
              <w:t>All projects</w:t>
            </w:r>
          </w:p>
        </w:tc>
        <w:tc>
          <w:tcPr>
            <w:tcW w:w="1152" w:type="dxa"/>
            <w:vAlign w:val="center"/>
          </w:tcPr>
          <w:p w14:paraId="7A9C1377" w14:textId="77777777" w:rsidR="002501BF" w:rsidRDefault="002501BF" w:rsidP="002501BF"/>
        </w:tc>
      </w:tr>
      <w:tr w:rsidR="00EF3DC4" w14:paraId="65FAC49B" w14:textId="77777777" w:rsidTr="00FF77F0">
        <w:trPr>
          <w:cantSplit/>
          <w:trHeight w:val="432"/>
        </w:trPr>
        <w:tc>
          <w:tcPr>
            <w:tcW w:w="2880" w:type="dxa"/>
            <w:vAlign w:val="center"/>
          </w:tcPr>
          <w:p w14:paraId="1E24F4A5" w14:textId="5EE401C6" w:rsidR="00C016B7" w:rsidRDefault="00C016B7" w:rsidP="00C016B7">
            <w:pPr>
              <w:ind w:left="-23"/>
            </w:pPr>
            <w:r>
              <w:t xml:space="preserve">12(c)2. </w:t>
            </w:r>
            <w:r w:rsidRPr="000D7A4F">
              <w:t>Site Control</w:t>
            </w:r>
          </w:p>
        </w:tc>
        <w:tc>
          <w:tcPr>
            <w:tcW w:w="3600" w:type="dxa"/>
            <w:vAlign w:val="center"/>
          </w:tcPr>
          <w:p w14:paraId="323CCD88" w14:textId="517FC8DD" w:rsidR="00C016B7" w:rsidRDefault="002501BF" w:rsidP="00C016B7">
            <w:r>
              <w:t>Demonstration of Site Control</w:t>
            </w:r>
          </w:p>
        </w:tc>
        <w:tc>
          <w:tcPr>
            <w:tcW w:w="3168" w:type="dxa"/>
            <w:vAlign w:val="center"/>
          </w:tcPr>
          <w:p w14:paraId="04B4CB6D" w14:textId="482976FA" w:rsidR="00C016B7" w:rsidRDefault="00C016B7" w:rsidP="00C016B7">
            <w:r>
              <w:t xml:space="preserve">All </w:t>
            </w:r>
            <w:r w:rsidR="0088296D">
              <w:t>p</w:t>
            </w:r>
            <w:r>
              <w:t>rojects</w:t>
            </w:r>
          </w:p>
        </w:tc>
        <w:tc>
          <w:tcPr>
            <w:tcW w:w="1152" w:type="dxa"/>
            <w:vAlign w:val="center"/>
          </w:tcPr>
          <w:p w14:paraId="26ECD02B" w14:textId="77777777" w:rsidR="00C016B7" w:rsidRDefault="00C016B7" w:rsidP="00C016B7"/>
        </w:tc>
      </w:tr>
      <w:tr w:rsidR="000273C1" w14:paraId="54089B13" w14:textId="77777777" w:rsidTr="00FF77F0">
        <w:trPr>
          <w:cantSplit/>
          <w:trHeight w:val="432"/>
        </w:trPr>
        <w:tc>
          <w:tcPr>
            <w:tcW w:w="2880" w:type="dxa"/>
            <w:vAlign w:val="center"/>
          </w:tcPr>
          <w:p w14:paraId="134A3D1C" w14:textId="77777777" w:rsidR="000273C1" w:rsidRDefault="000273C1" w:rsidP="00C016B7">
            <w:pPr>
              <w:ind w:left="-23"/>
            </w:pPr>
          </w:p>
        </w:tc>
        <w:tc>
          <w:tcPr>
            <w:tcW w:w="3600" w:type="dxa"/>
            <w:vAlign w:val="center"/>
          </w:tcPr>
          <w:p w14:paraId="22172893" w14:textId="2F33DF57" w:rsidR="000273C1" w:rsidRDefault="002501BF" w:rsidP="00C016B7">
            <w:r>
              <w:t>Current Owner’s Recorded Deed(s) (</w:t>
            </w:r>
            <w:r w:rsidR="00EF3DC4">
              <w:t>o</w:t>
            </w:r>
            <w:r>
              <w:t xml:space="preserve">r </w:t>
            </w:r>
            <w:r w:rsidR="00EF3DC4">
              <w:t>e</w:t>
            </w:r>
            <w:r>
              <w:t>quivalent)</w:t>
            </w:r>
          </w:p>
        </w:tc>
        <w:tc>
          <w:tcPr>
            <w:tcW w:w="3168" w:type="dxa"/>
            <w:vAlign w:val="center"/>
          </w:tcPr>
          <w:p w14:paraId="6D7C5B3A" w14:textId="44ADC769" w:rsidR="000273C1" w:rsidRDefault="002501BF" w:rsidP="00C016B7">
            <w:r>
              <w:t xml:space="preserve">All </w:t>
            </w:r>
            <w:r w:rsidR="0088296D">
              <w:t>p</w:t>
            </w:r>
            <w:r>
              <w:t>rojects</w:t>
            </w:r>
          </w:p>
        </w:tc>
        <w:tc>
          <w:tcPr>
            <w:tcW w:w="1152" w:type="dxa"/>
            <w:vAlign w:val="center"/>
          </w:tcPr>
          <w:p w14:paraId="56C4B961" w14:textId="77777777" w:rsidR="000273C1" w:rsidRDefault="000273C1" w:rsidP="00C016B7"/>
        </w:tc>
      </w:tr>
      <w:tr w:rsidR="00EF3DC4" w14:paraId="5E2212C8" w14:textId="77777777" w:rsidTr="00FF77F0">
        <w:trPr>
          <w:cantSplit/>
          <w:trHeight w:val="432"/>
        </w:trPr>
        <w:tc>
          <w:tcPr>
            <w:tcW w:w="2880" w:type="dxa"/>
            <w:vAlign w:val="center"/>
          </w:tcPr>
          <w:p w14:paraId="605556FB" w14:textId="47DC3D69" w:rsidR="00C016B7" w:rsidRDefault="00C016B7" w:rsidP="00C016B7">
            <w:pPr>
              <w:ind w:left="-23"/>
            </w:pPr>
            <w:r>
              <w:t xml:space="preserve">12(c)3. </w:t>
            </w:r>
            <w:r w:rsidRPr="000D7A4F">
              <w:t>Site Plan Approval</w:t>
            </w:r>
          </w:p>
        </w:tc>
        <w:tc>
          <w:tcPr>
            <w:tcW w:w="3600" w:type="dxa"/>
            <w:vAlign w:val="center"/>
          </w:tcPr>
          <w:p w14:paraId="2E1A59E3" w14:textId="0CDE66F5" w:rsidR="00C016B7" w:rsidRDefault="0088296D" w:rsidP="00C016B7">
            <w:r>
              <w:t>Preliminary / Final Site Plan Resolution</w:t>
            </w:r>
          </w:p>
        </w:tc>
        <w:tc>
          <w:tcPr>
            <w:tcW w:w="3168" w:type="dxa"/>
            <w:vAlign w:val="center"/>
          </w:tcPr>
          <w:p w14:paraId="4BDE2710" w14:textId="7DD2D633" w:rsidR="00C016B7" w:rsidRDefault="00E40BE0" w:rsidP="00C016B7">
            <w:r>
              <w:t>Projects NOT submitting a Municipal Exemption Letter</w:t>
            </w:r>
          </w:p>
        </w:tc>
        <w:tc>
          <w:tcPr>
            <w:tcW w:w="1152" w:type="dxa"/>
            <w:vAlign w:val="center"/>
          </w:tcPr>
          <w:p w14:paraId="248D5C7E" w14:textId="77777777" w:rsidR="00C016B7" w:rsidRDefault="00C016B7" w:rsidP="00C016B7"/>
        </w:tc>
      </w:tr>
      <w:tr w:rsidR="002501BF" w14:paraId="34D28DED" w14:textId="77777777" w:rsidTr="00FF77F0">
        <w:trPr>
          <w:cantSplit/>
          <w:trHeight w:val="432"/>
        </w:trPr>
        <w:tc>
          <w:tcPr>
            <w:tcW w:w="2880" w:type="dxa"/>
            <w:vAlign w:val="center"/>
          </w:tcPr>
          <w:p w14:paraId="40EF9975" w14:textId="77777777" w:rsidR="002501BF" w:rsidRDefault="002501BF" w:rsidP="00C016B7">
            <w:pPr>
              <w:ind w:left="-23"/>
            </w:pPr>
          </w:p>
        </w:tc>
        <w:tc>
          <w:tcPr>
            <w:tcW w:w="3600" w:type="dxa"/>
            <w:vAlign w:val="center"/>
          </w:tcPr>
          <w:p w14:paraId="42DF0248" w14:textId="626786E2" w:rsidR="002501BF" w:rsidRDefault="002501BF" w:rsidP="00C016B7">
            <w:r>
              <w:t>Municipal Exemption Letter</w:t>
            </w:r>
          </w:p>
        </w:tc>
        <w:tc>
          <w:tcPr>
            <w:tcW w:w="3168" w:type="dxa"/>
            <w:vAlign w:val="center"/>
          </w:tcPr>
          <w:p w14:paraId="006769C3" w14:textId="0DEF2F2B" w:rsidR="002501BF" w:rsidRDefault="0088296D" w:rsidP="00C016B7">
            <w:r>
              <w:t>Rehab AND not required to obtain municipal site plan approval</w:t>
            </w:r>
          </w:p>
        </w:tc>
        <w:tc>
          <w:tcPr>
            <w:tcW w:w="1152" w:type="dxa"/>
            <w:vAlign w:val="center"/>
          </w:tcPr>
          <w:p w14:paraId="1A511D02" w14:textId="77777777" w:rsidR="002501BF" w:rsidRDefault="002501BF" w:rsidP="00C016B7"/>
        </w:tc>
      </w:tr>
      <w:tr w:rsidR="0088296D" w14:paraId="4CBEA8DA" w14:textId="77777777" w:rsidTr="00FF77F0">
        <w:trPr>
          <w:cantSplit/>
          <w:trHeight w:val="432"/>
        </w:trPr>
        <w:tc>
          <w:tcPr>
            <w:tcW w:w="2880" w:type="dxa"/>
            <w:vAlign w:val="center"/>
          </w:tcPr>
          <w:p w14:paraId="6D351A26" w14:textId="77777777" w:rsidR="0088296D" w:rsidRDefault="0088296D" w:rsidP="00C016B7">
            <w:pPr>
              <w:ind w:left="-23"/>
            </w:pPr>
          </w:p>
        </w:tc>
        <w:tc>
          <w:tcPr>
            <w:tcW w:w="3600" w:type="dxa"/>
            <w:vAlign w:val="center"/>
          </w:tcPr>
          <w:p w14:paraId="2939288B" w14:textId="5CD7240B" w:rsidR="0088296D" w:rsidRDefault="0088296D" w:rsidP="00C016B7">
            <w:r>
              <w:t>All Other Approvals</w:t>
            </w:r>
          </w:p>
        </w:tc>
        <w:tc>
          <w:tcPr>
            <w:tcW w:w="3168" w:type="dxa"/>
            <w:vAlign w:val="center"/>
          </w:tcPr>
          <w:p w14:paraId="10D51A9D" w14:textId="0E9117E6" w:rsidR="0088296D" w:rsidRDefault="0088296D" w:rsidP="00C016B7">
            <w:r>
              <w:t>All projects</w:t>
            </w:r>
          </w:p>
        </w:tc>
        <w:tc>
          <w:tcPr>
            <w:tcW w:w="1152" w:type="dxa"/>
            <w:vAlign w:val="center"/>
          </w:tcPr>
          <w:p w14:paraId="5A6AC2C3" w14:textId="77777777" w:rsidR="0088296D" w:rsidRDefault="0088296D" w:rsidP="00C016B7"/>
        </w:tc>
      </w:tr>
      <w:tr w:rsidR="00EF3DC4" w14:paraId="42BB455D" w14:textId="77777777" w:rsidTr="00FF77F0">
        <w:trPr>
          <w:cantSplit/>
          <w:trHeight w:val="432"/>
        </w:trPr>
        <w:tc>
          <w:tcPr>
            <w:tcW w:w="2880" w:type="dxa"/>
            <w:vAlign w:val="center"/>
          </w:tcPr>
          <w:p w14:paraId="5C3767A8" w14:textId="3A422E9C" w:rsidR="00C016B7" w:rsidRDefault="00C016B7" w:rsidP="00C016B7">
            <w:pPr>
              <w:ind w:left="-23"/>
            </w:pPr>
            <w:r>
              <w:t xml:space="preserve">12(c)4. </w:t>
            </w:r>
            <w:r w:rsidRPr="000D7A4F">
              <w:t>Environmental Certification</w:t>
            </w:r>
          </w:p>
        </w:tc>
        <w:tc>
          <w:tcPr>
            <w:tcW w:w="3600" w:type="dxa"/>
            <w:vAlign w:val="center"/>
          </w:tcPr>
          <w:p w14:paraId="7A5EACB3" w14:textId="66FDFEF5" w:rsidR="00C016B7" w:rsidRDefault="0088296D" w:rsidP="00C016B7">
            <w:r>
              <w:t>Disclosure of Known Environmental Conditions / Constraints</w:t>
            </w:r>
          </w:p>
        </w:tc>
        <w:tc>
          <w:tcPr>
            <w:tcW w:w="3168" w:type="dxa"/>
            <w:vAlign w:val="center"/>
          </w:tcPr>
          <w:p w14:paraId="4952914C" w14:textId="6EA1FA17" w:rsidR="00C016B7" w:rsidRDefault="0088296D" w:rsidP="00C016B7">
            <w:r>
              <w:t>All projects</w:t>
            </w:r>
          </w:p>
        </w:tc>
        <w:tc>
          <w:tcPr>
            <w:tcW w:w="1152" w:type="dxa"/>
            <w:vAlign w:val="center"/>
          </w:tcPr>
          <w:p w14:paraId="7F9CF04A" w14:textId="77777777" w:rsidR="00C016B7" w:rsidRDefault="00C016B7" w:rsidP="00C016B7"/>
        </w:tc>
      </w:tr>
      <w:tr w:rsidR="0088296D" w14:paraId="46305186" w14:textId="77777777" w:rsidTr="00FF77F0">
        <w:trPr>
          <w:cantSplit/>
          <w:trHeight w:val="432"/>
        </w:trPr>
        <w:tc>
          <w:tcPr>
            <w:tcW w:w="2880" w:type="dxa"/>
            <w:vAlign w:val="center"/>
          </w:tcPr>
          <w:p w14:paraId="752A2291" w14:textId="77777777" w:rsidR="0088296D" w:rsidRDefault="0088296D" w:rsidP="00C016B7">
            <w:pPr>
              <w:ind w:left="-23"/>
            </w:pPr>
          </w:p>
        </w:tc>
        <w:tc>
          <w:tcPr>
            <w:tcW w:w="3600" w:type="dxa"/>
            <w:vAlign w:val="center"/>
          </w:tcPr>
          <w:p w14:paraId="6C7D110E" w14:textId="70EA712F" w:rsidR="0088296D" w:rsidRDefault="0088296D" w:rsidP="00C016B7">
            <w:r>
              <w:t xml:space="preserve">Certification </w:t>
            </w:r>
            <w:r w:rsidR="003C0DFA">
              <w:t>t</w:t>
            </w:r>
            <w:r>
              <w:t>hat All Necessary Environmental Approvals Have Been Obtained / Applied For</w:t>
            </w:r>
          </w:p>
        </w:tc>
        <w:tc>
          <w:tcPr>
            <w:tcW w:w="3168" w:type="dxa"/>
            <w:vAlign w:val="center"/>
          </w:tcPr>
          <w:p w14:paraId="15043402" w14:textId="27BB4E96" w:rsidR="0088296D" w:rsidRDefault="0088296D" w:rsidP="00C016B7">
            <w:r>
              <w:t>All projects</w:t>
            </w:r>
          </w:p>
        </w:tc>
        <w:tc>
          <w:tcPr>
            <w:tcW w:w="1152" w:type="dxa"/>
            <w:vAlign w:val="center"/>
          </w:tcPr>
          <w:p w14:paraId="5D4BF62F" w14:textId="77777777" w:rsidR="0088296D" w:rsidRDefault="0088296D" w:rsidP="00C016B7"/>
        </w:tc>
      </w:tr>
      <w:tr w:rsidR="0088296D" w14:paraId="1564B1A4" w14:textId="77777777" w:rsidTr="00FF77F0">
        <w:trPr>
          <w:cantSplit/>
          <w:trHeight w:val="432"/>
        </w:trPr>
        <w:tc>
          <w:tcPr>
            <w:tcW w:w="2880" w:type="dxa"/>
            <w:vAlign w:val="center"/>
          </w:tcPr>
          <w:p w14:paraId="541EB664" w14:textId="77777777" w:rsidR="0088296D" w:rsidRDefault="0088296D" w:rsidP="00C016B7">
            <w:pPr>
              <w:ind w:left="-23"/>
            </w:pPr>
          </w:p>
        </w:tc>
        <w:tc>
          <w:tcPr>
            <w:tcW w:w="3600" w:type="dxa"/>
            <w:vAlign w:val="center"/>
          </w:tcPr>
          <w:p w14:paraId="39480F38" w14:textId="2E0A54F1" w:rsidR="0088296D" w:rsidRDefault="0088296D" w:rsidP="00C016B7">
            <w:r>
              <w:t>Phase I Environmental Study</w:t>
            </w:r>
          </w:p>
        </w:tc>
        <w:tc>
          <w:tcPr>
            <w:tcW w:w="3168" w:type="dxa"/>
            <w:vAlign w:val="center"/>
          </w:tcPr>
          <w:p w14:paraId="1C7C989C" w14:textId="2AAD6650" w:rsidR="0088296D" w:rsidRDefault="0088296D" w:rsidP="00C016B7">
            <w:r>
              <w:t>Projects that want to be eligible for hardship credits</w:t>
            </w:r>
          </w:p>
        </w:tc>
        <w:tc>
          <w:tcPr>
            <w:tcW w:w="1152" w:type="dxa"/>
            <w:vAlign w:val="center"/>
          </w:tcPr>
          <w:p w14:paraId="72F7542A" w14:textId="77777777" w:rsidR="0088296D" w:rsidRDefault="0088296D" w:rsidP="00C016B7"/>
        </w:tc>
      </w:tr>
      <w:tr w:rsidR="00EF3DC4" w14:paraId="12B4E987" w14:textId="77777777" w:rsidTr="00FF77F0">
        <w:trPr>
          <w:cantSplit/>
          <w:trHeight w:val="432"/>
        </w:trPr>
        <w:tc>
          <w:tcPr>
            <w:tcW w:w="2880" w:type="dxa"/>
            <w:vAlign w:val="center"/>
          </w:tcPr>
          <w:p w14:paraId="2560CBA4" w14:textId="435EA86F" w:rsidR="00C016B7" w:rsidRDefault="00C016B7" w:rsidP="00C016B7">
            <w:pPr>
              <w:ind w:left="-23"/>
            </w:pPr>
            <w:r>
              <w:t xml:space="preserve">12(c)5. </w:t>
            </w:r>
            <w:r w:rsidRPr="000D7A4F">
              <w:t>Disclosure of All Financing Information</w:t>
            </w:r>
          </w:p>
        </w:tc>
        <w:tc>
          <w:tcPr>
            <w:tcW w:w="3600" w:type="dxa"/>
            <w:vAlign w:val="center"/>
          </w:tcPr>
          <w:p w14:paraId="2D19B43D" w14:textId="75C3B177" w:rsidR="00C016B7" w:rsidRDefault="00EF3DC4" w:rsidP="00C016B7">
            <w:r>
              <w:t>All Financing Information, Including LOIs and Other Undertakings Not Identified as Funding Sources in the Application</w:t>
            </w:r>
          </w:p>
        </w:tc>
        <w:tc>
          <w:tcPr>
            <w:tcW w:w="3168" w:type="dxa"/>
            <w:vAlign w:val="center"/>
          </w:tcPr>
          <w:p w14:paraId="46A59A5E" w14:textId="53827D89" w:rsidR="00C016B7" w:rsidRDefault="00EF3DC4" w:rsidP="00C016B7">
            <w:r>
              <w:t>All projects</w:t>
            </w:r>
          </w:p>
        </w:tc>
        <w:tc>
          <w:tcPr>
            <w:tcW w:w="1152" w:type="dxa"/>
            <w:vAlign w:val="center"/>
          </w:tcPr>
          <w:p w14:paraId="5A1FD82C" w14:textId="77777777" w:rsidR="00C016B7" w:rsidRDefault="00C016B7" w:rsidP="00C016B7"/>
        </w:tc>
      </w:tr>
      <w:tr w:rsidR="00EF3DC4" w14:paraId="696055B7" w14:textId="77777777" w:rsidTr="00FF77F0">
        <w:trPr>
          <w:cantSplit/>
          <w:trHeight w:val="432"/>
        </w:trPr>
        <w:tc>
          <w:tcPr>
            <w:tcW w:w="2880" w:type="dxa"/>
            <w:vAlign w:val="center"/>
          </w:tcPr>
          <w:p w14:paraId="416F95D7" w14:textId="762EBE0C" w:rsidR="00C016B7" w:rsidRDefault="00C016B7" w:rsidP="00C016B7">
            <w:pPr>
              <w:ind w:left="-23"/>
            </w:pPr>
            <w:r>
              <w:t xml:space="preserve">12(c)6. </w:t>
            </w:r>
            <w:r w:rsidRPr="000D7A4F">
              <w:t>Financing Commitments</w:t>
            </w:r>
          </w:p>
        </w:tc>
        <w:tc>
          <w:tcPr>
            <w:tcW w:w="3600" w:type="dxa"/>
            <w:vAlign w:val="center"/>
          </w:tcPr>
          <w:p w14:paraId="5FEE03ED" w14:textId="5BDD6D5D" w:rsidR="00C016B7" w:rsidRDefault="00EF3DC4" w:rsidP="00C016B7">
            <w:r>
              <w:t>Firm Financial Commitments, Countersigned / Accepted in Writing by the Applicant</w:t>
            </w:r>
          </w:p>
        </w:tc>
        <w:tc>
          <w:tcPr>
            <w:tcW w:w="3168" w:type="dxa"/>
            <w:vAlign w:val="center"/>
          </w:tcPr>
          <w:p w14:paraId="1A1A63EA" w14:textId="06F51BD7" w:rsidR="00C016B7" w:rsidRDefault="00E40BE0" w:rsidP="00C016B7">
            <w:r>
              <w:t>All projects, for a</w:t>
            </w:r>
            <w:r w:rsidR="00EF3DC4">
              <w:t>ll non-HMFA funding sources planned for the project</w:t>
            </w:r>
          </w:p>
        </w:tc>
        <w:tc>
          <w:tcPr>
            <w:tcW w:w="1152" w:type="dxa"/>
            <w:vAlign w:val="center"/>
          </w:tcPr>
          <w:p w14:paraId="0177BB7D" w14:textId="77777777" w:rsidR="00C016B7" w:rsidRDefault="00C016B7" w:rsidP="00C016B7"/>
        </w:tc>
      </w:tr>
      <w:tr w:rsidR="00EF3DC4" w14:paraId="20355E7A" w14:textId="77777777" w:rsidTr="00FF77F0">
        <w:trPr>
          <w:cantSplit/>
          <w:trHeight w:val="432"/>
        </w:trPr>
        <w:tc>
          <w:tcPr>
            <w:tcW w:w="2880" w:type="dxa"/>
            <w:vAlign w:val="center"/>
          </w:tcPr>
          <w:p w14:paraId="415F9DA1" w14:textId="77777777" w:rsidR="00EF3DC4" w:rsidRDefault="00EF3DC4" w:rsidP="00C016B7">
            <w:pPr>
              <w:ind w:left="-23"/>
            </w:pPr>
          </w:p>
        </w:tc>
        <w:tc>
          <w:tcPr>
            <w:tcW w:w="3600" w:type="dxa"/>
            <w:vAlign w:val="center"/>
          </w:tcPr>
          <w:p w14:paraId="0C2F0428" w14:textId="645CE1E0" w:rsidR="00EF3DC4" w:rsidRDefault="00EF3DC4" w:rsidP="00C016B7">
            <w:r>
              <w:t>Preliminary Approval Letter</w:t>
            </w:r>
          </w:p>
        </w:tc>
        <w:tc>
          <w:tcPr>
            <w:tcW w:w="3168" w:type="dxa"/>
            <w:vAlign w:val="center"/>
          </w:tcPr>
          <w:p w14:paraId="02BF1DC5" w14:textId="2CD30219" w:rsidR="00EF3DC4" w:rsidRDefault="00E40BE0" w:rsidP="00C016B7">
            <w:r>
              <w:t xml:space="preserve">All projects, for any </w:t>
            </w:r>
            <w:r w:rsidR="00EF3DC4">
              <w:t>HMFA funding planned for the project</w:t>
            </w:r>
          </w:p>
        </w:tc>
        <w:tc>
          <w:tcPr>
            <w:tcW w:w="1152" w:type="dxa"/>
            <w:vAlign w:val="center"/>
          </w:tcPr>
          <w:p w14:paraId="78E5BA9F" w14:textId="77777777" w:rsidR="00EF3DC4" w:rsidRDefault="00EF3DC4" w:rsidP="00C016B7"/>
        </w:tc>
      </w:tr>
      <w:tr w:rsidR="00EF3DC4" w14:paraId="48E10661" w14:textId="77777777" w:rsidTr="00FF77F0">
        <w:trPr>
          <w:cantSplit/>
          <w:trHeight w:val="432"/>
        </w:trPr>
        <w:tc>
          <w:tcPr>
            <w:tcW w:w="2880" w:type="dxa"/>
            <w:vAlign w:val="center"/>
          </w:tcPr>
          <w:p w14:paraId="2FC54D3C" w14:textId="2CC45E1A" w:rsidR="00C016B7" w:rsidRDefault="00C016B7" w:rsidP="00C016B7">
            <w:pPr>
              <w:ind w:left="-23"/>
            </w:pPr>
            <w:r>
              <w:t xml:space="preserve">12(c)7. </w:t>
            </w:r>
            <w:r w:rsidRPr="000D7A4F">
              <w:t>Financial Feasibility</w:t>
            </w:r>
          </w:p>
        </w:tc>
        <w:tc>
          <w:tcPr>
            <w:tcW w:w="3600" w:type="dxa"/>
            <w:vAlign w:val="center"/>
          </w:tcPr>
          <w:p w14:paraId="74C6DD65" w14:textId="42F2C9CE" w:rsidR="00C016B7" w:rsidRDefault="00EF3DC4" w:rsidP="00C016B7">
            <w:r>
              <w:t>Rent Qualification Chart</w:t>
            </w:r>
          </w:p>
        </w:tc>
        <w:tc>
          <w:tcPr>
            <w:tcW w:w="3168" w:type="dxa"/>
            <w:vAlign w:val="center"/>
          </w:tcPr>
          <w:p w14:paraId="4EBB0F25" w14:textId="6FD29E95" w:rsidR="00C016B7" w:rsidRDefault="00EF3DC4" w:rsidP="00C016B7">
            <w:r>
              <w:t>All projects</w:t>
            </w:r>
          </w:p>
        </w:tc>
        <w:tc>
          <w:tcPr>
            <w:tcW w:w="1152" w:type="dxa"/>
            <w:vAlign w:val="center"/>
          </w:tcPr>
          <w:p w14:paraId="7940E012" w14:textId="77777777" w:rsidR="00C016B7" w:rsidRDefault="00C016B7" w:rsidP="00C016B7"/>
        </w:tc>
      </w:tr>
      <w:tr w:rsidR="00B971E6" w14:paraId="61A0BDC6" w14:textId="77777777" w:rsidTr="00FF77F0">
        <w:trPr>
          <w:cantSplit/>
          <w:trHeight w:val="432"/>
        </w:trPr>
        <w:tc>
          <w:tcPr>
            <w:tcW w:w="2880" w:type="dxa"/>
            <w:vAlign w:val="center"/>
          </w:tcPr>
          <w:p w14:paraId="792B6EA8" w14:textId="77777777" w:rsidR="00B971E6" w:rsidRDefault="00B971E6" w:rsidP="00C016B7">
            <w:pPr>
              <w:ind w:left="-23"/>
            </w:pPr>
          </w:p>
        </w:tc>
        <w:tc>
          <w:tcPr>
            <w:tcW w:w="3600" w:type="dxa"/>
            <w:vAlign w:val="center"/>
          </w:tcPr>
          <w:p w14:paraId="1241263C" w14:textId="24B772AB" w:rsidR="00B971E6" w:rsidRDefault="00B971E6" w:rsidP="00C016B7">
            <w:r>
              <w:t>Evidence for Utility Allowance Calculations</w:t>
            </w:r>
          </w:p>
        </w:tc>
        <w:tc>
          <w:tcPr>
            <w:tcW w:w="3168" w:type="dxa"/>
            <w:vAlign w:val="center"/>
          </w:tcPr>
          <w:p w14:paraId="6864815E" w14:textId="4839986E" w:rsidR="00B971E6" w:rsidRDefault="00B971E6" w:rsidP="00C016B7">
            <w:r>
              <w:t>All projects</w:t>
            </w:r>
          </w:p>
        </w:tc>
        <w:tc>
          <w:tcPr>
            <w:tcW w:w="1152" w:type="dxa"/>
            <w:vAlign w:val="center"/>
          </w:tcPr>
          <w:p w14:paraId="72C3EE7A" w14:textId="77777777" w:rsidR="00B971E6" w:rsidRDefault="00B971E6" w:rsidP="00C016B7"/>
        </w:tc>
      </w:tr>
      <w:tr w:rsidR="00EF3DC4" w14:paraId="50E23E2E" w14:textId="77777777" w:rsidTr="00FF77F0">
        <w:trPr>
          <w:cantSplit/>
          <w:trHeight w:val="432"/>
        </w:trPr>
        <w:tc>
          <w:tcPr>
            <w:tcW w:w="2880" w:type="dxa"/>
            <w:vAlign w:val="center"/>
          </w:tcPr>
          <w:p w14:paraId="55FBB9C0" w14:textId="77777777" w:rsidR="00EF3DC4" w:rsidRDefault="00EF3DC4" w:rsidP="00EF3DC4">
            <w:pPr>
              <w:ind w:left="-23"/>
            </w:pPr>
          </w:p>
        </w:tc>
        <w:tc>
          <w:tcPr>
            <w:tcW w:w="3600" w:type="dxa"/>
            <w:vAlign w:val="center"/>
          </w:tcPr>
          <w:p w14:paraId="3511D005" w14:textId="2B625E93" w:rsidR="00EF3DC4" w:rsidRDefault="00EF3DC4" w:rsidP="00EF3DC4">
            <w:r>
              <w:t>15-Year Cash Flow Pro Forma</w:t>
            </w:r>
          </w:p>
        </w:tc>
        <w:tc>
          <w:tcPr>
            <w:tcW w:w="3168" w:type="dxa"/>
            <w:vAlign w:val="center"/>
          </w:tcPr>
          <w:p w14:paraId="07661E6C" w14:textId="521032D0" w:rsidR="00EF3DC4" w:rsidRDefault="00EF3DC4" w:rsidP="00EF3DC4">
            <w:r>
              <w:t>All projects</w:t>
            </w:r>
          </w:p>
        </w:tc>
        <w:tc>
          <w:tcPr>
            <w:tcW w:w="1152" w:type="dxa"/>
            <w:vAlign w:val="center"/>
          </w:tcPr>
          <w:p w14:paraId="73A9B719" w14:textId="77777777" w:rsidR="00EF3DC4" w:rsidRDefault="00EF3DC4" w:rsidP="00EF3DC4"/>
        </w:tc>
      </w:tr>
      <w:tr w:rsidR="00EF3DC4" w14:paraId="7FCBC50E" w14:textId="77777777" w:rsidTr="00FF77F0">
        <w:trPr>
          <w:cantSplit/>
          <w:trHeight w:val="432"/>
        </w:trPr>
        <w:tc>
          <w:tcPr>
            <w:tcW w:w="2880" w:type="dxa"/>
            <w:vAlign w:val="center"/>
          </w:tcPr>
          <w:p w14:paraId="4004CFB8" w14:textId="77777777" w:rsidR="00EF3DC4" w:rsidRDefault="00EF3DC4" w:rsidP="00EF3DC4">
            <w:pPr>
              <w:ind w:left="-23"/>
            </w:pPr>
          </w:p>
        </w:tc>
        <w:tc>
          <w:tcPr>
            <w:tcW w:w="3600" w:type="dxa"/>
            <w:vAlign w:val="center"/>
          </w:tcPr>
          <w:p w14:paraId="38031C0D" w14:textId="77777777" w:rsidR="00EF3DC4" w:rsidRDefault="00EF3DC4" w:rsidP="00EF3DC4">
            <w:r>
              <w:t>NJHMFA Form 10 Signed by Asset Management; OR</w:t>
            </w:r>
          </w:p>
          <w:p w14:paraId="4AAE4315" w14:textId="77777777" w:rsidR="00EF3DC4" w:rsidRDefault="00EF3DC4" w:rsidP="00EF3DC4"/>
          <w:p w14:paraId="13A1A0CF" w14:textId="5C58A730" w:rsidR="00EF3DC4" w:rsidRDefault="00EF3DC4" w:rsidP="00EF3DC4">
            <w:r>
              <w:t>At Least Two Forms of Data Supporting Operating Expenses</w:t>
            </w:r>
            <w:r w:rsidR="0053459B">
              <w:t xml:space="preserve"> from Pro Forma</w:t>
            </w:r>
          </w:p>
        </w:tc>
        <w:tc>
          <w:tcPr>
            <w:tcW w:w="3168" w:type="dxa"/>
            <w:vAlign w:val="center"/>
          </w:tcPr>
          <w:p w14:paraId="3AA2EC4F" w14:textId="43584D07" w:rsidR="00EF3DC4" w:rsidRDefault="00EF3DC4" w:rsidP="00EF3DC4">
            <w:r>
              <w:t>All projects</w:t>
            </w:r>
          </w:p>
        </w:tc>
        <w:tc>
          <w:tcPr>
            <w:tcW w:w="1152" w:type="dxa"/>
            <w:vAlign w:val="center"/>
          </w:tcPr>
          <w:p w14:paraId="175054A4" w14:textId="77777777" w:rsidR="00EF3DC4" w:rsidRDefault="00EF3DC4" w:rsidP="00EF3DC4"/>
        </w:tc>
      </w:tr>
      <w:tr w:rsidR="003C0DFA" w14:paraId="7420DFC9" w14:textId="77777777" w:rsidTr="00FF77F0">
        <w:trPr>
          <w:cantSplit/>
          <w:trHeight w:val="432"/>
        </w:trPr>
        <w:tc>
          <w:tcPr>
            <w:tcW w:w="2880" w:type="dxa"/>
            <w:vAlign w:val="center"/>
          </w:tcPr>
          <w:p w14:paraId="3FA1E4E3" w14:textId="77777777" w:rsidR="003C0DFA" w:rsidRDefault="003C0DFA" w:rsidP="00EF3DC4">
            <w:pPr>
              <w:ind w:left="-23"/>
            </w:pPr>
          </w:p>
        </w:tc>
        <w:tc>
          <w:tcPr>
            <w:tcW w:w="3600" w:type="dxa"/>
            <w:vAlign w:val="center"/>
          </w:tcPr>
          <w:p w14:paraId="40D6A3C5" w14:textId="61C74D0E" w:rsidR="003C0DFA" w:rsidRDefault="003C0DFA" w:rsidP="00EF3DC4">
            <w:r>
              <w:t xml:space="preserve">Certification </w:t>
            </w:r>
            <w:r w:rsidR="00C72BDF">
              <w:t>of Equitable</w:t>
            </w:r>
            <w:r>
              <w:t xml:space="preserve"> LMI Bedroom Distribution </w:t>
            </w:r>
            <w:r w:rsidR="00C72BDF">
              <w:t>and Spatial Distribution</w:t>
            </w:r>
          </w:p>
        </w:tc>
        <w:tc>
          <w:tcPr>
            <w:tcW w:w="3168" w:type="dxa"/>
            <w:vAlign w:val="center"/>
          </w:tcPr>
          <w:p w14:paraId="0555851A" w14:textId="1E1530FE" w:rsidR="003C0DFA" w:rsidRDefault="003C0DFA" w:rsidP="00EF3DC4">
            <w:r>
              <w:t>Projects with market-rate units</w:t>
            </w:r>
          </w:p>
        </w:tc>
        <w:tc>
          <w:tcPr>
            <w:tcW w:w="1152" w:type="dxa"/>
            <w:vAlign w:val="center"/>
          </w:tcPr>
          <w:p w14:paraId="3CDFE354" w14:textId="77777777" w:rsidR="003C0DFA" w:rsidRDefault="003C0DFA" w:rsidP="00EF3DC4"/>
        </w:tc>
      </w:tr>
      <w:tr w:rsidR="00EF3DC4" w14:paraId="0611C2EF" w14:textId="77777777" w:rsidTr="00FF77F0">
        <w:trPr>
          <w:cantSplit/>
          <w:trHeight w:val="432"/>
        </w:trPr>
        <w:tc>
          <w:tcPr>
            <w:tcW w:w="2880" w:type="dxa"/>
            <w:vAlign w:val="center"/>
          </w:tcPr>
          <w:p w14:paraId="60620D9F" w14:textId="1B29C4AA" w:rsidR="00EF3DC4" w:rsidRDefault="00EF3DC4" w:rsidP="00EF3DC4">
            <w:pPr>
              <w:ind w:left="-23"/>
            </w:pPr>
            <w:r>
              <w:t xml:space="preserve">12(c)8. </w:t>
            </w:r>
            <w:r w:rsidR="003C0DFA">
              <w:t>Future Ready Design</w:t>
            </w:r>
            <w:r w:rsidRPr="000D7A4F">
              <w:t xml:space="preserve"> &amp; </w:t>
            </w:r>
            <w:r>
              <w:t xml:space="preserve">Energy </w:t>
            </w:r>
            <w:r w:rsidRPr="000D7A4F">
              <w:t>Benchmarking</w:t>
            </w:r>
          </w:p>
        </w:tc>
        <w:tc>
          <w:tcPr>
            <w:tcW w:w="3600" w:type="dxa"/>
            <w:vAlign w:val="center"/>
          </w:tcPr>
          <w:p w14:paraId="033EFEB5" w14:textId="328B9CBD" w:rsidR="00EF3DC4" w:rsidRDefault="00B94E1B" w:rsidP="00EF3DC4">
            <w:r>
              <w:t>Signed Contract with Home Energy Rating System (HERS) Rater</w:t>
            </w:r>
          </w:p>
        </w:tc>
        <w:tc>
          <w:tcPr>
            <w:tcW w:w="3168" w:type="dxa"/>
            <w:vAlign w:val="center"/>
          </w:tcPr>
          <w:p w14:paraId="2ED93B2D" w14:textId="29C2BF86" w:rsidR="00EF3DC4" w:rsidRDefault="000B45FB" w:rsidP="00EF3DC4">
            <w:r>
              <w:t>All projects</w:t>
            </w:r>
          </w:p>
        </w:tc>
        <w:tc>
          <w:tcPr>
            <w:tcW w:w="1152" w:type="dxa"/>
            <w:vAlign w:val="center"/>
          </w:tcPr>
          <w:p w14:paraId="5EBFFB1F" w14:textId="77777777" w:rsidR="00EF3DC4" w:rsidRDefault="00EF3DC4" w:rsidP="00EF3DC4"/>
        </w:tc>
      </w:tr>
      <w:tr w:rsidR="00CB2BC7" w14:paraId="455F83BD" w14:textId="77777777" w:rsidTr="00FF77F0">
        <w:trPr>
          <w:cantSplit/>
          <w:trHeight w:val="432"/>
        </w:trPr>
        <w:tc>
          <w:tcPr>
            <w:tcW w:w="2880" w:type="dxa"/>
            <w:vAlign w:val="center"/>
          </w:tcPr>
          <w:p w14:paraId="2BB76136" w14:textId="77777777" w:rsidR="00CB2BC7" w:rsidRDefault="00CB2BC7" w:rsidP="00EF3DC4">
            <w:pPr>
              <w:ind w:left="-23"/>
            </w:pPr>
          </w:p>
        </w:tc>
        <w:tc>
          <w:tcPr>
            <w:tcW w:w="3600" w:type="dxa"/>
            <w:vAlign w:val="center"/>
          </w:tcPr>
          <w:p w14:paraId="35191F9F" w14:textId="5877E879" w:rsidR="00CB2BC7" w:rsidRDefault="00B94E1B" w:rsidP="00EF3DC4">
            <w:r>
              <w:t>Signed Future Ready Design Letter of Intent</w:t>
            </w:r>
          </w:p>
        </w:tc>
        <w:tc>
          <w:tcPr>
            <w:tcW w:w="3168" w:type="dxa"/>
            <w:vAlign w:val="center"/>
          </w:tcPr>
          <w:p w14:paraId="1FDEE9C9" w14:textId="55B49C2A" w:rsidR="00CB2BC7" w:rsidRDefault="000B45FB" w:rsidP="00EF3DC4">
            <w:r>
              <w:t>All projects</w:t>
            </w:r>
          </w:p>
        </w:tc>
        <w:tc>
          <w:tcPr>
            <w:tcW w:w="1152" w:type="dxa"/>
            <w:vAlign w:val="center"/>
          </w:tcPr>
          <w:p w14:paraId="45BB8163" w14:textId="77777777" w:rsidR="00CB2BC7" w:rsidRDefault="00CB2BC7" w:rsidP="00EF3DC4"/>
        </w:tc>
      </w:tr>
      <w:tr w:rsidR="00CB2BC7" w14:paraId="69186E79" w14:textId="77777777" w:rsidTr="00FF77F0">
        <w:trPr>
          <w:cantSplit/>
          <w:trHeight w:val="432"/>
        </w:trPr>
        <w:tc>
          <w:tcPr>
            <w:tcW w:w="2880" w:type="dxa"/>
            <w:vAlign w:val="center"/>
          </w:tcPr>
          <w:p w14:paraId="0BE6F831" w14:textId="77777777" w:rsidR="00CB2BC7" w:rsidRDefault="00CB2BC7" w:rsidP="00EF3DC4">
            <w:pPr>
              <w:ind w:left="-23"/>
            </w:pPr>
          </w:p>
        </w:tc>
        <w:tc>
          <w:tcPr>
            <w:tcW w:w="3600" w:type="dxa"/>
            <w:vAlign w:val="center"/>
          </w:tcPr>
          <w:p w14:paraId="36CC156A" w14:textId="22F71B34" w:rsidR="00CB2BC7" w:rsidRDefault="000B45FB" w:rsidP="00EF3DC4">
            <w:r>
              <w:t>Signed Energy Star Partnership Agreement</w:t>
            </w:r>
          </w:p>
        </w:tc>
        <w:tc>
          <w:tcPr>
            <w:tcW w:w="3168" w:type="dxa"/>
            <w:vAlign w:val="center"/>
          </w:tcPr>
          <w:p w14:paraId="4E5E6464" w14:textId="397FFD00" w:rsidR="00CB2BC7" w:rsidRDefault="000B45FB" w:rsidP="00EF3DC4">
            <w:r>
              <w:t>All projects</w:t>
            </w:r>
          </w:p>
        </w:tc>
        <w:tc>
          <w:tcPr>
            <w:tcW w:w="1152" w:type="dxa"/>
            <w:vAlign w:val="center"/>
          </w:tcPr>
          <w:p w14:paraId="163E24DA" w14:textId="77777777" w:rsidR="00CB2BC7" w:rsidRDefault="00CB2BC7" w:rsidP="00EF3DC4"/>
        </w:tc>
      </w:tr>
      <w:tr w:rsidR="000B45FB" w14:paraId="6573CF0A" w14:textId="77777777" w:rsidTr="00FF77F0">
        <w:trPr>
          <w:cantSplit/>
          <w:trHeight w:val="432"/>
        </w:trPr>
        <w:tc>
          <w:tcPr>
            <w:tcW w:w="2880" w:type="dxa"/>
            <w:vAlign w:val="center"/>
          </w:tcPr>
          <w:p w14:paraId="63BDCB7A" w14:textId="77777777" w:rsidR="000B45FB" w:rsidRDefault="000B45FB" w:rsidP="000B45FB">
            <w:pPr>
              <w:ind w:left="-23"/>
            </w:pPr>
          </w:p>
        </w:tc>
        <w:tc>
          <w:tcPr>
            <w:tcW w:w="3600" w:type="dxa"/>
            <w:vAlign w:val="center"/>
          </w:tcPr>
          <w:p w14:paraId="0333F266" w14:textId="44C5C083" w:rsidR="000B45FB" w:rsidRDefault="000B45FB" w:rsidP="000B45FB">
            <w:r>
              <w:t>Signed Energy Benchmarking Initiative Letter of Intent</w:t>
            </w:r>
          </w:p>
        </w:tc>
        <w:tc>
          <w:tcPr>
            <w:tcW w:w="3168" w:type="dxa"/>
            <w:vAlign w:val="center"/>
          </w:tcPr>
          <w:p w14:paraId="7AE6D5D1" w14:textId="2892B102" w:rsidR="000B45FB" w:rsidRDefault="000B45FB" w:rsidP="000B45FB">
            <w:r>
              <w:t>All projects</w:t>
            </w:r>
          </w:p>
        </w:tc>
        <w:tc>
          <w:tcPr>
            <w:tcW w:w="1152" w:type="dxa"/>
            <w:vAlign w:val="center"/>
          </w:tcPr>
          <w:p w14:paraId="04A5BDED" w14:textId="77777777" w:rsidR="000B45FB" w:rsidRDefault="000B45FB" w:rsidP="000B45FB"/>
        </w:tc>
      </w:tr>
      <w:tr w:rsidR="000B45FB" w14:paraId="0DB25D36" w14:textId="77777777" w:rsidTr="00FF77F0">
        <w:trPr>
          <w:cantSplit/>
          <w:trHeight w:val="432"/>
        </w:trPr>
        <w:tc>
          <w:tcPr>
            <w:tcW w:w="2880" w:type="dxa"/>
            <w:vAlign w:val="center"/>
          </w:tcPr>
          <w:p w14:paraId="2BFFA8FD" w14:textId="77777777" w:rsidR="000B45FB" w:rsidRDefault="000B45FB" w:rsidP="000B45FB">
            <w:pPr>
              <w:ind w:left="-23"/>
            </w:pPr>
          </w:p>
        </w:tc>
        <w:tc>
          <w:tcPr>
            <w:tcW w:w="3600" w:type="dxa"/>
            <w:vAlign w:val="center"/>
          </w:tcPr>
          <w:p w14:paraId="0A02C276" w14:textId="71773E0C" w:rsidR="000B45FB" w:rsidRDefault="000B45FB" w:rsidP="000B45FB">
            <w:r>
              <w:t>Site and Risk Assessment Review Report</w:t>
            </w:r>
          </w:p>
        </w:tc>
        <w:tc>
          <w:tcPr>
            <w:tcW w:w="3168" w:type="dxa"/>
            <w:vAlign w:val="center"/>
          </w:tcPr>
          <w:p w14:paraId="26EAE676" w14:textId="61A42BE3" w:rsidR="000B45FB" w:rsidRDefault="000B45FB" w:rsidP="000B45FB">
            <w:r>
              <w:t>All projects</w:t>
            </w:r>
          </w:p>
        </w:tc>
        <w:tc>
          <w:tcPr>
            <w:tcW w:w="1152" w:type="dxa"/>
            <w:vAlign w:val="center"/>
          </w:tcPr>
          <w:p w14:paraId="1C97FC2F" w14:textId="77777777" w:rsidR="000B45FB" w:rsidRDefault="000B45FB" w:rsidP="000B45FB"/>
        </w:tc>
      </w:tr>
      <w:tr w:rsidR="000B45FB" w14:paraId="1E0955E7" w14:textId="77777777" w:rsidTr="00FF77F0">
        <w:trPr>
          <w:cantSplit/>
          <w:trHeight w:val="432"/>
        </w:trPr>
        <w:tc>
          <w:tcPr>
            <w:tcW w:w="2880" w:type="dxa"/>
            <w:vAlign w:val="center"/>
          </w:tcPr>
          <w:p w14:paraId="5E77993E" w14:textId="77777777" w:rsidR="000B45FB" w:rsidRDefault="000B45FB" w:rsidP="000B45FB">
            <w:pPr>
              <w:ind w:left="-23"/>
            </w:pPr>
          </w:p>
        </w:tc>
        <w:tc>
          <w:tcPr>
            <w:tcW w:w="3600" w:type="dxa"/>
            <w:vAlign w:val="center"/>
          </w:tcPr>
          <w:p w14:paraId="2D3EC67A" w14:textId="1394983E" w:rsidR="000B45FB" w:rsidRDefault="000B45FB" w:rsidP="000B45FB">
            <w:r>
              <w:t>Site Plan Delineating Measured Distances</w:t>
            </w:r>
          </w:p>
        </w:tc>
        <w:tc>
          <w:tcPr>
            <w:tcW w:w="3168" w:type="dxa"/>
            <w:vAlign w:val="center"/>
          </w:tcPr>
          <w:p w14:paraId="5C50FFD3" w14:textId="07D780AF" w:rsidR="000B45FB" w:rsidRDefault="000B45FB" w:rsidP="000B45FB">
            <w:r>
              <w:t>Projects with residential buildings within 1,000 feet of a large warehouse facility</w:t>
            </w:r>
          </w:p>
        </w:tc>
        <w:tc>
          <w:tcPr>
            <w:tcW w:w="1152" w:type="dxa"/>
            <w:vAlign w:val="center"/>
          </w:tcPr>
          <w:p w14:paraId="2A7322C3" w14:textId="77777777" w:rsidR="000B45FB" w:rsidRDefault="000B45FB" w:rsidP="000B45FB"/>
        </w:tc>
      </w:tr>
      <w:tr w:rsidR="00CB2BC7" w14:paraId="4836E51D" w14:textId="77777777" w:rsidTr="00FF77F0">
        <w:trPr>
          <w:cantSplit/>
          <w:trHeight w:val="432"/>
        </w:trPr>
        <w:tc>
          <w:tcPr>
            <w:tcW w:w="2880" w:type="dxa"/>
            <w:vAlign w:val="center"/>
          </w:tcPr>
          <w:p w14:paraId="2AB9E689" w14:textId="77777777" w:rsidR="00CB2BC7" w:rsidRDefault="00CB2BC7" w:rsidP="00EF3DC4">
            <w:pPr>
              <w:ind w:left="-23"/>
            </w:pPr>
          </w:p>
        </w:tc>
        <w:tc>
          <w:tcPr>
            <w:tcW w:w="3600" w:type="dxa"/>
            <w:vAlign w:val="center"/>
          </w:tcPr>
          <w:p w14:paraId="38CDD649" w14:textId="67BB26B6" w:rsidR="00CB2BC7" w:rsidRDefault="000B45FB" w:rsidP="00EF3DC4">
            <w:r>
              <w:t>Environmental Stressor Performance Standards Compliance Report</w:t>
            </w:r>
          </w:p>
        </w:tc>
        <w:tc>
          <w:tcPr>
            <w:tcW w:w="3168" w:type="dxa"/>
            <w:vAlign w:val="center"/>
          </w:tcPr>
          <w:p w14:paraId="4BA2710E" w14:textId="7EC43808" w:rsidR="00CB2BC7" w:rsidRDefault="000B45FB" w:rsidP="00EF3DC4">
            <w:r>
              <w:t>Projects with residential buildings within 1,000 feet of a large warehouse facility</w:t>
            </w:r>
          </w:p>
        </w:tc>
        <w:tc>
          <w:tcPr>
            <w:tcW w:w="1152" w:type="dxa"/>
            <w:vAlign w:val="center"/>
          </w:tcPr>
          <w:p w14:paraId="31D80B51" w14:textId="77777777" w:rsidR="00CB2BC7" w:rsidRDefault="00CB2BC7" w:rsidP="00EF3DC4"/>
        </w:tc>
      </w:tr>
      <w:tr w:rsidR="00EF3DC4" w14:paraId="6885738F" w14:textId="77777777" w:rsidTr="00FF77F0">
        <w:trPr>
          <w:cantSplit/>
          <w:trHeight w:val="432"/>
        </w:trPr>
        <w:tc>
          <w:tcPr>
            <w:tcW w:w="2880" w:type="dxa"/>
            <w:vAlign w:val="center"/>
          </w:tcPr>
          <w:p w14:paraId="74944CF4" w14:textId="78D1C131" w:rsidR="00EF3DC4" w:rsidRDefault="00EF3DC4" w:rsidP="00EF3DC4">
            <w:pPr>
              <w:ind w:left="-23"/>
            </w:pPr>
            <w:r>
              <w:t xml:space="preserve">12(c)9. </w:t>
            </w:r>
            <w:r w:rsidRPr="000D7A4F">
              <w:t>Certified Property Manager</w:t>
            </w:r>
          </w:p>
        </w:tc>
        <w:tc>
          <w:tcPr>
            <w:tcW w:w="3600" w:type="dxa"/>
            <w:vAlign w:val="center"/>
          </w:tcPr>
          <w:p w14:paraId="718761DB" w14:textId="3E8A5B49" w:rsidR="00EF3DC4" w:rsidRDefault="000B45FB" w:rsidP="00EF3DC4">
            <w:r>
              <w:t>Applicant Pledge</w:t>
            </w:r>
          </w:p>
        </w:tc>
        <w:tc>
          <w:tcPr>
            <w:tcW w:w="3168" w:type="dxa"/>
            <w:vAlign w:val="center"/>
          </w:tcPr>
          <w:p w14:paraId="0EC41B89" w14:textId="5FDCDF4A" w:rsidR="00EF3DC4" w:rsidRDefault="00CB2BC7" w:rsidP="00EF3DC4">
            <w:r>
              <w:t>All projects</w:t>
            </w:r>
          </w:p>
        </w:tc>
        <w:tc>
          <w:tcPr>
            <w:tcW w:w="1152" w:type="dxa"/>
            <w:vAlign w:val="center"/>
          </w:tcPr>
          <w:p w14:paraId="1461018E" w14:textId="77777777" w:rsidR="00EF3DC4" w:rsidRDefault="00EF3DC4" w:rsidP="00EF3DC4"/>
        </w:tc>
      </w:tr>
      <w:tr w:rsidR="00EF3DC4" w14:paraId="78B439DE" w14:textId="77777777" w:rsidTr="00FF77F0">
        <w:trPr>
          <w:cantSplit/>
          <w:trHeight w:val="432"/>
        </w:trPr>
        <w:tc>
          <w:tcPr>
            <w:tcW w:w="2880" w:type="dxa"/>
            <w:vAlign w:val="center"/>
          </w:tcPr>
          <w:p w14:paraId="42F7065A" w14:textId="2EAB6DBB" w:rsidR="00EF3DC4" w:rsidRDefault="00EF3DC4" w:rsidP="00EF3DC4">
            <w:pPr>
              <w:ind w:left="-23"/>
            </w:pPr>
            <w:r>
              <w:t xml:space="preserve">12(c)10. </w:t>
            </w:r>
            <w:r w:rsidRPr="000D7A4F">
              <w:t>Acquisition Credits</w:t>
            </w:r>
          </w:p>
        </w:tc>
        <w:tc>
          <w:tcPr>
            <w:tcW w:w="3600" w:type="dxa"/>
            <w:vAlign w:val="center"/>
          </w:tcPr>
          <w:p w14:paraId="3B08343F" w14:textId="3FB8E0CC" w:rsidR="00EF3DC4" w:rsidRDefault="000B45FB" w:rsidP="00EF3DC4">
            <w:r>
              <w:t>Attorney Opinion Letter</w:t>
            </w:r>
          </w:p>
        </w:tc>
        <w:tc>
          <w:tcPr>
            <w:tcW w:w="3168" w:type="dxa"/>
            <w:vAlign w:val="center"/>
          </w:tcPr>
          <w:p w14:paraId="49D28DB3" w14:textId="72C92F41" w:rsidR="00EF3DC4" w:rsidRDefault="00CB2BC7" w:rsidP="00EF3DC4">
            <w:r>
              <w:t>Projects seeking acquisition credits</w:t>
            </w:r>
          </w:p>
        </w:tc>
        <w:tc>
          <w:tcPr>
            <w:tcW w:w="1152" w:type="dxa"/>
            <w:vAlign w:val="center"/>
          </w:tcPr>
          <w:p w14:paraId="2D92EDA9" w14:textId="77777777" w:rsidR="00EF3DC4" w:rsidRDefault="00EF3DC4" w:rsidP="00EF3DC4"/>
        </w:tc>
      </w:tr>
      <w:tr w:rsidR="000B45FB" w14:paraId="1E2F1040" w14:textId="77777777" w:rsidTr="00FF77F0">
        <w:trPr>
          <w:cantSplit/>
          <w:trHeight w:val="432"/>
        </w:trPr>
        <w:tc>
          <w:tcPr>
            <w:tcW w:w="2880" w:type="dxa"/>
            <w:vAlign w:val="center"/>
          </w:tcPr>
          <w:p w14:paraId="09BD9517" w14:textId="77777777" w:rsidR="000B45FB" w:rsidRDefault="000B45FB" w:rsidP="00EF3DC4">
            <w:pPr>
              <w:ind w:left="-23"/>
            </w:pPr>
          </w:p>
        </w:tc>
        <w:tc>
          <w:tcPr>
            <w:tcW w:w="3600" w:type="dxa"/>
            <w:vAlign w:val="center"/>
          </w:tcPr>
          <w:p w14:paraId="490D38F8" w14:textId="6C2EE6B4" w:rsidR="000B45FB" w:rsidRDefault="000B45FB" w:rsidP="00EF3DC4">
            <w:r>
              <w:t>Recent Appraisal</w:t>
            </w:r>
          </w:p>
        </w:tc>
        <w:tc>
          <w:tcPr>
            <w:tcW w:w="3168" w:type="dxa"/>
            <w:vAlign w:val="center"/>
          </w:tcPr>
          <w:p w14:paraId="1B4F62FB" w14:textId="5606E905" w:rsidR="000B45FB" w:rsidRDefault="000B45FB" w:rsidP="00EF3DC4">
            <w:r>
              <w:t>Projects seeking acquisition credits</w:t>
            </w:r>
          </w:p>
        </w:tc>
        <w:tc>
          <w:tcPr>
            <w:tcW w:w="1152" w:type="dxa"/>
            <w:vAlign w:val="center"/>
          </w:tcPr>
          <w:p w14:paraId="4F94E557" w14:textId="77777777" w:rsidR="000B45FB" w:rsidRDefault="000B45FB" w:rsidP="00EF3DC4"/>
        </w:tc>
      </w:tr>
      <w:tr w:rsidR="00EF3DC4" w14:paraId="63D12274" w14:textId="77777777" w:rsidTr="00FF77F0">
        <w:trPr>
          <w:cantSplit/>
          <w:trHeight w:val="432"/>
        </w:trPr>
        <w:tc>
          <w:tcPr>
            <w:tcW w:w="2880" w:type="dxa"/>
            <w:vAlign w:val="center"/>
          </w:tcPr>
          <w:p w14:paraId="52003B31" w14:textId="0F8E485B" w:rsidR="00EF3DC4" w:rsidRDefault="00EF3DC4" w:rsidP="00EF3DC4">
            <w:pPr>
              <w:ind w:left="-23"/>
            </w:pPr>
            <w:r>
              <w:t xml:space="preserve">12(c)11. </w:t>
            </w:r>
            <w:r w:rsidRPr="000D7A4F">
              <w:t>Step-in-the-Shoes Basis</w:t>
            </w:r>
          </w:p>
        </w:tc>
        <w:tc>
          <w:tcPr>
            <w:tcW w:w="3600" w:type="dxa"/>
            <w:vAlign w:val="center"/>
          </w:tcPr>
          <w:p w14:paraId="72328859" w14:textId="3CAEDD2B" w:rsidR="00EF3DC4" w:rsidRDefault="000B45FB" w:rsidP="00EF3DC4">
            <w:r>
              <w:t>Itemized Breakdown of Step-in-the-Shoes Costs</w:t>
            </w:r>
          </w:p>
        </w:tc>
        <w:tc>
          <w:tcPr>
            <w:tcW w:w="3168" w:type="dxa"/>
            <w:vAlign w:val="center"/>
          </w:tcPr>
          <w:p w14:paraId="03B242ED" w14:textId="2C9C50C6" w:rsidR="00EF3DC4" w:rsidRDefault="00063364" w:rsidP="00EF3DC4">
            <w:r>
              <w:t>Projects claiming a prior owner’s expenditures in basis</w:t>
            </w:r>
          </w:p>
        </w:tc>
        <w:tc>
          <w:tcPr>
            <w:tcW w:w="1152" w:type="dxa"/>
            <w:vAlign w:val="center"/>
          </w:tcPr>
          <w:p w14:paraId="68BE33AB" w14:textId="77777777" w:rsidR="00EF3DC4" w:rsidRDefault="00EF3DC4" w:rsidP="00EF3DC4"/>
        </w:tc>
      </w:tr>
      <w:tr w:rsidR="000B45FB" w14:paraId="46C53D55" w14:textId="77777777" w:rsidTr="00FF77F0">
        <w:trPr>
          <w:cantSplit/>
          <w:trHeight w:val="432"/>
        </w:trPr>
        <w:tc>
          <w:tcPr>
            <w:tcW w:w="2880" w:type="dxa"/>
            <w:vAlign w:val="center"/>
          </w:tcPr>
          <w:p w14:paraId="03290367" w14:textId="77777777" w:rsidR="000B45FB" w:rsidRDefault="000B45FB" w:rsidP="00EF3DC4">
            <w:pPr>
              <w:ind w:left="-23"/>
            </w:pPr>
          </w:p>
        </w:tc>
        <w:tc>
          <w:tcPr>
            <w:tcW w:w="3600" w:type="dxa"/>
            <w:vAlign w:val="center"/>
          </w:tcPr>
          <w:p w14:paraId="57742E0E" w14:textId="38D45EB7" w:rsidR="000B45FB" w:rsidRDefault="000B45FB" w:rsidP="00EF3DC4">
            <w:r>
              <w:t>CPA Certification</w:t>
            </w:r>
          </w:p>
        </w:tc>
        <w:tc>
          <w:tcPr>
            <w:tcW w:w="3168" w:type="dxa"/>
            <w:vAlign w:val="center"/>
          </w:tcPr>
          <w:p w14:paraId="1F17AC4D" w14:textId="31436D7D" w:rsidR="000B45FB" w:rsidRDefault="000B45FB" w:rsidP="00EF3DC4">
            <w:r>
              <w:t>Projects claiming a prior owner’s expenditures in basis</w:t>
            </w:r>
          </w:p>
        </w:tc>
        <w:tc>
          <w:tcPr>
            <w:tcW w:w="1152" w:type="dxa"/>
            <w:vAlign w:val="center"/>
          </w:tcPr>
          <w:p w14:paraId="6A39CEF3" w14:textId="77777777" w:rsidR="000B45FB" w:rsidRDefault="000B45FB" w:rsidP="00EF3DC4"/>
        </w:tc>
      </w:tr>
      <w:tr w:rsidR="00EF3DC4" w14:paraId="2CE63595" w14:textId="77777777" w:rsidTr="00FF77F0">
        <w:trPr>
          <w:cantSplit/>
          <w:trHeight w:val="432"/>
        </w:trPr>
        <w:tc>
          <w:tcPr>
            <w:tcW w:w="2880" w:type="dxa"/>
            <w:vAlign w:val="center"/>
          </w:tcPr>
          <w:p w14:paraId="4A5153ED" w14:textId="5993E591" w:rsidR="00EF3DC4" w:rsidRDefault="00EF3DC4" w:rsidP="00EF3DC4">
            <w:pPr>
              <w:ind w:left="-23"/>
            </w:pPr>
            <w:r>
              <w:t xml:space="preserve">12(c)12. </w:t>
            </w:r>
            <w:r w:rsidRPr="000D7A4F">
              <w:t>USDA Rural Development</w:t>
            </w:r>
          </w:p>
        </w:tc>
        <w:tc>
          <w:tcPr>
            <w:tcW w:w="3600" w:type="dxa"/>
            <w:vAlign w:val="center"/>
          </w:tcPr>
          <w:p w14:paraId="499A4166" w14:textId="7A40F9DB" w:rsidR="00EF3DC4" w:rsidRDefault="000B45FB" w:rsidP="00EF3DC4">
            <w:r>
              <w:t>Letter from State Director Approving the Loan and Stating that the Funds Have Been Obligated</w:t>
            </w:r>
          </w:p>
        </w:tc>
        <w:tc>
          <w:tcPr>
            <w:tcW w:w="3168" w:type="dxa"/>
            <w:vAlign w:val="center"/>
          </w:tcPr>
          <w:p w14:paraId="7AC2FC15" w14:textId="3A414075" w:rsidR="00EF3DC4" w:rsidRDefault="00063364" w:rsidP="00EF3DC4">
            <w:r>
              <w:t>Projects funded by USDA Rural Development</w:t>
            </w:r>
          </w:p>
        </w:tc>
        <w:tc>
          <w:tcPr>
            <w:tcW w:w="1152" w:type="dxa"/>
            <w:vAlign w:val="center"/>
          </w:tcPr>
          <w:p w14:paraId="254D98A8" w14:textId="77777777" w:rsidR="00EF3DC4" w:rsidRDefault="00EF3DC4" w:rsidP="00EF3DC4"/>
        </w:tc>
      </w:tr>
      <w:tr w:rsidR="00EF3DC4" w14:paraId="733D649C" w14:textId="77777777" w:rsidTr="00FF77F0">
        <w:trPr>
          <w:cantSplit/>
          <w:trHeight w:val="432"/>
        </w:trPr>
        <w:tc>
          <w:tcPr>
            <w:tcW w:w="2880" w:type="dxa"/>
            <w:vAlign w:val="center"/>
          </w:tcPr>
          <w:p w14:paraId="4DB9850E" w14:textId="7AB83506" w:rsidR="00EF3DC4" w:rsidRDefault="00EF3DC4" w:rsidP="00EF3DC4">
            <w:pPr>
              <w:ind w:left="-23"/>
            </w:pPr>
            <w:r>
              <w:t xml:space="preserve">12(c)13. </w:t>
            </w:r>
            <w:r w:rsidRPr="000D7A4F">
              <w:t>Rental Assistance</w:t>
            </w:r>
          </w:p>
        </w:tc>
        <w:tc>
          <w:tcPr>
            <w:tcW w:w="3600" w:type="dxa"/>
            <w:vAlign w:val="center"/>
          </w:tcPr>
          <w:p w14:paraId="42B9FD16" w14:textId="247BD184" w:rsidR="00EF3DC4" w:rsidRDefault="000B45FB" w:rsidP="00EF3DC4">
            <w:r>
              <w:t>PHA Letter / Commitment; OR</w:t>
            </w:r>
          </w:p>
          <w:p w14:paraId="7B37CBFE" w14:textId="77777777" w:rsidR="000B45FB" w:rsidRDefault="000B45FB" w:rsidP="00EF3DC4"/>
          <w:p w14:paraId="20178982" w14:textId="77777777" w:rsidR="000B45FB" w:rsidRDefault="000B45FB" w:rsidP="00EF3DC4">
            <w:r>
              <w:t>AFL-CIO Preliminary Commitment; OR</w:t>
            </w:r>
          </w:p>
          <w:p w14:paraId="730D2BD8" w14:textId="77777777" w:rsidR="000B45FB" w:rsidRDefault="000B45FB" w:rsidP="00EF3DC4"/>
          <w:p w14:paraId="1A3AEBA7" w14:textId="77777777" w:rsidR="000B45FB" w:rsidRDefault="000B45FB" w:rsidP="00EF3DC4">
            <w:r>
              <w:t>Division of Asset Management Commitment Letter; OR</w:t>
            </w:r>
          </w:p>
          <w:p w14:paraId="5827729D" w14:textId="77777777" w:rsidR="000B45FB" w:rsidRDefault="000B45FB" w:rsidP="00EF3DC4"/>
          <w:p w14:paraId="4E5C510B" w14:textId="43F88C51" w:rsidR="000B45FB" w:rsidRDefault="000B45FB" w:rsidP="00EF3DC4">
            <w:r>
              <w:t>Executed Rental Assistance Contract Specifying Source and Terms of the Subsidy</w:t>
            </w:r>
          </w:p>
        </w:tc>
        <w:tc>
          <w:tcPr>
            <w:tcW w:w="3168" w:type="dxa"/>
            <w:vAlign w:val="center"/>
          </w:tcPr>
          <w:p w14:paraId="6122643B" w14:textId="6FD6D88B" w:rsidR="00EF3DC4" w:rsidRDefault="00063364" w:rsidP="00EF3DC4">
            <w:r>
              <w:t>Projects receiving rental subsidy from government or private source(s)</w:t>
            </w:r>
          </w:p>
        </w:tc>
        <w:tc>
          <w:tcPr>
            <w:tcW w:w="1152" w:type="dxa"/>
            <w:vAlign w:val="center"/>
          </w:tcPr>
          <w:p w14:paraId="7F6C27BC" w14:textId="77777777" w:rsidR="00EF3DC4" w:rsidRDefault="00EF3DC4" w:rsidP="00EF3DC4"/>
        </w:tc>
      </w:tr>
      <w:tr w:rsidR="00EF3DC4" w14:paraId="40960DA2" w14:textId="77777777" w:rsidTr="00FF77F0">
        <w:trPr>
          <w:cantSplit/>
          <w:trHeight w:val="432"/>
        </w:trPr>
        <w:tc>
          <w:tcPr>
            <w:tcW w:w="2880" w:type="dxa"/>
            <w:vAlign w:val="center"/>
          </w:tcPr>
          <w:p w14:paraId="20DDB213" w14:textId="6456890A" w:rsidR="00EF3DC4" w:rsidRDefault="00EF3DC4" w:rsidP="00EF3DC4">
            <w:pPr>
              <w:ind w:left="-23"/>
            </w:pPr>
            <w:r>
              <w:t xml:space="preserve">12(c)14. </w:t>
            </w:r>
            <w:r w:rsidRPr="000D7A4F">
              <w:t>Projects with Supportive Housing Units</w:t>
            </w:r>
          </w:p>
        </w:tc>
        <w:tc>
          <w:tcPr>
            <w:tcW w:w="3600" w:type="dxa"/>
            <w:vAlign w:val="center"/>
          </w:tcPr>
          <w:p w14:paraId="31D053B8" w14:textId="7161E853" w:rsidR="00EF3DC4" w:rsidRDefault="00DA0FDE" w:rsidP="00EF3DC4">
            <w:r>
              <w:t>Supportive Housing Population Needs Analysis</w:t>
            </w:r>
          </w:p>
        </w:tc>
        <w:tc>
          <w:tcPr>
            <w:tcW w:w="3168" w:type="dxa"/>
            <w:vAlign w:val="center"/>
          </w:tcPr>
          <w:p w14:paraId="75FA5F19" w14:textId="77777777" w:rsidR="00EF3DC4" w:rsidRDefault="00063364" w:rsidP="00EF3DC4">
            <w:r>
              <w:t>Supportive housing projects; OR</w:t>
            </w:r>
          </w:p>
          <w:p w14:paraId="0A3FD3AB" w14:textId="0DFE1F63" w:rsidR="00063364" w:rsidRDefault="00063364" w:rsidP="00EF3DC4">
            <w:r>
              <w:t>Projects containing supportive housing units</w:t>
            </w:r>
          </w:p>
        </w:tc>
        <w:tc>
          <w:tcPr>
            <w:tcW w:w="1152" w:type="dxa"/>
            <w:vAlign w:val="center"/>
          </w:tcPr>
          <w:p w14:paraId="4DA7FCB2" w14:textId="77777777" w:rsidR="00EF3DC4" w:rsidRDefault="00EF3DC4" w:rsidP="00EF3DC4"/>
        </w:tc>
      </w:tr>
      <w:tr w:rsidR="00DA0FDE" w14:paraId="3732BFF6" w14:textId="77777777" w:rsidTr="00FF77F0">
        <w:trPr>
          <w:cantSplit/>
          <w:trHeight w:val="432"/>
        </w:trPr>
        <w:tc>
          <w:tcPr>
            <w:tcW w:w="2880" w:type="dxa"/>
            <w:vAlign w:val="center"/>
          </w:tcPr>
          <w:p w14:paraId="137DD64C" w14:textId="77777777" w:rsidR="00DA0FDE" w:rsidRDefault="00DA0FDE" w:rsidP="00DA0FDE">
            <w:pPr>
              <w:ind w:left="-23"/>
            </w:pPr>
          </w:p>
        </w:tc>
        <w:tc>
          <w:tcPr>
            <w:tcW w:w="3600" w:type="dxa"/>
            <w:vAlign w:val="center"/>
          </w:tcPr>
          <w:p w14:paraId="5D92D336" w14:textId="56228EB4" w:rsidR="00DA0FDE" w:rsidRDefault="00DA0FDE" w:rsidP="00DA0FDE">
            <w:r>
              <w:t>Supportive Housing Marketing Plan</w:t>
            </w:r>
          </w:p>
        </w:tc>
        <w:tc>
          <w:tcPr>
            <w:tcW w:w="3168" w:type="dxa"/>
            <w:vAlign w:val="center"/>
          </w:tcPr>
          <w:p w14:paraId="61B429CD" w14:textId="77777777" w:rsidR="00DA0FDE" w:rsidRDefault="00DA0FDE" w:rsidP="00DA0FDE">
            <w:r>
              <w:t>Supportive housing projects; OR</w:t>
            </w:r>
          </w:p>
          <w:p w14:paraId="64BDA1E5" w14:textId="57B48373" w:rsidR="00DA0FDE" w:rsidRDefault="00DA0FDE" w:rsidP="00DA0FDE">
            <w:r>
              <w:t>Projects containing supportive housing units</w:t>
            </w:r>
          </w:p>
        </w:tc>
        <w:tc>
          <w:tcPr>
            <w:tcW w:w="1152" w:type="dxa"/>
            <w:vAlign w:val="center"/>
          </w:tcPr>
          <w:p w14:paraId="59F8C1E1" w14:textId="77777777" w:rsidR="00DA0FDE" w:rsidRDefault="00DA0FDE" w:rsidP="00DA0FDE"/>
        </w:tc>
      </w:tr>
      <w:tr w:rsidR="00DA0FDE" w14:paraId="1C12C13D" w14:textId="77777777" w:rsidTr="00FF77F0">
        <w:trPr>
          <w:cantSplit/>
          <w:trHeight w:val="432"/>
        </w:trPr>
        <w:tc>
          <w:tcPr>
            <w:tcW w:w="2880" w:type="dxa"/>
            <w:vAlign w:val="center"/>
          </w:tcPr>
          <w:p w14:paraId="08C0E651" w14:textId="77777777" w:rsidR="00DA0FDE" w:rsidRDefault="00DA0FDE" w:rsidP="00DA0FDE">
            <w:pPr>
              <w:ind w:left="-23"/>
            </w:pPr>
          </w:p>
        </w:tc>
        <w:tc>
          <w:tcPr>
            <w:tcW w:w="3600" w:type="dxa"/>
            <w:vAlign w:val="center"/>
          </w:tcPr>
          <w:p w14:paraId="6B507888" w14:textId="2EE4962D" w:rsidR="00DA0FDE" w:rsidRDefault="00DA0FDE" w:rsidP="00DA0FDE">
            <w:r>
              <w:t>Evidence of Supportive Housing Development/Management/Supportive Services Experience</w:t>
            </w:r>
          </w:p>
        </w:tc>
        <w:tc>
          <w:tcPr>
            <w:tcW w:w="3168" w:type="dxa"/>
            <w:vAlign w:val="center"/>
          </w:tcPr>
          <w:p w14:paraId="4323B4C9" w14:textId="77777777" w:rsidR="00DA0FDE" w:rsidRDefault="00DA0FDE" w:rsidP="00DA0FDE">
            <w:r>
              <w:t>Supportive housing projects; OR</w:t>
            </w:r>
          </w:p>
          <w:p w14:paraId="092CE1B6" w14:textId="4BDB4CF9" w:rsidR="00DA0FDE" w:rsidRDefault="00DA0FDE" w:rsidP="00DA0FDE">
            <w:r>
              <w:t>Projects containing supportive housing units</w:t>
            </w:r>
          </w:p>
        </w:tc>
        <w:tc>
          <w:tcPr>
            <w:tcW w:w="1152" w:type="dxa"/>
            <w:vAlign w:val="center"/>
          </w:tcPr>
          <w:p w14:paraId="19DBB09A" w14:textId="77777777" w:rsidR="00DA0FDE" w:rsidRDefault="00DA0FDE" w:rsidP="00DA0FDE"/>
        </w:tc>
      </w:tr>
      <w:tr w:rsidR="00DA0FDE" w14:paraId="658C354C" w14:textId="77777777" w:rsidTr="00FF77F0">
        <w:trPr>
          <w:cantSplit/>
          <w:trHeight w:val="432"/>
        </w:trPr>
        <w:tc>
          <w:tcPr>
            <w:tcW w:w="2880" w:type="dxa"/>
            <w:vAlign w:val="center"/>
          </w:tcPr>
          <w:p w14:paraId="3D1F50E2" w14:textId="77777777" w:rsidR="00DA0FDE" w:rsidRDefault="00DA0FDE" w:rsidP="00DA0FDE">
            <w:pPr>
              <w:ind w:left="-23"/>
            </w:pPr>
          </w:p>
        </w:tc>
        <w:tc>
          <w:tcPr>
            <w:tcW w:w="3600" w:type="dxa"/>
            <w:vAlign w:val="center"/>
          </w:tcPr>
          <w:p w14:paraId="756EC5C4" w14:textId="1BD44E83" w:rsidR="00DA0FDE" w:rsidRDefault="00DA0FDE" w:rsidP="00DA0FDE">
            <w:r>
              <w:t xml:space="preserve">Sources of Funding and Social Services Plan </w:t>
            </w:r>
            <w:r w:rsidR="005C65F9">
              <w:t>with</w:t>
            </w:r>
            <w:r>
              <w:t xml:space="preserve"> Detailed Description of Scope of Services to be Provided</w:t>
            </w:r>
          </w:p>
        </w:tc>
        <w:tc>
          <w:tcPr>
            <w:tcW w:w="3168" w:type="dxa"/>
            <w:vAlign w:val="center"/>
          </w:tcPr>
          <w:p w14:paraId="4967E37B" w14:textId="77777777" w:rsidR="00DA0FDE" w:rsidRDefault="00DA0FDE" w:rsidP="00DA0FDE">
            <w:r>
              <w:t>Supportive housing projects; OR</w:t>
            </w:r>
          </w:p>
          <w:p w14:paraId="35A5DDF9" w14:textId="318EB7E2" w:rsidR="00DA0FDE" w:rsidRDefault="00DA0FDE" w:rsidP="00DA0FDE">
            <w:r>
              <w:t>Projects containing supportive housing units</w:t>
            </w:r>
          </w:p>
        </w:tc>
        <w:tc>
          <w:tcPr>
            <w:tcW w:w="1152" w:type="dxa"/>
            <w:vAlign w:val="center"/>
          </w:tcPr>
          <w:p w14:paraId="37417758" w14:textId="77777777" w:rsidR="00DA0FDE" w:rsidRDefault="00DA0FDE" w:rsidP="00DA0FDE"/>
        </w:tc>
      </w:tr>
      <w:tr w:rsidR="00DA0FDE" w14:paraId="34E17F57" w14:textId="77777777" w:rsidTr="00FF77F0">
        <w:trPr>
          <w:cantSplit/>
          <w:trHeight w:val="432"/>
        </w:trPr>
        <w:tc>
          <w:tcPr>
            <w:tcW w:w="2880" w:type="dxa"/>
            <w:vAlign w:val="center"/>
          </w:tcPr>
          <w:p w14:paraId="2BC19302" w14:textId="77777777" w:rsidR="00DA0FDE" w:rsidRDefault="00DA0FDE" w:rsidP="00DA0FDE">
            <w:pPr>
              <w:ind w:left="-23"/>
            </w:pPr>
          </w:p>
        </w:tc>
        <w:tc>
          <w:tcPr>
            <w:tcW w:w="3600" w:type="dxa"/>
            <w:vAlign w:val="center"/>
          </w:tcPr>
          <w:p w14:paraId="3C31907D" w14:textId="48EB0339" w:rsidR="00DA0FDE" w:rsidRDefault="00DA0FDE" w:rsidP="00DA0FDE">
            <w:r>
              <w:t>Executed Supportive Services Agreement</w:t>
            </w:r>
          </w:p>
        </w:tc>
        <w:tc>
          <w:tcPr>
            <w:tcW w:w="3168" w:type="dxa"/>
            <w:vAlign w:val="center"/>
          </w:tcPr>
          <w:p w14:paraId="502380E9" w14:textId="77777777" w:rsidR="00DA0FDE" w:rsidRDefault="00DA0FDE" w:rsidP="00DA0FDE">
            <w:r>
              <w:t>Supportive housing projects; OR</w:t>
            </w:r>
          </w:p>
          <w:p w14:paraId="5480E04E" w14:textId="7D154814" w:rsidR="00DA0FDE" w:rsidRDefault="00DA0FDE" w:rsidP="00DA0FDE">
            <w:r>
              <w:t>Projects containing supportive housing units</w:t>
            </w:r>
          </w:p>
        </w:tc>
        <w:tc>
          <w:tcPr>
            <w:tcW w:w="1152" w:type="dxa"/>
            <w:vAlign w:val="center"/>
          </w:tcPr>
          <w:p w14:paraId="6F29E274" w14:textId="77777777" w:rsidR="00DA0FDE" w:rsidRDefault="00DA0FDE" w:rsidP="00DA0FDE"/>
        </w:tc>
      </w:tr>
      <w:tr w:rsidR="00DA0FDE" w14:paraId="77179E6B" w14:textId="77777777" w:rsidTr="00FF77F0">
        <w:trPr>
          <w:cantSplit/>
          <w:trHeight w:val="432"/>
        </w:trPr>
        <w:tc>
          <w:tcPr>
            <w:tcW w:w="2880" w:type="dxa"/>
            <w:vAlign w:val="center"/>
          </w:tcPr>
          <w:p w14:paraId="557BD5F0" w14:textId="77777777" w:rsidR="00DA0FDE" w:rsidRDefault="00DA0FDE" w:rsidP="00DA0FDE">
            <w:pPr>
              <w:ind w:left="-23"/>
            </w:pPr>
          </w:p>
        </w:tc>
        <w:tc>
          <w:tcPr>
            <w:tcW w:w="3600" w:type="dxa"/>
            <w:vAlign w:val="center"/>
          </w:tcPr>
          <w:p w14:paraId="6ADA85FE" w14:textId="0DBE084D" w:rsidR="00B971E6" w:rsidRDefault="00DA0FDE" w:rsidP="00DA0FDE">
            <w:r>
              <w:t>Evidence of Rental Assistance / Operating Subsidy Commitment(s)</w:t>
            </w:r>
            <w:r w:rsidR="00B971E6">
              <w:t xml:space="preserve"> </w:t>
            </w:r>
            <w:r>
              <w:t>AND/OR;</w:t>
            </w:r>
          </w:p>
          <w:p w14:paraId="0ACB49EF" w14:textId="5AF101AF" w:rsidR="00DA0FDE" w:rsidRDefault="00DA0FDE" w:rsidP="00DA0FDE">
            <w:r>
              <w:t>Evidence that Supportive Housing Units Are Affordable to the Target Population</w:t>
            </w:r>
          </w:p>
        </w:tc>
        <w:tc>
          <w:tcPr>
            <w:tcW w:w="3168" w:type="dxa"/>
            <w:vAlign w:val="center"/>
          </w:tcPr>
          <w:p w14:paraId="3CBA0C94" w14:textId="77777777" w:rsidR="00DA0FDE" w:rsidRDefault="00DA0FDE" w:rsidP="00DA0FDE">
            <w:r>
              <w:t>Supportive housing projects; OR</w:t>
            </w:r>
          </w:p>
          <w:p w14:paraId="33DFFEF6" w14:textId="48815751" w:rsidR="00DA0FDE" w:rsidRDefault="00DA0FDE" w:rsidP="00DA0FDE">
            <w:r>
              <w:t>Projects containing supportive housing units</w:t>
            </w:r>
          </w:p>
        </w:tc>
        <w:tc>
          <w:tcPr>
            <w:tcW w:w="1152" w:type="dxa"/>
            <w:vAlign w:val="center"/>
          </w:tcPr>
          <w:p w14:paraId="3344F27E" w14:textId="77777777" w:rsidR="00DA0FDE" w:rsidRDefault="00DA0FDE" w:rsidP="00DA0FDE"/>
        </w:tc>
      </w:tr>
      <w:tr w:rsidR="00FD2DEB" w14:paraId="76328066" w14:textId="77777777" w:rsidTr="00B971E6">
        <w:trPr>
          <w:cantSplit/>
          <w:trHeight w:val="432"/>
        </w:trPr>
        <w:tc>
          <w:tcPr>
            <w:tcW w:w="2880" w:type="dxa"/>
            <w:vAlign w:val="center"/>
          </w:tcPr>
          <w:p w14:paraId="7EFD3C52" w14:textId="77777777" w:rsidR="00FD2DEB" w:rsidRDefault="00FD2DEB" w:rsidP="00DA0FDE">
            <w:pPr>
              <w:ind w:left="-23"/>
            </w:pPr>
          </w:p>
        </w:tc>
        <w:tc>
          <w:tcPr>
            <w:tcW w:w="3600" w:type="dxa"/>
            <w:vAlign w:val="center"/>
          </w:tcPr>
          <w:p w14:paraId="540006C8" w14:textId="686A4E1F" w:rsidR="00FD2DEB" w:rsidRDefault="00FD2DEB" w:rsidP="00DA0FDE">
            <w:r>
              <w:t>Evidence of Bilingual/Cultural/Other Capacity</w:t>
            </w:r>
          </w:p>
        </w:tc>
        <w:tc>
          <w:tcPr>
            <w:tcW w:w="3168" w:type="dxa"/>
            <w:vAlign w:val="center"/>
          </w:tcPr>
          <w:p w14:paraId="2A5BF034" w14:textId="77777777" w:rsidR="00FD2DEB" w:rsidRDefault="00FD2DEB" w:rsidP="00FD2DEB">
            <w:r>
              <w:t>Supportive housing projects; OR</w:t>
            </w:r>
          </w:p>
          <w:p w14:paraId="2010FD33" w14:textId="241AB8EF" w:rsidR="00FD2DEB" w:rsidRDefault="00FD2DEB" w:rsidP="00FD2DEB">
            <w:r>
              <w:t>Projects containing supportive housing units</w:t>
            </w:r>
          </w:p>
        </w:tc>
        <w:tc>
          <w:tcPr>
            <w:tcW w:w="1152" w:type="dxa"/>
            <w:vAlign w:val="center"/>
          </w:tcPr>
          <w:p w14:paraId="46CE5F80" w14:textId="77777777" w:rsidR="00FD2DEB" w:rsidRDefault="00FD2DEB" w:rsidP="00DA0FDE"/>
        </w:tc>
      </w:tr>
      <w:tr w:rsidR="00FD2DEB" w14:paraId="49B83BD3" w14:textId="77777777" w:rsidTr="00B971E6">
        <w:trPr>
          <w:cantSplit/>
          <w:trHeight w:val="432"/>
        </w:trPr>
        <w:tc>
          <w:tcPr>
            <w:tcW w:w="2880" w:type="dxa"/>
            <w:vAlign w:val="center"/>
          </w:tcPr>
          <w:p w14:paraId="01309FC5" w14:textId="77777777" w:rsidR="00FD2DEB" w:rsidRDefault="00FD2DEB" w:rsidP="00DA0FDE">
            <w:pPr>
              <w:ind w:left="-23"/>
            </w:pPr>
          </w:p>
        </w:tc>
        <w:tc>
          <w:tcPr>
            <w:tcW w:w="3600" w:type="dxa"/>
            <w:vAlign w:val="center"/>
          </w:tcPr>
          <w:p w14:paraId="416DFBF8" w14:textId="2E9B20FF" w:rsidR="00FD2DEB" w:rsidRDefault="00FD2DEB" w:rsidP="00DA0FDE">
            <w:r>
              <w:t>Evidence for Supportive Housing Points</w:t>
            </w:r>
          </w:p>
        </w:tc>
        <w:tc>
          <w:tcPr>
            <w:tcW w:w="3168" w:type="dxa"/>
            <w:vAlign w:val="center"/>
          </w:tcPr>
          <w:p w14:paraId="336823CD" w14:textId="7354410C" w:rsidR="00FD2DEB" w:rsidRDefault="00FD2DEB" w:rsidP="00DA0FDE">
            <w:r>
              <w:t>Projects seeking point option(s)</w:t>
            </w:r>
            <w:r w:rsidR="009600CF">
              <w:t xml:space="preserve"> for supportive housing</w:t>
            </w:r>
          </w:p>
        </w:tc>
        <w:tc>
          <w:tcPr>
            <w:tcW w:w="1152" w:type="dxa"/>
            <w:vAlign w:val="center"/>
          </w:tcPr>
          <w:p w14:paraId="3D323216" w14:textId="77777777" w:rsidR="00FD2DEB" w:rsidRDefault="00FD2DEB" w:rsidP="00DA0FDE"/>
        </w:tc>
      </w:tr>
      <w:tr w:rsidR="00DA0FDE" w14:paraId="1CDE0AC4" w14:textId="77777777" w:rsidTr="00FF77F0">
        <w:trPr>
          <w:cantSplit/>
          <w:trHeight w:val="432"/>
        </w:trPr>
        <w:tc>
          <w:tcPr>
            <w:tcW w:w="2880" w:type="dxa"/>
            <w:vAlign w:val="center"/>
          </w:tcPr>
          <w:p w14:paraId="5098D583" w14:textId="745F6595" w:rsidR="00DA0FDE" w:rsidRDefault="00DA0FDE" w:rsidP="00DA0FDE">
            <w:pPr>
              <w:ind w:left="-23"/>
            </w:pPr>
            <w:r>
              <w:t xml:space="preserve">12(c)15. </w:t>
            </w:r>
            <w:r w:rsidRPr="000D7A4F">
              <w:t>Affirmative Fair Housing Marketing Plan</w:t>
            </w:r>
          </w:p>
        </w:tc>
        <w:tc>
          <w:tcPr>
            <w:tcW w:w="3600" w:type="dxa"/>
            <w:vAlign w:val="center"/>
          </w:tcPr>
          <w:p w14:paraId="4EDEDBF2" w14:textId="6669E267" w:rsidR="00DA0FDE" w:rsidRDefault="00882A67" w:rsidP="00DA0FDE">
            <w:r>
              <w:t>UHAC-Compliant Affirmative Marketing Plan (see N.J.A.C. 5:80-26.16)</w:t>
            </w:r>
          </w:p>
        </w:tc>
        <w:tc>
          <w:tcPr>
            <w:tcW w:w="3168" w:type="dxa"/>
            <w:vAlign w:val="center"/>
          </w:tcPr>
          <w:p w14:paraId="507A98FC" w14:textId="5E2545AC" w:rsidR="00DA0FDE" w:rsidRDefault="00882A67" w:rsidP="00DA0FDE">
            <w:r>
              <w:t xml:space="preserve">New Construction projects receiving </w:t>
            </w:r>
            <w:r w:rsidRPr="00882A67">
              <w:rPr>
                <w:i/>
                <w:iCs/>
              </w:rPr>
              <w:t>Mount Laurel</w:t>
            </w:r>
            <w:r>
              <w:t xml:space="preserve"> credit</w:t>
            </w:r>
          </w:p>
        </w:tc>
        <w:tc>
          <w:tcPr>
            <w:tcW w:w="1152" w:type="dxa"/>
            <w:vAlign w:val="center"/>
          </w:tcPr>
          <w:p w14:paraId="0A4BE6B3" w14:textId="77777777" w:rsidR="00DA0FDE" w:rsidRDefault="00DA0FDE" w:rsidP="00DA0FDE"/>
        </w:tc>
      </w:tr>
      <w:tr w:rsidR="00882A67" w14:paraId="4F5FCAB0" w14:textId="77777777" w:rsidTr="00FF77F0">
        <w:trPr>
          <w:cantSplit/>
          <w:trHeight w:val="432"/>
        </w:trPr>
        <w:tc>
          <w:tcPr>
            <w:tcW w:w="2880" w:type="dxa"/>
            <w:vAlign w:val="center"/>
          </w:tcPr>
          <w:p w14:paraId="48ED649F" w14:textId="77777777" w:rsidR="00882A67" w:rsidRDefault="00882A67" w:rsidP="00882A67">
            <w:pPr>
              <w:ind w:left="-23"/>
            </w:pPr>
          </w:p>
        </w:tc>
        <w:tc>
          <w:tcPr>
            <w:tcW w:w="3600" w:type="dxa"/>
            <w:vAlign w:val="center"/>
          </w:tcPr>
          <w:p w14:paraId="5639FE4E" w14:textId="61E64ECF" w:rsidR="00882A67" w:rsidRDefault="00882A67" w:rsidP="00882A67">
            <w:r>
              <w:t>Affirmative Fair Housing Marketing Plan</w:t>
            </w:r>
          </w:p>
        </w:tc>
        <w:tc>
          <w:tcPr>
            <w:tcW w:w="3168" w:type="dxa"/>
            <w:vAlign w:val="center"/>
          </w:tcPr>
          <w:p w14:paraId="09DDC850" w14:textId="62CDAE5B" w:rsidR="00882A67" w:rsidRDefault="00882A67" w:rsidP="00882A67">
            <w:r>
              <w:t>Other projects with 25+ units</w:t>
            </w:r>
          </w:p>
        </w:tc>
        <w:tc>
          <w:tcPr>
            <w:tcW w:w="1152" w:type="dxa"/>
            <w:vAlign w:val="center"/>
          </w:tcPr>
          <w:p w14:paraId="1C5A4D9A" w14:textId="77777777" w:rsidR="00882A67" w:rsidRDefault="00882A67" w:rsidP="00882A67"/>
        </w:tc>
      </w:tr>
      <w:tr w:rsidR="00DA0FDE" w14:paraId="686819DC" w14:textId="77777777" w:rsidTr="00FF77F0">
        <w:trPr>
          <w:cantSplit/>
          <w:trHeight w:val="432"/>
        </w:trPr>
        <w:tc>
          <w:tcPr>
            <w:tcW w:w="2880" w:type="dxa"/>
            <w:vAlign w:val="center"/>
          </w:tcPr>
          <w:p w14:paraId="1AC3B299" w14:textId="590FEB64" w:rsidR="00DA0FDE" w:rsidRDefault="00DA0FDE" w:rsidP="00DA0FDE">
            <w:pPr>
              <w:ind w:left="-23"/>
            </w:pPr>
            <w:r>
              <w:t xml:space="preserve">12(c)16. </w:t>
            </w:r>
            <w:r w:rsidRPr="000D7A4F">
              <w:t>HOPE VI</w:t>
            </w:r>
            <w:r>
              <w:t xml:space="preserve"> </w:t>
            </w:r>
            <w:r w:rsidRPr="000D7A4F">
              <w:t>/</w:t>
            </w:r>
            <w:r>
              <w:t xml:space="preserve"> </w:t>
            </w:r>
            <w:r w:rsidRPr="000D7A4F">
              <w:t>Replacement Housing /</w:t>
            </w:r>
            <w:r>
              <w:t xml:space="preserve"> </w:t>
            </w:r>
            <w:r w:rsidRPr="000D7A4F">
              <w:t>C</w:t>
            </w:r>
            <w:r>
              <w:t xml:space="preserve">hoice </w:t>
            </w:r>
            <w:r w:rsidRPr="000D7A4F">
              <w:t>Neighborhood</w:t>
            </w:r>
            <w:r>
              <w:t>s</w:t>
            </w:r>
            <w:r w:rsidRPr="000D7A4F">
              <w:t xml:space="preserve"> Projects</w:t>
            </w:r>
          </w:p>
        </w:tc>
        <w:tc>
          <w:tcPr>
            <w:tcW w:w="3600" w:type="dxa"/>
            <w:vAlign w:val="center"/>
          </w:tcPr>
          <w:p w14:paraId="203A56D0" w14:textId="62D29BDC" w:rsidR="00DA0FDE" w:rsidRDefault="00882A67" w:rsidP="00DA0FDE">
            <w:r>
              <w:t>Copy of Commitment Letter from HUD to PHA, Including Terms and Conditions</w:t>
            </w:r>
          </w:p>
        </w:tc>
        <w:tc>
          <w:tcPr>
            <w:tcW w:w="3168" w:type="dxa"/>
            <w:vAlign w:val="center"/>
          </w:tcPr>
          <w:p w14:paraId="0C05DAFD" w14:textId="3B4183E2" w:rsidR="00DA0FDE" w:rsidRDefault="00DA0FDE" w:rsidP="00DA0FDE">
            <w:r>
              <w:t>Projects with funding from HOPE VI / Replacement Housing / Choice Neighborhoods Implementation Grant</w:t>
            </w:r>
          </w:p>
        </w:tc>
        <w:tc>
          <w:tcPr>
            <w:tcW w:w="1152" w:type="dxa"/>
            <w:vAlign w:val="center"/>
          </w:tcPr>
          <w:p w14:paraId="57AECFD6" w14:textId="77777777" w:rsidR="00DA0FDE" w:rsidRDefault="00DA0FDE" w:rsidP="00DA0FDE"/>
        </w:tc>
      </w:tr>
      <w:tr w:rsidR="00882A67" w14:paraId="5CEE8FE7" w14:textId="77777777" w:rsidTr="00FF77F0">
        <w:trPr>
          <w:cantSplit/>
          <w:trHeight w:val="432"/>
        </w:trPr>
        <w:tc>
          <w:tcPr>
            <w:tcW w:w="2880" w:type="dxa"/>
            <w:vAlign w:val="center"/>
          </w:tcPr>
          <w:p w14:paraId="739D7D98" w14:textId="77777777" w:rsidR="00882A67" w:rsidRDefault="00882A67" w:rsidP="00882A67">
            <w:pPr>
              <w:ind w:left="-23"/>
            </w:pPr>
          </w:p>
        </w:tc>
        <w:tc>
          <w:tcPr>
            <w:tcW w:w="3600" w:type="dxa"/>
            <w:vAlign w:val="center"/>
          </w:tcPr>
          <w:p w14:paraId="7BE8240E" w14:textId="2ACE2B2B" w:rsidR="00882A67" w:rsidRDefault="00882A67" w:rsidP="00882A67">
            <w:r>
              <w:t>Opinion of Tax Counsel</w:t>
            </w:r>
          </w:p>
        </w:tc>
        <w:tc>
          <w:tcPr>
            <w:tcW w:w="3168" w:type="dxa"/>
            <w:vAlign w:val="center"/>
          </w:tcPr>
          <w:p w14:paraId="13BC2666" w14:textId="006DE624" w:rsidR="00882A67" w:rsidRDefault="00882A67" w:rsidP="00882A67">
            <w:r>
              <w:t>Projects with funding from HOPE VI / Replacement Housing / Choice Neighborhoods Implementation Grant</w:t>
            </w:r>
          </w:p>
        </w:tc>
        <w:tc>
          <w:tcPr>
            <w:tcW w:w="1152" w:type="dxa"/>
            <w:vAlign w:val="center"/>
          </w:tcPr>
          <w:p w14:paraId="3419CD87" w14:textId="77777777" w:rsidR="00882A67" w:rsidRDefault="00882A67" w:rsidP="00882A67"/>
        </w:tc>
      </w:tr>
      <w:tr w:rsidR="00882A67" w14:paraId="4F3C5CDD" w14:textId="77777777" w:rsidTr="00FF77F0">
        <w:trPr>
          <w:cantSplit/>
          <w:trHeight w:val="432"/>
        </w:trPr>
        <w:tc>
          <w:tcPr>
            <w:tcW w:w="2880" w:type="dxa"/>
            <w:vAlign w:val="center"/>
          </w:tcPr>
          <w:p w14:paraId="0ACC55B5" w14:textId="77777777" w:rsidR="00882A67" w:rsidRDefault="00882A67" w:rsidP="00882A67">
            <w:pPr>
              <w:ind w:left="-23"/>
            </w:pPr>
          </w:p>
        </w:tc>
        <w:tc>
          <w:tcPr>
            <w:tcW w:w="3600" w:type="dxa"/>
            <w:vAlign w:val="center"/>
          </w:tcPr>
          <w:p w14:paraId="5C00C77C" w14:textId="7E4B1359" w:rsidR="00882A67" w:rsidRDefault="00882A67" w:rsidP="00882A67">
            <w:r>
              <w:t>Analysis of Project Cash Flow and Residual Value Conducted by Independent Auditor</w:t>
            </w:r>
          </w:p>
        </w:tc>
        <w:tc>
          <w:tcPr>
            <w:tcW w:w="3168" w:type="dxa"/>
            <w:vAlign w:val="center"/>
          </w:tcPr>
          <w:p w14:paraId="24F1CBDF" w14:textId="1322A475" w:rsidR="00882A67" w:rsidRDefault="00882A67" w:rsidP="00882A67">
            <w:r>
              <w:t>Projects with funding from HOPE VI / Replacement Housing / Choice Neighborhoods Implementation Grant</w:t>
            </w:r>
          </w:p>
        </w:tc>
        <w:tc>
          <w:tcPr>
            <w:tcW w:w="1152" w:type="dxa"/>
            <w:vAlign w:val="center"/>
          </w:tcPr>
          <w:p w14:paraId="6B26EC19" w14:textId="77777777" w:rsidR="00882A67" w:rsidRDefault="00882A67" w:rsidP="00882A67"/>
        </w:tc>
      </w:tr>
      <w:tr w:rsidR="00882A67" w14:paraId="05837C1B" w14:textId="77777777" w:rsidTr="00FF77F0">
        <w:trPr>
          <w:cantSplit/>
          <w:trHeight w:val="432"/>
        </w:trPr>
        <w:tc>
          <w:tcPr>
            <w:tcW w:w="2880" w:type="dxa"/>
            <w:vAlign w:val="center"/>
          </w:tcPr>
          <w:p w14:paraId="2BF46EF1" w14:textId="77777777" w:rsidR="00882A67" w:rsidRDefault="00882A67" w:rsidP="00882A67">
            <w:pPr>
              <w:ind w:left="-23"/>
            </w:pPr>
          </w:p>
        </w:tc>
        <w:tc>
          <w:tcPr>
            <w:tcW w:w="3600" w:type="dxa"/>
            <w:vAlign w:val="center"/>
          </w:tcPr>
          <w:p w14:paraId="5B50E692" w14:textId="2753A5CF" w:rsidR="00882A67" w:rsidRDefault="00882A67" w:rsidP="00882A67">
            <w:r>
              <w:t>Demonstration that Contractual Financing Provisions Constitute Lawful Basis</w:t>
            </w:r>
          </w:p>
        </w:tc>
        <w:tc>
          <w:tcPr>
            <w:tcW w:w="3168" w:type="dxa"/>
            <w:vAlign w:val="center"/>
          </w:tcPr>
          <w:p w14:paraId="49AA52C5" w14:textId="330BEAE2" w:rsidR="00882A67" w:rsidRDefault="00882A67" w:rsidP="00882A67">
            <w:r>
              <w:t>Projects with funding from HOPE VI / Replacement Housing / Choice Neighborhoods Implementation Grant</w:t>
            </w:r>
          </w:p>
        </w:tc>
        <w:tc>
          <w:tcPr>
            <w:tcW w:w="1152" w:type="dxa"/>
            <w:vAlign w:val="center"/>
          </w:tcPr>
          <w:p w14:paraId="26362057" w14:textId="77777777" w:rsidR="00882A67" w:rsidRDefault="00882A67" w:rsidP="00882A67"/>
        </w:tc>
      </w:tr>
      <w:tr w:rsidR="00DA0FDE" w14:paraId="0B56E9CB" w14:textId="77777777" w:rsidTr="00FF77F0">
        <w:trPr>
          <w:cantSplit/>
          <w:trHeight w:val="432"/>
        </w:trPr>
        <w:tc>
          <w:tcPr>
            <w:tcW w:w="2880" w:type="dxa"/>
            <w:vAlign w:val="center"/>
          </w:tcPr>
          <w:p w14:paraId="25DE0DA0" w14:textId="1B458986" w:rsidR="00DA0FDE" w:rsidRDefault="00DA0FDE" w:rsidP="00DA0FDE">
            <w:pPr>
              <w:ind w:left="-23"/>
            </w:pPr>
            <w:r>
              <w:t xml:space="preserve">12(c)17. </w:t>
            </w:r>
            <w:r w:rsidRPr="000D7A4F">
              <w:t>High Concentration of LIHTC Units</w:t>
            </w:r>
          </w:p>
        </w:tc>
        <w:tc>
          <w:tcPr>
            <w:tcW w:w="3600" w:type="dxa"/>
            <w:vAlign w:val="center"/>
          </w:tcPr>
          <w:p w14:paraId="095D9809" w14:textId="53A91B77" w:rsidR="00DA0FDE" w:rsidRDefault="00882A67" w:rsidP="00DA0FDE">
            <w:r>
              <w:t>Municipal Resolution Referencing N.J.A.C. 5:80-33.12(c)17 and Supporting Allocation of LIHTC for the Development</w:t>
            </w:r>
          </w:p>
        </w:tc>
        <w:tc>
          <w:tcPr>
            <w:tcW w:w="3168" w:type="dxa"/>
            <w:vAlign w:val="center"/>
          </w:tcPr>
          <w:p w14:paraId="47D0CB36" w14:textId="58E89650" w:rsidR="00DA0FDE" w:rsidRDefault="00DA0FDE" w:rsidP="00DA0FDE">
            <w:r>
              <w:t>Non-preservation projects located in census tracts where at least 30% of the housing stock is LIHTC</w:t>
            </w:r>
          </w:p>
        </w:tc>
        <w:tc>
          <w:tcPr>
            <w:tcW w:w="1152" w:type="dxa"/>
            <w:vAlign w:val="center"/>
          </w:tcPr>
          <w:p w14:paraId="3010B0AF" w14:textId="77777777" w:rsidR="00DA0FDE" w:rsidRDefault="00DA0FDE" w:rsidP="00DA0FDE"/>
        </w:tc>
      </w:tr>
      <w:tr w:rsidR="00DA0FDE" w14:paraId="53F7D5D0" w14:textId="77777777" w:rsidTr="00FF77F0">
        <w:trPr>
          <w:cantSplit/>
          <w:trHeight w:val="432"/>
        </w:trPr>
        <w:tc>
          <w:tcPr>
            <w:tcW w:w="2880" w:type="dxa"/>
            <w:vAlign w:val="center"/>
          </w:tcPr>
          <w:p w14:paraId="607C43CF" w14:textId="09EDD1A4" w:rsidR="00DA0FDE" w:rsidRDefault="00DA0FDE" w:rsidP="00DA0FDE">
            <w:pPr>
              <w:ind w:left="-23"/>
            </w:pPr>
            <w:r>
              <w:t>12(c)18. Foreclosure / Uncorrected Noncompliance</w:t>
            </w:r>
          </w:p>
        </w:tc>
        <w:tc>
          <w:tcPr>
            <w:tcW w:w="3600" w:type="dxa"/>
            <w:vAlign w:val="center"/>
          </w:tcPr>
          <w:p w14:paraId="63C28266" w14:textId="1CD0FF07" w:rsidR="00DA0FDE" w:rsidRDefault="00882A67" w:rsidP="00DA0FDE">
            <w:r>
              <w:t xml:space="preserve">Certification of No Foreclosure in Last </w:t>
            </w:r>
            <w:r w:rsidR="00FD2DEB">
              <w:t>7</w:t>
            </w:r>
            <w:r>
              <w:t xml:space="preserve"> Years and No Pattern of Uncorrected Noncompliance in Last </w:t>
            </w:r>
            <w:r w:rsidR="00FD2DEB">
              <w:t>3</w:t>
            </w:r>
            <w:r>
              <w:t xml:space="preserve"> Years</w:t>
            </w:r>
          </w:p>
        </w:tc>
        <w:tc>
          <w:tcPr>
            <w:tcW w:w="3168" w:type="dxa"/>
            <w:vAlign w:val="center"/>
          </w:tcPr>
          <w:p w14:paraId="78E671E3" w14:textId="53B093A2" w:rsidR="00DA0FDE" w:rsidRDefault="00DA0FDE" w:rsidP="00DA0FDE">
            <w:r>
              <w:t>All projects</w:t>
            </w:r>
          </w:p>
        </w:tc>
        <w:tc>
          <w:tcPr>
            <w:tcW w:w="1152" w:type="dxa"/>
            <w:vAlign w:val="center"/>
          </w:tcPr>
          <w:p w14:paraId="3BAC16EA" w14:textId="77777777" w:rsidR="00DA0FDE" w:rsidRDefault="00DA0FDE" w:rsidP="00DA0FDE"/>
        </w:tc>
      </w:tr>
      <w:tr w:rsidR="00DA0FDE" w14:paraId="490CC4D8" w14:textId="77777777" w:rsidTr="00FF77F0">
        <w:trPr>
          <w:cantSplit/>
          <w:trHeight w:val="432"/>
        </w:trPr>
        <w:tc>
          <w:tcPr>
            <w:tcW w:w="2880" w:type="dxa"/>
            <w:vAlign w:val="center"/>
          </w:tcPr>
          <w:p w14:paraId="46DA9422" w14:textId="4EBBB769" w:rsidR="00DA0FDE" w:rsidRDefault="00DA0FDE" w:rsidP="00DA0FDE">
            <w:pPr>
              <w:ind w:left="-23"/>
            </w:pPr>
            <w:r>
              <w:t>12(c)19. Minimum Design Standards</w:t>
            </w:r>
          </w:p>
        </w:tc>
        <w:tc>
          <w:tcPr>
            <w:tcW w:w="3600" w:type="dxa"/>
            <w:vAlign w:val="center"/>
          </w:tcPr>
          <w:p w14:paraId="0E4AC1AD" w14:textId="5ED01F62" w:rsidR="00DA0FDE" w:rsidRDefault="00882A67" w:rsidP="00DA0FDE">
            <w:r>
              <w:t>Pledge to Provide High-Speed Internet</w:t>
            </w:r>
          </w:p>
        </w:tc>
        <w:tc>
          <w:tcPr>
            <w:tcW w:w="3168" w:type="dxa"/>
            <w:vAlign w:val="center"/>
          </w:tcPr>
          <w:p w14:paraId="0A302767" w14:textId="5CCD3DBD" w:rsidR="00DA0FDE" w:rsidRDefault="00DA0FDE" w:rsidP="00DA0FDE">
            <w:r>
              <w:t>All projects</w:t>
            </w:r>
          </w:p>
        </w:tc>
        <w:tc>
          <w:tcPr>
            <w:tcW w:w="1152" w:type="dxa"/>
            <w:vAlign w:val="center"/>
          </w:tcPr>
          <w:p w14:paraId="74645B3A" w14:textId="77777777" w:rsidR="00DA0FDE" w:rsidRDefault="00DA0FDE" w:rsidP="00DA0FDE"/>
        </w:tc>
      </w:tr>
      <w:tr w:rsidR="00DA0FDE" w14:paraId="15988402" w14:textId="77777777" w:rsidTr="00FF77F0">
        <w:trPr>
          <w:cantSplit/>
          <w:trHeight w:val="432"/>
        </w:trPr>
        <w:tc>
          <w:tcPr>
            <w:tcW w:w="2880" w:type="dxa"/>
            <w:vAlign w:val="center"/>
          </w:tcPr>
          <w:p w14:paraId="249F760B" w14:textId="77777777" w:rsidR="00DA0FDE" w:rsidRDefault="00DA0FDE" w:rsidP="00DA0FDE">
            <w:pPr>
              <w:ind w:left="-23"/>
            </w:pPr>
          </w:p>
        </w:tc>
        <w:tc>
          <w:tcPr>
            <w:tcW w:w="3600" w:type="dxa"/>
            <w:vAlign w:val="center"/>
          </w:tcPr>
          <w:p w14:paraId="1480591E" w14:textId="12109E52" w:rsidR="00DA0FDE" w:rsidRDefault="00882A67" w:rsidP="00DA0FDE">
            <w:r>
              <w:t>Pledge to Provide Air Conditioning</w:t>
            </w:r>
          </w:p>
        </w:tc>
        <w:tc>
          <w:tcPr>
            <w:tcW w:w="3168" w:type="dxa"/>
            <w:vAlign w:val="center"/>
          </w:tcPr>
          <w:p w14:paraId="1AE79490" w14:textId="4028D995" w:rsidR="00DA0FDE" w:rsidRDefault="00882A67" w:rsidP="00DA0FDE">
            <w:r>
              <w:t>All projects</w:t>
            </w:r>
          </w:p>
        </w:tc>
        <w:tc>
          <w:tcPr>
            <w:tcW w:w="1152" w:type="dxa"/>
            <w:vAlign w:val="center"/>
          </w:tcPr>
          <w:p w14:paraId="413B28C9" w14:textId="77777777" w:rsidR="00DA0FDE" w:rsidRDefault="00DA0FDE" w:rsidP="00DA0FDE"/>
        </w:tc>
      </w:tr>
      <w:tr w:rsidR="00DA0FDE" w14:paraId="3A94CFB6" w14:textId="77777777" w:rsidTr="00FF77F0">
        <w:trPr>
          <w:cantSplit/>
          <w:trHeight w:val="432"/>
        </w:trPr>
        <w:tc>
          <w:tcPr>
            <w:tcW w:w="2880" w:type="dxa"/>
            <w:vAlign w:val="center"/>
          </w:tcPr>
          <w:p w14:paraId="5297AFEE" w14:textId="77777777" w:rsidR="00DA0FDE" w:rsidRDefault="00DA0FDE" w:rsidP="00DA0FDE">
            <w:pPr>
              <w:ind w:left="-23"/>
            </w:pPr>
          </w:p>
        </w:tc>
        <w:tc>
          <w:tcPr>
            <w:tcW w:w="3600" w:type="dxa"/>
            <w:vAlign w:val="center"/>
          </w:tcPr>
          <w:p w14:paraId="20452158" w14:textId="26AD5CED" w:rsidR="00DA0FDE" w:rsidRDefault="00882A67" w:rsidP="00DA0FDE">
            <w:r>
              <w:t>Pledge to Provide Windows in Bedrooms</w:t>
            </w:r>
          </w:p>
        </w:tc>
        <w:tc>
          <w:tcPr>
            <w:tcW w:w="3168" w:type="dxa"/>
            <w:vAlign w:val="center"/>
          </w:tcPr>
          <w:p w14:paraId="171CFC52" w14:textId="29D4C6AA" w:rsidR="00DA0FDE" w:rsidRDefault="00882A67" w:rsidP="00DA0FDE">
            <w:r>
              <w:t>All projects, except for adaptive reuse projects with prior approval from NJHMFA</w:t>
            </w:r>
          </w:p>
        </w:tc>
        <w:tc>
          <w:tcPr>
            <w:tcW w:w="1152" w:type="dxa"/>
            <w:vAlign w:val="center"/>
          </w:tcPr>
          <w:p w14:paraId="4E0896FA" w14:textId="77777777" w:rsidR="00DA0FDE" w:rsidRDefault="00DA0FDE" w:rsidP="00DA0FDE"/>
        </w:tc>
      </w:tr>
      <w:tr w:rsidR="00DA0FDE" w14:paraId="04637FDD" w14:textId="77777777" w:rsidTr="00FF77F0">
        <w:trPr>
          <w:cantSplit/>
          <w:trHeight w:val="432"/>
        </w:trPr>
        <w:tc>
          <w:tcPr>
            <w:tcW w:w="2880" w:type="dxa"/>
            <w:vAlign w:val="center"/>
          </w:tcPr>
          <w:p w14:paraId="114F4F1B" w14:textId="7579A27C" w:rsidR="00DA0FDE" w:rsidRDefault="00DA0FDE" w:rsidP="00DA0FDE">
            <w:pPr>
              <w:ind w:left="-23"/>
            </w:pPr>
            <w:r>
              <w:t xml:space="preserve">12(c)20. </w:t>
            </w:r>
            <w:r w:rsidRPr="000D7A4F">
              <w:t>Waiver of Qualified Contract Process</w:t>
            </w:r>
          </w:p>
        </w:tc>
        <w:tc>
          <w:tcPr>
            <w:tcW w:w="3600" w:type="dxa"/>
            <w:vAlign w:val="center"/>
          </w:tcPr>
          <w:p w14:paraId="1C3DE8C2" w14:textId="32703CDC" w:rsidR="00DA0FDE" w:rsidRDefault="00882A67" w:rsidP="00DA0FDE">
            <w:r>
              <w:t>Waiver of Qualified Contract Process</w:t>
            </w:r>
          </w:p>
        </w:tc>
        <w:tc>
          <w:tcPr>
            <w:tcW w:w="3168" w:type="dxa"/>
            <w:vAlign w:val="center"/>
          </w:tcPr>
          <w:p w14:paraId="030DC176" w14:textId="67FA650C" w:rsidR="00DA0FDE" w:rsidRDefault="00DA0FDE" w:rsidP="00DA0FDE">
            <w:r>
              <w:t>All projects</w:t>
            </w:r>
          </w:p>
        </w:tc>
        <w:tc>
          <w:tcPr>
            <w:tcW w:w="1152" w:type="dxa"/>
            <w:vAlign w:val="center"/>
          </w:tcPr>
          <w:p w14:paraId="41C3821E" w14:textId="77777777" w:rsidR="00DA0FDE" w:rsidRDefault="00DA0FDE" w:rsidP="00DA0FDE"/>
        </w:tc>
      </w:tr>
      <w:tr w:rsidR="00DA0FDE" w14:paraId="22345919" w14:textId="77777777" w:rsidTr="00FF77F0">
        <w:trPr>
          <w:cantSplit/>
          <w:trHeight w:val="432"/>
        </w:trPr>
        <w:tc>
          <w:tcPr>
            <w:tcW w:w="2880" w:type="dxa"/>
            <w:vAlign w:val="center"/>
          </w:tcPr>
          <w:p w14:paraId="1E47FA8C" w14:textId="28A64709" w:rsidR="00DA0FDE" w:rsidRPr="000D7A4F" w:rsidRDefault="00DA0FDE" w:rsidP="00DA0FDE">
            <w:pPr>
              <w:ind w:left="-23"/>
            </w:pPr>
            <w:r>
              <w:t>12(c)21. Preserving the Right of First Refusal</w:t>
            </w:r>
          </w:p>
        </w:tc>
        <w:tc>
          <w:tcPr>
            <w:tcW w:w="3600" w:type="dxa"/>
            <w:vAlign w:val="center"/>
          </w:tcPr>
          <w:p w14:paraId="270BC978" w14:textId="1D6DAB9B" w:rsidR="00DA0FDE" w:rsidRDefault="00882A67" w:rsidP="00DA0FDE">
            <w:r>
              <w:t>Ac</w:t>
            </w:r>
            <w:r w:rsidR="00D8263E">
              <w:t>knowledgement of ROFR Policy</w:t>
            </w:r>
          </w:p>
        </w:tc>
        <w:tc>
          <w:tcPr>
            <w:tcW w:w="3168" w:type="dxa"/>
            <w:vAlign w:val="center"/>
          </w:tcPr>
          <w:p w14:paraId="698F2EC3" w14:textId="2D9EEBC4" w:rsidR="00DA0FDE" w:rsidRDefault="00DA0FDE" w:rsidP="00DA0FDE">
            <w:r>
              <w:t>All projects</w:t>
            </w:r>
          </w:p>
        </w:tc>
        <w:tc>
          <w:tcPr>
            <w:tcW w:w="1152" w:type="dxa"/>
            <w:vAlign w:val="center"/>
          </w:tcPr>
          <w:p w14:paraId="3501D425" w14:textId="77777777" w:rsidR="00DA0FDE" w:rsidRDefault="00DA0FDE" w:rsidP="00DA0FDE"/>
        </w:tc>
      </w:tr>
      <w:tr w:rsidR="00DA0FDE" w14:paraId="5F3B6A50" w14:textId="77777777" w:rsidTr="00FF77F0">
        <w:trPr>
          <w:cantSplit/>
          <w:trHeight w:val="432"/>
        </w:trPr>
        <w:tc>
          <w:tcPr>
            <w:tcW w:w="2880" w:type="dxa"/>
            <w:vAlign w:val="center"/>
          </w:tcPr>
          <w:p w14:paraId="67A75C02" w14:textId="07FF7AAF" w:rsidR="00DA0FDE" w:rsidRDefault="00DA0FDE" w:rsidP="00DA0FDE">
            <w:pPr>
              <w:ind w:left="-23"/>
            </w:pPr>
            <w:r>
              <w:t xml:space="preserve">12(a). </w:t>
            </w:r>
            <w:r w:rsidRPr="000D7A4F">
              <w:t>Inclusionary Review</w:t>
            </w:r>
          </w:p>
        </w:tc>
        <w:tc>
          <w:tcPr>
            <w:tcW w:w="3600" w:type="dxa"/>
            <w:vAlign w:val="center"/>
          </w:tcPr>
          <w:p w14:paraId="1A81ADD8" w14:textId="6F124677" w:rsidR="00DA0FDE" w:rsidRDefault="00DA0FDE" w:rsidP="00DA0FDE">
            <w:r>
              <w:t>Inclusionary Review Submission / Determination</w:t>
            </w:r>
          </w:p>
        </w:tc>
        <w:tc>
          <w:tcPr>
            <w:tcW w:w="3168" w:type="dxa"/>
            <w:vAlign w:val="center"/>
          </w:tcPr>
          <w:p w14:paraId="7BF6E745" w14:textId="797A9B4D" w:rsidR="00DA0FDE" w:rsidRDefault="00DA0FDE" w:rsidP="00DA0FDE">
            <w:r>
              <w:t>New Construction projects</w:t>
            </w:r>
          </w:p>
        </w:tc>
        <w:tc>
          <w:tcPr>
            <w:tcW w:w="1152" w:type="dxa"/>
            <w:vAlign w:val="center"/>
          </w:tcPr>
          <w:p w14:paraId="4A133DEC" w14:textId="77777777" w:rsidR="00DA0FDE" w:rsidRDefault="00DA0FDE" w:rsidP="00DA0FDE"/>
        </w:tc>
      </w:tr>
    </w:tbl>
    <w:p w14:paraId="637CBE91" w14:textId="77777777" w:rsidR="00326E7B" w:rsidRDefault="00326E7B">
      <w:r>
        <w:br w:type="page"/>
      </w:r>
    </w:p>
    <w:p w14:paraId="772ADD4C" w14:textId="7C9CCA8C" w:rsidR="00B22112" w:rsidRDefault="00B22112" w:rsidP="009647BF">
      <w:pPr>
        <w:pStyle w:val="Heading2"/>
        <w:numPr>
          <w:ilvl w:val="0"/>
          <w:numId w:val="7"/>
        </w:numPr>
        <w:ind w:left="360"/>
      </w:pPr>
      <w:bookmarkStart w:id="4" w:name="_Toc230012652"/>
      <w:r>
        <w:lastRenderedPageBreak/>
        <w:t>Market Analysis</w:t>
      </w:r>
      <w:bookmarkEnd w:id="4"/>
    </w:p>
    <w:p w14:paraId="458A5F9E" w14:textId="502814B8" w:rsidR="00326E7B" w:rsidRDefault="00326E7B" w:rsidP="00326E7B">
      <w:r>
        <w:t>Insert the following documentation in this section:</w:t>
      </w:r>
    </w:p>
    <w:p w14:paraId="6DE89AEA" w14:textId="0E0C92F0" w:rsidR="00326E7B" w:rsidRDefault="00350DFE" w:rsidP="009647BF">
      <w:pPr>
        <w:pStyle w:val="ListParagraph"/>
        <w:numPr>
          <w:ilvl w:val="0"/>
          <w:numId w:val="8"/>
        </w:numPr>
      </w:pPr>
      <w:r w:rsidRPr="00B60742">
        <w:rPr>
          <w:b/>
          <w:bCs/>
        </w:rPr>
        <w:t>Project Summary.</w:t>
      </w:r>
      <w:r>
        <w:t xml:space="preserve"> At a minimum, describe</w:t>
      </w:r>
      <w:r w:rsidR="000D301A">
        <w:t xml:space="preserve"> the following</w:t>
      </w:r>
      <w:r>
        <w:t>:</w:t>
      </w:r>
    </w:p>
    <w:p w14:paraId="7C3891F5" w14:textId="76BEC48D" w:rsidR="00350DFE" w:rsidRDefault="00350DFE" w:rsidP="009647BF">
      <w:pPr>
        <w:pStyle w:val="ListParagraph"/>
        <w:numPr>
          <w:ilvl w:val="1"/>
          <w:numId w:val="8"/>
        </w:numPr>
      </w:pPr>
      <w:r>
        <w:t>Type of housing proposed</w:t>
      </w:r>
    </w:p>
    <w:p w14:paraId="0C4BD2EB" w14:textId="7090DDB7" w:rsidR="00350DFE" w:rsidRDefault="00350DFE" w:rsidP="009647BF">
      <w:pPr>
        <w:pStyle w:val="ListParagraph"/>
        <w:numPr>
          <w:ilvl w:val="1"/>
          <w:numId w:val="8"/>
        </w:numPr>
      </w:pPr>
      <w:r>
        <w:t>Amenities</w:t>
      </w:r>
    </w:p>
    <w:p w14:paraId="2EA2A4E5" w14:textId="00975300" w:rsidR="00350DFE" w:rsidRDefault="00350DFE" w:rsidP="009647BF">
      <w:pPr>
        <w:pStyle w:val="ListParagraph"/>
        <w:numPr>
          <w:ilvl w:val="1"/>
          <w:numId w:val="8"/>
        </w:numPr>
      </w:pPr>
      <w:r>
        <w:t>Community space</w:t>
      </w:r>
    </w:p>
    <w:p w14:paraId="6EF4DA04" w14:textId="112F2586" w:rsidR="00350DFE" w:rsidRDefault="00350DFE" w:rsidP="009647BF">
      <w:pPr>
        <w:pStyle w:val="ListParagraph"/>
        <w:numPr>
          <w:ilvl w:val="1"/>
          <w:numId w:val="8"/>
        </w:numPr>
      </w:pPr>
      <w:r>
        <w:t>Need and demand for project</w:t>
      </w:r>
    </w:p>
    <w:p w14:paraId="3E1141E6" w14:textId="33FB7C40" w:rsidR="00350DFE" w:rsidRDefault="00350DFE" w:rsidP="009647BF">
      <w:pPr>
        <w:pStyle w:val="ListParagraph"/>
        <w:numPr>
          <w:ilvl w:val="1"/>
          <w:numId w:val="8"/>
        </w:numPr>
      </w:pPr>
      <w:r>
        <w:t>Impact on neighborhood</w:t>
      </w:r>
    </w:p>
    <w:p w14:paraId="47062121" w14:textId="39FB00F0" w:rsidR="00350DFE" w:rsidRDefault="00350DFE" w:rsidP="009647BF">
      <w:pPr>
        <w:pStyle w:val="ListParagraph"/>
        <w:numPr>
          <w:ilvl w:val="1"/>
          <w:numId w:val="8"/>
        </w:numPr>
      </w:pPr>
      <w:r>
        <w:t>Commercial space</w:t>
      </w:r>
    </w:p>
    <w:p w14:paraId="11193D40" w14:textId="2F9F64F2" w:rsidR="00350DFE" w:rsidRDefault="00350DFE" w:rsidP="009647BF">
      <w:pPr>
        <w:pStyle w:val="ListParagraph"/>
        <w:numPr>
          <w:ilvl w:val="1"/>
          <w:numId w:val="8"/>
        </w:numPr>
      </w:pPr>
      <w:r>
        <w:t>Photographs of site and existing structures from all significant perspectives</w:t>
      </w:r>
    </w:p>
    <w:p w14:paraId="6F4698F4" w14:textId="7B855003" w:rsidR="00350DFE" w:rsidRDefault="00350DFE" w:rsidP="009647BF">
      <w:pPr>
        <w:pStyle w:val="ListParagraph"/>
        <w:numPr>
          <w:ilvl w:val="1"/>
          <w:numId w:val="8"/>
        </w:numPr>
      </w:pPr>
      <w:r w:rsidRPr="00350DFE">
        <w:t>Photographs of all significant nearby land uses, including, but not limited to, those listed under the site selection point category (see Part III, Section C.11)</w:t>
      </w:r>
    </w:p>
    <w:p w14:paraId="06F0B8C0" w14:textId="4D55684A" w:rsidR="00350DFE" w:rsidRDefault="00350DFE" w:rsidP="009647BF">
      <w:pPr>
        <w:pStyle w:val="ListParagraph"/>
        <w:numPr>
          <w:ilvl w:val="1"/>
          <w:numId w:val="8"/>
        </w:numPr>
      </w:pPr>
      <w:r w:rsidRPr="00350DFE">
        <w:t>Preliminary drawings of the finished project including the site plan, floor plan, and elevations drawn to scale</w:t>
      </w:r>
    </w:p>
    <w:p w14:paraId="5FF23020" w14:textId="2486F58D" w:rsidR="00350DFE" w:rsidRDefault="00350DFE" w:rsidP="009647BF">
      <w:pPr>
        <w:pStyle w:val="ListParagraph"/>
        <w:numPr>
          <w:ilvl w:val="1"/>
          <w:numId w:val="8"/>
        </w:numPr>
      </w:pPr>
      <w:r>
        <w:t>If applicable:</w:t>
      </w:r>
    </w:p>
    <w:p w14:paraId="1CE58A78" w14:textId="18D45E9A" w:rsidR="00350DFE" w:rsidRDefault="008D1791" w:rsidP="009647BF">
      <w:pPr>
        <w:pStyle w:val="ListParagraph"/>
        <w:numPr>
          <w:ilvl w:val="2"/>
          <w:numId w:val="8"/>
        </w:numPr>
      </w:pPr>
      <w:r>
        <w:t>If the minimum bedroom distribution requirements are not met, an explanation for w</w:t>
      </w:r>
      <w:r w:rsidR="00350DFE">
        <w:t>hy the minimum bedroom distribution requirements are financially infeasible or inappropriate for the market area</w:t>
      </w:r>
      <w:r w:rsidR="000D301A">
        <w:t xml:space="preserve"> (Family Cycle ONLY)</w:t>
      </w:r>
    </w:p>
    <w:p w14:paraId="427AFB72" w14:textId="51AA6787" w:rsidR="000D301A" w:rsidRDefault="000D301A" w:rsidP="009647BF">
      <w:pPr>
        <w:pStyle w:val="ListParagraph"/>
        <w:numPr>
          <w:ilvl w:val="2"/>
          <w:numId w:val="8"/>
        </w:numPr>
      </w:pPr>
      <w:r>
        <w:t>Services being provided</w:t>
      </w:r>
    </w:p>
    <w:p w14:paraId="26066702" w14:textId="228C4553" w:rsidR="000D301A" w:rsidRDefault="000D301A" w:rsidP="009647BF">
      <w:pPr>
        <w:pStyle w:val="ListParagraph"/>
        <w:numPr>
          <w:ilvl w:val="2"/>
          <w:numId w:val="8"/>
        </w:numPr>
      </w:pPr>
      <w:r>
        <w:t>Plan for conversion to tenant ownership</w:t>
      </w:r>
    </w:p>
    <w:p w14:paraId="5C742927" w14:textId="3F37ACDB" w:rsidR="000D301A" w:rsidRDefault="000D301A" w:rsidP="009647BF">
      <w:pPr>
        <w:pStyle w:val="ListParagraph"/>
        <w:numPr>
          <w:ilvl w:val="2"/>
          <w:numId w:val="8"/>
        </w:numPr>
      </w:pPr>
      <w:r>
        <w:t>Adaptive reuse of a non-residential building</w:t>
      </w:r>
    </w:p>
    <w:p w14:paraId="53655E9D" w14:textId="7B343133" w:rsidR="000D301A" w:rsidRDefault="000D301A" w:rsidP="009647BF">
      <w:pPr>
        <w:pStyle w:val="ListParagraph"/>
        <w:numPr>
          <w:ilvl w:val="0"/>
          <w:numId w:val="8"/>
        </w:numPr>
      </w:pPr>
      <w:r w:rsidRPr="00B60742">
        <w:rPr>
          <w:b/>
          <w:bCs/>
        </w:rPr>
        <w:t>Market Study.</w:t>
      </w:r>
      <w:r w:rsidR="004A7097">
        <w:t xml:space="preserve"> </w:t>
      </w:r>
      <w:r w:rsidR="004A7097" w:rsidRPr="004A7097">
        <w:t xml:space="preserve">The market study must be certified to both the </w:t>
      </w:r>
      <w:r w:rsidR="00B60742">
        <w:t>applicant</w:t>
      </w:r>
      <w:r w:rsidR="004A7097" w:rsidRPr="004A7097">
        <w:t xml:space="preserve"> and NJHMFA, and have been performed within the past </w:t>
      </w:r>
      <w:r w:rsidR="00B60742">
        <w:t>six</w:t>
      </w:r>
      <w:r w:rsidR="004A7097" w:rsidRPr="004A7097">
        <w:t xml:space="preserve"> months. The analyst shall state in the certification that all market study requirements have been fully addressed. If any relevant information cannot be obtained, the analyst shall explain why the information cannot be obtained. The study shall also identify any assumptions, estimates, projections and models used in the analysis. The assumptions used in the market study (for example, project rents, unit mix, amenities, etc.) must precisely reflect the information provided in the tax credit application. The data and analysis shall clearly indicate enough demand in the market to support the proposed development. Any additional information appropriate to the market area and the project should be submitted to demonstrate the demand for the proposed housing project. The report shall include, at a minimum</w:t>
      </w:r>
      <w:r w:rsidR="00B60742">
        <w:t>:</w:t>
      </w:r>
    </w:p>
    <w:p w14:paraId="4C6722D8" w14:textId="058D3F6A" w:rsidR="002D53FE" w:rsidRDefault="002D53FE" w:rsidP="009647BF">
      <w:pPr>
        <w:pStyle w:val="ListParagraph"/>
        <w:numPr>
          <w:ilvl w:val="1"/>
          <w:numId w:val="8"/>
        </w:numPr>
      </w:pPr>
      <w:r w:rsidRPr="002D53FE">
        <w:t>A brief executive summary which includes the appropriate vacancy rate, capture rate, absorption period, and the market advantage from comparable market rate properties given the rents projected by the applicant, as well as a detailed table of contents which clearly identifies the location of the items listed below.</w:t>
      </w:r>
    </w:p>
    <w:p w14:paraId="3D089EFE" w14:textId="77777777" w:rsidR="002D53FE" w:rsidRDefault="002D53FE" w:rsidP="009647BF">
      <w:pPr>
        <w:pStyle w:val="ListParagraph"/>
        <w:numPr>
          <w:ilvl w:val="1"/>
          <w:numId w:val="8"/>
        </w:numPr>
      </w:pPr>
      <w:r>
        <w:t>D</w:t>
      </w:r>
      <w:r w:rsidRPr="002D53FE">
        <w:t>escription</w:t>
      </w:r>
      <w:r>
        <w:t>s</w:t>
      </w:r>
      <w:r w:rsidRPr="002D53FE">
        <w:t xml:space="preserve"> of</w:t>
      </w:r>
      <w:r>
        <w:t>:</w:t>
      </w:r>
    </w:p>
    <w:p w14:paraId="4DACFAAF" w14:textId="77777777" w:rsidR="002D53FE" w:rsidRDefault="002D53FE" w:rsidP="009647BF">
      <w:pPr>
        <w:pStyle w:val="ListParagraph"/>
        <w:numPr>
          <w:ilvl w:val="2"/>
          <w:numId w:val="8"/>
        </w:numPr>
      </w:pPr>
      <w:r>
        <w:t>T</w:t>
      </w:r>
      <w:r w:rsidRPr="002D53FE">
        <w:t>he proposed site, including pictures of the site and existing structures, pictures of the immediate neighborhood, visibility/access/exposure, proximity to retail and employment, detailed neighborhood and market area maps showing all significant nearby land uses, block and lot numbers of each parcel, site acreage, available public services and public transportation, and existing infrastructure.</w:t>
      </w:r>
    </w:p>
    <w:p w14:paraId="0567A9FA" w14:textId="4C9509C0" w:rsidR="002D53FE" w:rsidRDefault="002D53FE" w:rsidP="009647BF">
      <w:pPr>
        <w:pStyle w:val="ListParagraph"/>
        <w:numPr>
          <w:ilvl w:val="2"/>
          <w:numId w:val="8"/>
        </w:numPr>
      </w:pPr>
      <w:r>
        <w:lastRenderedPageBreak/>
        <w:t>T</w:t>
      </w:r>
      <w:r w:rsidRPr="002D53FE">
        <w:t>he proposed improvements</w:t>
      </w:r>
      <w:r>
        <w:t>,</w:t>
      </w:r>
      <w:r w:rsidRPr="002D53FE">
        <w:t xml:space="preserve"> including unit mix, a commentary on the preliminary drawings including unit size and design, proposed project and unit amenities</w:t>
      </w:r>
      <w:r w:rsidR="00294FAA">
        <w:t>, number of parking spaces,</w:t>
      </w:r>
      <w:r w:rsidRPr="002D53FE">
        <w:t xml:space="preserve"> and any applicable tenant charges, tenant-paid utilities and project-paid utilities. Detailed monthly utility allowance figures </w:t>
      </w:r>
      <w:r>
        <w:t>must</w:t>
      </w:r>
      <w:r w:rsidRPr="002D53FE">
        <w:t xml:space="preserve"> be presented separately for each utility type (for example, electric, gas, etc.) and for each unit type within the project</w:t>
      </w:r>
      <w:r>
        <w:t>.</w:t>
      </w:r>
    </w:p>
    <w:p w14:paraId="452FE58C" w14:textId="42811CCB" w:rsidR="00294FAA" w:rsidRDefault="00294FAA" w:rsidP="009647BF">
      <w:pPr>
        <w:pStyle w:val="ListParagraph"/>
        <w:numPr>
          <w:ilvl w:val="1"/>
          <w:numId w:val="8"/>
        </w:numPr>
      </w:pPr>
      <w:r w:rsidRPr="00294FAA">
        <w:t xml:space="preserve">Geographic definition and analysis of the market area, including a comprehensive and reasonable rationale for the suggested market area with supporting evidence. For example, the market area may be defined as the area in which properties compete with the subject property for tenants, or the area immediately surrounding the project from which </w:t>
      </w:r>
      <w:r>
        <w:t>60</w:t>
      </w:r>
      <w:r w:rsidR="00C8413D">
        <w:t>–</w:t>
      </w:r>
      <w:r>
        <w:t>70</w:t>
      </w:r>
      <w:r w:rsidR="00C8413D">
        <w:t>%</w:t>
      </w:r>
      <w:r w:rsidRPr="00294FAA">
        <w:t xml:space="preserve"> of the residents are expected to be drawn, taking into account political and natural boundaries, socioeconomic characteristics, and the areas from which nearby rental developments draw new tenants. The market area shall be evaluated on the basis of employment and income levels and trends, the presence of local revitalization projects, the number of substandard units in the market</w:t>
      </w:r>
      <w:r>
        <w:t>,</w:t>
      </w:r>
      <w:r w:rsidRPr="00294FAA">
        <w:t xml:space="preserve"> and the number of cost burdened households in the market. As available, interviews shall be conducted with area apartment managers to establish mobility patterns in the area. Particular attention should be given to tax credit properties. The results of the interview</w:t>
      </w:r>
      <w:r>
        <w:t>(s)</w:t>
      </w:r>
      <w:r w:rsidRPr="00294FAA">
        <w:t xml:space="preserve"> shall be reported showing the percentage of residents by neighborhood/community. </w:t>
      </w:r>
      <w:r w:rsidR="00C8413D">
        <w:t>If</w:t>
      </w:r>
      <w:r w:rsidRPr="00294FAA">
        <w:t xml:space="preserve"> the subject property is an existing rental development or later phase of an existing development, detailed tenure by prior residence must be shown. Additional explanation shall be provided for any market area with boundaries in excess of 3 miles (urban) or 5 miles (rural) of the site</w:t>
      </w:r>
      <w:r>
        <w:t>.</w:t>
      </w:r>
    </w:p>
    <w:p w14:paraId="44C03086" w14:textId="0B6EBC2F" w:rsidR="00294FAA" w:rsidRDefault="00294FAA" w:rsidP="009647BF">
      <w:pPr>
        <w:pStyle w:val="ListParagraph"/>
        <w:numPr>
          <w:ilvl w:val="1"/>
          <w:numId w:val="8"/>
        </w:numPr>
      </w:pPr>
      <w:r w:rsidRPr="00294FAA">
        <w:t xml:space="preserve">An </w:t>
      </w:r>
      <w:r>
        <w:t>e</w:t>
      </w:r>
      <w:r w:rsidRPr="00294FAA">
        <w:t>conomic analysis that provides the reader context to better understand the household and rent trends in the market. Topics addressed should include:</w:t>
      </w:r>
    </w:p>
    <w:p w14:paraId="616470AE" w14:textId="7BD2E5A4" w:rsidR="00294FAA" w:rsidRDefault="00C23639" w:rsidP="009647BF">
      <w:pPr>
        <w:pStyle w:val="ListParagraph"/>
        <w:numPr>
          <w:ilvl w:val="2"/>
          <w:numId w:val="8"/>
        </w:numPr>
      </w:pPr>
      <w:r w:rsidRPr="00C23639">
        <w:t>Presentation of data and analysis pertaining to the trend in resident employment and unemployment;</w:t>
      </w:r>
    </w:p>
    <w:p w14:paraId="4EB227C9" w14:textId="1F46D4C9" w:rsidR="00C23639" w:rsidRDefault="00C23639" w:rsidP="009647BF">
      <w:pPr>
        <w:pStyle w:val="ListParagraph"/>
        <w:numPr>
          <w:ilvl w:val="2"/>
          <w:numId w:val="8"/>
        </w:numPr>
      </w:pPr>
      <w:r w:rsidRPr="00C23639">
        <w:t>Presentation of data and analysis pertaining to trends over the past five years in total at-place employment (that is, jobs) in the county in which the subject site is located;</w:t>
      </w:r>
    </w:p>
    <w:p w14:paraId="5EA66202" w14:textId="23762FBC" w:rsidR="00C23639" w:rsidRDefault="00C23639" w:rsidP="009647BF">
      <w:pPr>
        <w:pStyle w:val="ListParagraph"/>
        <w:numPr>
          <w:ilvl w:val="2"/>
          <w:numId w:val="8"/>
        </w:numPr>
      </w:pPr>
      <w:r w:rsidRPr="00C23639">
        <w:t>Presentation of data and analysis pertaining to at-place employment by industry sector for the Primary Market Are</w:t>
      </w:r>
      <w:r>
        <w:t>a</w:t>
      </w:r>
      <w:r w:rsidRPr="00C23639">
        <w:t xml:space="preserve"> (PMA) or </w:t>
      </w:r>
      <w:r>
        <w:t xml:space="preserve">the </w:t>
      </w:r>
      <w:r w:rsidRPr="00C23639">
        <w:t xml:space="preserve">smallest available geographic area that includes the PMA and comparison to </w:t>
      </w:r>
      <w:r>
        <w:t xml:space="preserve">the </w:t>
      </w:r>
      <w:r w:rsidRPr="00C23639">
        <w:t>appropriate larger geographic area (that is, city, county, MSA, or labor market area);</w:t>
      </w:r>
    </w:p>
    <w:p w14:paraId="344ABFB7" w14:textId="089FB2A6" w:rsidR="00C23639" w:rsidRDefault="00C23639" w:rsidP="009647BF">
      <w:pPr>
        <w:pStyle w:val="ListParagraph"/>
        <w:numPr>
          <w:ilvl w:val="2"/>
          <w:numId w:val="8"/>
        </w:numPr>
      </w:pPr>
      <w:r w:rsidRPr="00C23639">
        <w:t>List of major employers in the PMA or other appropriate small geographic area and announced changes in workforce (that is, expansions, contractions, and relocations), contractions in their workforces, as well as newly announced employers and their anticipated effect on the local economy; and</w:t>
      </w:r>
    </w:p>
    <w:p w14:paraId="04AC7C20" w14:textId="50C4DF6F" w:rsidR="00C23639" w:rsidRDefault="00C23639" w:rsidP="009647BF">
      <w:pPr>
        <w:pStyle w:val="ListParagraph"/>
        <w:numPr>
          <w:ilvl w:val="2"/>
          <w:numId w:val="8"/>
        </w:numPr>
      </w:pPr>
      <w:r w:rsidRPr="00C23639">
        <w:t>A map of major employers and employment centers in relation to the subject property.</w:t>
      </w:r>
    </w:p>
    <w:p w14:paraId="666C38F1" w14:textId="6E8C00DC" w:rsidR="00C23639" w:rsidRDefault="00C8413D" w:rsidP="009647BF">
      <w:pPr>
        <w:pStyle w:val="ListParagraph"/>
        <w:numPr>
          <w:ilvl w:val="1"/>
          <w:numId w:val="8"/>
        </w:numPr>
      </w:pPr>
      <w:r w:rsidRPr="00C8413D">
        <w:t>A demographic analysis of the owner and renter households in the market area in b</w:t>
      </w:r>
      <w:r>
        <w:t>.</w:t>
      </w:r>
      <w:r w:rsidRPr="00C8413D">
        <w:t>3 above which are income</w:t>
      </w:r>
      <w:r>
        <w:t>-</w:t>
      </w:r>
      <w:r w:rsidRPr="00C8413D">
        <w:t>eligible and can afford to pay the rent (assuming potential households may spend up to 40% of their income on housing expenses). When appropriate, the eligible households shall also be analyzed by household size, race, ethnicity, and age. Market studies submitted for projects applying to the Age-Friendly Senior Cycle shall also include an evaluation of the market for the eligible population over 70 years old. Demographics from the last decennial census shall be updated to reflect current market conditions and shall be the basis for projected demographics. This research data shall be provided in the appendix and shall be from an organization such as Nielsen or a governmental source such as the American Community Survey, metropolitan planning organizations or local planning agencies. Supportive Housing projects shall also provide demographics on the special need population in the project in order to substantiate need and demand at projected rent levels</w:t>
      </w:r>
      <w:r w:rsidR="000D5D8B">
        <w:t>.</w:t>
      </w:r>
    </w:p>
    <w:p w14:paraId="74AEDEE2" w14:textId="395E8C2B" w:rsidR="000D5D8B" w:rsidRDefault="000D5D8B" w:rsidP="009647BF">
      <w:pPr>
        <w:pStyle w:val="ListParagraph"/>
        <w:numPr>
          <w:ilvl w:val="1"/>
          <w:numId w:val="8"/>
        </w:numPr>
      </w:pPr>
      <w:r w:rsidRPr="000D5D8B">
        <w:t xml:space="preserve">Rent, vacancy and amenity surveys by unit size of market rate, affordable and subsidized properties. The affordable property survey shall include all LIHTC properties in the market area. Include those projects that are currently under construction or have received preliminary site plan approval. A rent adjustment analysis of the most comparable properties to the subject should be presented to derive a market rent for each unit types. Data shall include, at a minimum, a grid analysis by unit size for rents, amenities, unit features, unit square footage, age, number of </w:t>
      </w:r>
      <w:r w:rsidRPr="000D5D8B">
        <w:lastRenderedPageBreak/>
        <w:t xml:space="preserve">bathrooms, tenant-paid utilities, rent per square foot, location, physical condition and curb appeal. Rents shall be adjusted, especially for utility and amenity charges, so that appropriate comparisons can be made. The proposed rent should have at least a 10 percent rent advantage in relation to the estimate of market rent. Additional information concerning unit mix, vacancy and turnover rates, operating expenses, rent trends, rent concessions, rent control, waiting lists, absorption per month, design, contact and contact phone number shall be provided in a grid or narrative format when available. The market study shall contain a minimum of three rent </w:t>
      </w:r>
      <w:proofErr w:type="spellStart"/>
      <w:r w:rsidRPr="000D5D8B">
        <w:t>comparables</w:t>
      </w:r>
      <w:proofErr w:type="spellEnd"/>
      <w:r w:rsidRPr="000D5D8B">
        <w:t xml:space="preserve"> for each unit size. All comparable properties should be within the delineated market area when possible. In cases where a comparable project has to be chosen from outside the market area (for example, where there is not enough similar rental product in the market area), appropriate adjustments should be made for location differences. At least one picture of each comparable and a detailed street map which shows the location of each comparable shall be provided. In addition, if the building that is the subject of the tax credit application is currently occupied, rent rolls and current tenant incomes shall be provided and analyzed</w:t>
      </w:r>
      <w:r>
        <w:t>.</w:t>
      </w:r>
    </w:p>
    <w:p w14:paraId="51B56C4F" w14:textId="79457BE7" w:rsidR="000D5D8B" w:rsidRDefault="00D24C5A" w:rsidP="009647BF">
      <w:pPr>
        <w:pStyle w:val="ListParagraph"/>
        <w:numPr>
          <w:ilvl w:val="1"/>
          <w:numId w:val="8"/>
        </w:numPr>
      </w:pPr>
      <w:r w:rsidRPr="00D24C5A">
        <w:t>The capture rate, absorption period and the impact the proposed rental housing may have on existing inventory. The capture rate is the number of units in the project divided by the net demand for the project, where the net demand is the number of households that are income eligible and can afford to pay the rent minus the number of comparable affordable units in the market area. For purposes of the market study, the maximum annual household income for the tax credit units shall be equal to 50 or 60 or 80 percent of the area median income (depending on whether the applicant chose the 20% @ 50%</w:t>
      </w:r>
      <w:r>
        <w:t>,</w:t>
      </w:r>
      <w:r w:rsidRPr="00D24C5A">
        <w:t xml:space="preserve"> 40% @ 60%</w:t>
      </w:r>
      <w:r>
        <w:t>,</w:t>
      </w:r>
      <w:r w:rsidRPr="00D24C5A">
        <w:t xml:space="preserve"> or Income Averag</w:t>
      </w:r>
      <w:r>
        <w:t>ing</w:t>
      </w:r>
      <w:r w:rsidRPr="00D24C5A">
        <w:t xml:space="preserve"> </w:t>
      </w:r>
      <w:r>
        <w:t>f</w:t>
      </w:r>
      <w:r w:rsidRPr="00D24C5A">
        <w:t>ederal set-aside) of a household. The maximum income limit shall be based on an average household size of 1.5 persons per bedroom for the largest tax credit unit. For single room occupancy projects, the maximum income limit shall be based on the assumption of one person per unit. Maximum income limits for all proposed senior projects shall be limited to a two-person household. The minimum annual household income for the tax credit units shall be equal to the lowest tax credit gross rent multiplied by 30 (which assumes that potential households may spend up to 40 percent of their income on housing expenses on a monthly basis). The absorption period is a forecast of the number of months that will elapse from the completion of construction to stabilization (93 percent occupancy) of the project as a whole, taking into consideration a reasonable vacancy rate. Sample calculations of capture rate and absorption period shall be shown in the report, and NJHMFA shall be able to reconstruct the estimates using the data and methods in the market study. When additional analysis is appropriate, methods shall consider demographic trends, age of householders, the size of renter households, the unit mix of the project, the amount of home ownership in the target population, the cost of home ownership in the market area, approved projects not yet placed in service and any other significant factors. The impact of the subject project on existing housing in the market area shall also be addressed</w:t>
      </w:r>
      <w:r>
        <w:t>.</w:t>
      </w:r>
    </w:p>
    <w:p w14:paraId="3C88EB3A" w14:textId="1D4819BB" w:rsidR="00D24C5A" w:rsidRDefault="00D24C5A" w:rsidP="009647BF">
      <w:pPr>
        <w:pStyle w:val="ListParagraph"/>
        <w:numPr>
          <w:ilvl w:val="1"/>
          <w:numId w:val="8"/>
        </w:numPr>
      </w:pPr>
      <w:r w:rsidRPr="00D24C5A">
        <w:t>If applicable, the appropriate rent per square foot and vacancy factor based on market conditions for any commercial space in the project</w:t>
      </w:r>
      <w:r>
        <w:t>.</w:t>
      </w:r>
    </w:p>
    <w:p w14:paraId="63D5DF29" w14:textId="23DD2041" w:rsidR="00D24C5A" w:rsidRDefault="00D24C5A" w:rsidP="009647BF">
      <w:pPr>
        <w:pStyle w:val="ListParagraph"/>
        <w:numPr>
          <w:ilvl w:val="1"/>
          <w:numId w:val="8"/>
        </w:numPr>
      </w:pPr>
      <w:r w:rsidRPr="00D24C5A">
        <w:t>A conclusion forecast regarding the potential viability of the proposed project that states the strengths and weaknesses of the project, compatibility of surrounding land uses, appropriateness of project design and amenities, and the reasonableness of projected rents. In addition, the analyst shall state whether sufficient demand from targeted households exists for the development as proposed. Suggestions to make the project more marketable shall be provided if appropriate. All conclusions shall be based on data analyzed in the body of the report</w:t>
      </w:r>
      <w:r>
        <w:t>.</w:t>
      </w:r>
    </w:p>
    <w:p w14:paraId="54A730CF" w14:textId="77777777" w:rsidR="00D24C5A" w:rsidRDefault="00D24C5A" w:rsidP="009647BF">
      <w:pPr>
        <w:pStyle w:val="ListParagraph"/>
        <w:numPr>
          <w:ilvl w:val="1"/>
          <w:numId w:val="8"/>
        </w:numPr>
      </w:pPr>
      <w:r w:rsidRPr="00D24C5A">
        <w:t>A statement of the competency of the analyst conducting the study. The market analyst shall certify that:</w:t>
      </w:r>
    </w:p>
    <w:p w14:paraId="6942BD1A" w14:textId="77777777" w:rsidR="00D24C5A" w:rsidRDefault="00D24C5A" w:rsidP="009647BF">
      <w:pPr>
        <w:pStyle w:val="ListParagraph"/>
        <w:numPr>
          <w:ilvl w:val="2"/>
          <w:numId w:val="8"/>
        </w:numPr>
      </w:pPr>
      <w:r w:rsidRPr="00D24C5A">
        <w:t xml:space="preserve">They are an independent, third-party professional with no financial interest in the project other than in the practice of </w:t>
      </w:r>
      <w:r>
        <w:t>t</w:t>
      </w:r>
      <w:r w:rsidRPr="00D24C5A">
        <w:t>he</w:t>
      </w:r>
      <w:r>
        <w:t>i</w:t>
      </w:r>
      <w:r w:rsidRPr="00D24C5A">
        <w:t xml:space="preserve">r profession (for example, </w:t>
      </w:r>
      <w:r>
        <w:t>t</w:t>
      </w:r>
      <w:r w:rsidRPr="00D24C5A">
        <w:t>he</w:t>
      </w:r>
      <w:r>
        <w:t>i</w:t>
      </w:r>
      <w:r w:rsidRPr="00D24C5A">
        <w:t>r fee for preparing the report is not contingent upon project completion and/or an award of tax credits);</w:t>
      </w:r>
    </w:p>
    <w:p w14:paraId="0A72AFE8" w14:textId="77777777" w:rsidR="00D24C5A" w:rsidRDefault="00D24C5A" w:rsidP="009647BF">
      <w:pPr>
        <w:pStyle w:val="ListParagraph"/>
        <w:numPr>
          <w:ilvl w:val="2"/>
          <w:numId w:val="8"/>
        </w:numPr>
      </w:pPr>
      <w:r w:rsidRPr="00D24C5A">
        <w:t>They have the requisite knowledge to proceed with the study;</w:t>
      </w:r>
    </w:p>
    <w:p w14:paraId="1C42849F" w14:textId="77777777" w:rsidR="00D24C5A" w:rsidRDefault="00D24C5A" w:rsidP="009647BF">
      <w:pPr>
        <w:pStyle w:val="ListParagraph"/>
        <w:numPr>
          <w:ilvl w:val="2"/>
          <w:numId w:val="8"/>
        </w:numPr>
      </w:pPr>
      <w:r w:rsidRPr="00D24C5A">
        <w:t>They have personally inspected the subject property and the comparable properties analyzed in the report; and</w:t>
      </w:r>
    </w:p>
    <w:p w14:paraId="433A52F8" w14:textId="77777777" w:rsidR="00D24C5A" w:rsidRDefault="00D24C5A" w:rsidP="009647BF">
      <w:pPr>
        <w:pStyle w:val="ListParagraph"/>
        <w:numPr>
          <w:ilvl w:val="2"/>
          <w:numId w:val="8"/>
        </w:numPr>
      </w:pPr>
      <w:r w:rsidRPr="00D24C5A">
        <w:lastRenderedPageBreak/>
        <w:t>They have conducted the study in accordance with the Model Content Standards for Market Studies for Rental Housing of the National Council of Housing Market Analysts (NCHMA).</w:t>
      </w:r>
    </w:p>
    <w:p w14:paraId="609D9E70" w14:textId="4B8FEE5C" w:rsidR="00D24C5A" w:rsidRDefault="00D24C5A" w:rsidP="006E0E99">
      <w:r>
        <w:t xml:space="preserve">Note: </w:t>
      </w:r>
      <w:r w:rsidRPr="00D24C5A">
        <w:t xml:space="preserve">The provisions at N.J.A.C. 5:80-33.11(d) and (e) </w:t>
      </w:r>
      <w:r>
        <w:t>concerning curable defects do</w:t>
      </w:r>
      <w:r w:rsidRPr="00D24C5A">
        <w:t xml:space="preserve"> not apply to market studies. Instead, during the market study review process, a reviewer contracted by NJHMFA shall notify the independent, third-party professional who completed the market study by telephone and, simultaneously, by email about significant missing or unclear components of the market study. A copy of such correspondence shall also be simultaneously sent to NJHMFA and the tax credit applicant. Failure of the independent, third-party professional who completed the market study to provide a sufficient response within five business days about significant missing or unclear components of a market study shall result in an application being declared ineligible.</w:t>
      </w:r>
    </w:p>
    <w:p w14:paraId="6BE620B2" w14:textId="0004F4BF" w:rsidR="00D24C5A" w:rsidRDefault="006E0E99" w:rsidP="009647BF">
      <w:pPr>
        <w:pStyle w:val="ListParagraph"/>
        <w:numPr>
          <w:ilvl w:val="0"/>
          <w:numId w:val="8"/>
        </w:numPr>
      </w:pPr>
      <w:r w:rsidRPr="006E0E99">
        <w:t xml:space="preserve">For projects of 25 units or </w:t>
      </w:r>
      <w:r>
        <w:t>fewer</w:t>
      </w:r>
      <w:r w:rsidRPr="006E0E99">
        <w:t xml:space="preserve"> and projects receiving Project Based Section 8 rental assistance for 100 percent of the units, </w:t>
      </w:r>
      <w:r>
        <w:t>a limited mark</w:t>
      </w:r>
      <w:r w:rsidRPr="006E0E99">
        <w:t xml:space="preserve"> analysis </w:t>
      </w:r>
      <w:r>
        <w:t>m</w:t>
      </w:r>
      <w:r w:rsidRPr="006E0E99">
        <w:t>ay be submitted</w:t>
      </w:r>
      <w:r>
        <w:t>, which must include:</w:t>
      </w:r>
    </w:p>
    <w:p w14:paraId="504AF1A7" w14:textId="54231C1C" w:rsidR="006E0E99" w:rsidRDefault="006E0E99" w:rsidP="009647BF">
      <w:pPr>
        <w:pStyle w:val="ListParagraph"/>
        <w:numPr>
          <w:ilvl w:val="1"/>
          <w:numId w:val="8"/>
        </w:numPr>
      </w:pPr>
      <w:r>
        <w:t xml:space="preserve">Provided by the third-party analyst, </w:t>
      </w:r>
      <w:r w:rsidRPr="006E0E99">
        <w:t>a description of the proposed site and proposed improvements, a geographic definition and analysis of the market area, age and income demographics within the defined market area and rent, vacancy and amenity surveys by unit size of market rate, affordable and subsidized properties. In addition, a rent adjustment analysis shall be provided of the properties most comparable to the subject property. For suggestions, see related subsections of part b above.</w:t>
      </w:r>
    </w:p>
    <w:p w14:paraId="593D8600" w14:textId="782DD364" w:rsidR="006E0E99" w:rsidRDefault="006E0E99" w:rsidP="009647BF">
      <w:pPr>
        <w:pStyle w:val="ListParagraph"/>
        <w:numPr>
          <w:ilvl w:val="1"/>
          <w:numId w:val="8"/>
        </w:numPr>
      </w:pPr>
      <w:r>
        <w:t>The requirements at b.8 through b.11 above.</w:t>
      </w:r>
    </w:p>
    <w:p w14:paraId="378CC024" w14:textId="6FCF10F4" w:rsidR="006E0E99" w:rsidRDefault="006E0E99" w:rsidP="009647BF">
      <w:pPr>
        <w:pStyle w:val="ListParagraph"/>
        <w:numPr>
          <w:ilvl w:val="0"/>
          <w:numId w:val="8"/>
        </w:numPr>
      </w:pPr>
      <w:r w:rsidRPr="006E0E99">
        <w:t xml:space="preserve">Updates of market studies more than six months old must reflect a recent site visit by the market analyst, updated information on the comparable properties and an analysis of any significant changes to the subject development. </w:t>
      </w:r>
      <w:r w:rsidRPr="006E0E99">
        <w:rPr>
          <w:u w:val="single"/>
        </w:rPr>
        <w:t>Only one update to the market study is permitted. Applicants shall include both the original market study and any applicable update in the application submission.</w:t>
      </w:r>
    </w:p>
    <w:p w14:paraId="56F0E3C5" w14:textId="7A61258C" w:rsidR="00612FDD" w:rsidRDefault="00612FDD">
      <w:r>
        <w:br w:type="page"/>
      </w:r>
    </w:p>
    <w:p w14:paraId="1A2E0FC7" w14:textId="4AC30230" w:rsidR="00B22112" w:rsidRDefault="00B22112" w:rsidP="00B22112">
      <w:pPr>
        <w:pStyle w:val="Heading2"/>
      </w:pPr>
      <w:bookmarkStart w:id="5" w:name="_Toc230012653"/>
      <w:r>
        <w:lastRenderedPageBreak/>
        <w:t>Site Control</w:t>
      </w:r>
      <w:bookmarkEnd w:id="5"/>
    </w:p>
    <w:p w14:paraId="04C1C176" w14:textId="73B41FB5" w:rsidR="004A6138" w:rsidRPr="00FF77F0" w:rsidRDefault="004A6138" w:rsidP="00612FDD">
      <w:pPr>
        <w:rPr>
          <w:b/>
          <w:bCs/>
          <w:color w:val="C00000"/>
        </w:rPr>
      </w:pPr>
      <w:r w:rsidRPr="00FF77F0">
        <w:rPr>
          <w:b/>
          <w:bCs/>
          <w:color w:val="C00000"/>
        </w:rPr>
        <w:t>NOTE: If multiple documents are necessary to evidence site control, there shall be no lapse in the chain of site control documentation, such that the applicant’s right of site control over the property from the property owner is evidenced.</w:t>
      </w:r>
    </w:p>
    <w:p w14:paraId="3BC732F3" w14:textId="5B87D34B" w:rsidR="00612FDD" w:rsidRDefault="00612FDD" w:rsidP="00612FDD">
      <w:r>
        <w:t>Submit evidence of site control in this section via any one or a combination of the following:</w:t>
      </w:r>
    </w:p>
    <w:p w14:paraId="2858982A" w14:textId="694C26BD" w:rsidR="00612FDD" w:rsidRDefault="00612FDD" w:rsidP="009647BF">
      <w:pPr>
        <w:pStyle w:val="ListParagraph"/>
        <w:numPr>
          <w:ilvl w:val="0"/>
          <w:numId w:val="9"/>
        </w:numPr>
      </w:pPr>
      <w:r>
        <w:t>Fee simple title by way of deed.</w:t>
      </w:r>
    </w:p>
    <w:p w14:paraId="2DFEA793" w14:textId="03AA830C" w:rsidR="00612FDD" w:rsidRDefault="00612FDD" w:rsidP="009647BF">
      <w:pPr>
        <w:pStyle w:val="ListParagraph"/>
        <w:numPr>
          <w:ilvl w:val="0"/>
          <w:numId w:val="9"/>
        </w:numPr>
      </w:pPr>
      <w:r>
        <w:t>Long-term ground lease or option to enter into a ground lease.</w:t>
      </w:r>
      <w:r w:rsidR="004C4B0E">
        <w:t xml:space="preserve"> </w:t>
      </w:r>
      <w:r>
        <w:t>The lease must be for a minimum term of the compliance and extended use periods</w:t>
      </w:r>
      <w:r w:rsidR="004C4B0E">
        <w:t>—e</w:t>
      </w:r>
      <w:r>
        <w:t>.g., if the compliance period is 30 years, the term of the lease cannot be less than 45 years.</w:t>
      </w:r>
    </w:p>
    <w:p w14:paraId="073396B0" w14:textId="7905FD9D" w:rsidR="00612FDD" w:rsidRDefault="00612FDD" w:rsidP="009647BF">
      <w:pPr>
        <w:pStyle w:val="ListParagraph"/>
        <w:numPr>
          <w:ilvl w:val="0"/>
          <w:numId w:val="9"/>
        </w:numPr>
      </w:pPr>
      <w:r>
        <w:t xml:space="preserve">Option agreement to purchase or lease, including evidence that options are renewable </w:t>
      </w:r>
      <w:r w:rsidR="004C4B0E">
        <w:t xml:space="preserve">and will not expire </w:t>
      </w:r>
      <w:r>
        <w:t xml:space="preserve">until at least the </w:t>
      </w:r>
      <w:r w:rsidR="004C4B0E">
        <w:t xml:space="preserve">anticipated date for </w:t>
      </w:r>
      <w:r>
        <w:t>start of construction.</w:t>
      </w:r>
    </w:p>
    <w:p w14:paraId="6FE34B4B" w14:textId="0BD0DB9F" w:rsidR="00612FDD" w:rsidRDefault="00612FDD" w:rsidP="009647BF">
      <w:pPr>
        <w:pStyle w:val="ListParagraph"/>
        <w:numPr>
          <w:ilvl w:val="0"/>
          <w:numId w:val="9"/>
        </w:numPr>
      </w:pPr>
      <w:r>
        <w:t>Executed contract of sale or other enforceable agreement for acquisition of the property.</w:t>
      </w:r>
    </w:p>
    <w:p w14:paraId="0DF66985" w14:textId="08246CE7" w:rsidR="00612FDD" w:rsidRDefault="00612FDD" w:rsidP="009647BF">
      <w:pPr>
        <w:pStyle w:val="ListParagraph"/>
        <w:numPr>
          <w:ilvl w:val="0"/>
          <w:numId w:val="9"/>
        </w:numPr>
      </w:pPr>
      <w:r>
        <w:t>An executed disposition and development agreement with a public agency that specifies the site(s) to be acquired</w:t>
      </w:r>
      <w:r w:rsidR="007E03C4">
        <w:t>.</w:t>
      </w:r>
    </w:p>
    <w:p w14:paraId="21ABCB54" w14:textId="56A410B5" w:rsidR="007E03C4" w:rsidRDefault="007E03C4" w:rsidP="007E03C4">
      <w:r>
        <w:t>The acquisition price and basis shall be limited to the lesser of the purchase price or the “as is” appraised value of the building and/or land.</w:t>
      </w:r>
    </w:p>
    <w:p w14:paraId="330A944E" w14:textId="1D4CAD94" w:rsidR="007E03C4" w:rsidRDefault="00612FDD" w:rsidP="007E03C4">
      <w:r>
        <w:t>If the property is to be or may be acquired by eminent domain/condemnation proceedings</w:t>
      </w:r>
      <w:r w:rsidR="007E03C4">
        <w:t>:</w:t>
      </w:r>
    </w:p>
    <w:p w14:paraId="73644BA9" w14:textId="77777777" w:rsidR="007E03C4" w:rsidRDefault="007E03C4" w:rsidP="009647BF">
      <w:pPr>
        <w:pStyle w:val="ListParagraph"/>
        <w:numPr>
          <w:ilvl w:val="0"/>
          <w:numId w:val="10"/>
        </w:numPr>
      </w:pPr>
      <w:r>
        <w:t>T</w:t>
      </w:r>
      <w:r w:rsidR="00612FDD">
        <w:t>he condemner shall be identified, as such term is defined at N.J.S.A. 20:3-2, or its successor.</w:t>
      </w:r>
    </w:p>
    <w:p w14:paraId="439427DF" w14:textId="77777777" w:rsidR="007E03C4" w:rsidRDefault="00612FDD" w:rsidP="009647BF">
      <w:pPr>
        <w:pStyle w:val="ListParagraph"/>
        <w:numPr>
          <w:ilvl w:val="0"/>
          <w:numId w:val="10"/>
        </w:numPr>
      </w:pPr>
      <w:r w:rsidRPr="00612FDD">
        <w:t>At a minimum, the applicant shall submit a copy of all written offers, as described at N.J.S.A. 20:3 6 or its successor, executed by the condemner to the condemned with regard to all real property comprising the project which are to be acquired by this means, which offers must be in effect and valid at the time of submission to NJHMFA.</w:t>
      </w:r>
    </w:p>
    <w:p w14:paraId="0EDD628C" w14:textId="77777777" w:rsidR="007E03C4" w:rsidRDefault="00612FDD" w:rsidP="009647BF">
      <w:pPr>
        <w:pStyle w:val="ListParagraph"/>
        <w:numPr>
          <w:ilvl w:val="0"/>
          <w:numId w:val="10"/>
        </w:numPr>
      </w:pPr>
      <w:r w:rsidRPr="00612FDD">
        <w:t>If additional documents have been executed and/or filed with regard to eminent domain at the time of application deadline, the applicant shall append a copy of those documents with its application and shall continue to supplement the application with such documents as required by N.J.A.C. 5:80 33.31.</w:t>
      </w:r>
    </w:p>
    <w:p w14:paraId="7170C684" w14:textId="5FC7CBAC" w:rsidR="00612FDD" w:rsidRDefault="00612FDD" w:rsidP="009647BF">
      <w:pPr>
        <w:pStyle w:val="ListParagraph"/>
        <w:numPr>
          <w:ilvl w:val="0"/>
          <w:numId w:val="10"/>
        </w:numPr>
      </w:pPr>
      <w:r w:rsidRPr="00612FDD">
        <w:t>The declaration of taking shall be recorded within three months from the date of the Tax Credit Committee meeting at which awards/decisions are announced.</w:t>
      </w:r>
    </w:p>
    <w:p w14:paraId="2F49342E" w14:textId="79D5C345" w:rsidR="007E03C4" w:rsidRDefault="007E03C4" w:rsidP="00612FDD">
      <w:r w:rsidRPr="007E03C4">
        <w:t>If the municipality is contributing the site(s) for nominal consideration, submit</w:t>
      </w:r>
      <w:r>
        <w:t xml:space="preserve"> the municipal resolution authorizing the land transfer and all applicable agreements relating to the transfer of land.</w:t>
      </w:r>
    </w:p>
    <w:p w14:paraId="064832AA" w14:textId="57A1F425" w:rsidR="0053459B" w:rsidRDefault="00612FDD" w:rsidP="00612FDD">
      <w:r>
        <w:t>For reapplications, any option or purchase contracts must be updated to extend site control through the revised construction period.</w:t>
      </w:r>
    </w:p>
    <w:p w14:paraId="5A5E2566" w14:textId="0F7E0E92" w:rsidR="00251179" w:rsidRPr="00FF77F0" w:rsidRDefault="00251179" w:rsidP="00612FDD">
      <w:pPr>
        <w:rPr>
          <w:b/>
          <w:bCs/>
        </w:rPr>
      </w:pPr>
      <w:r w:rsidRPr="00FF77F0">
        <w:rPr>
          <w:b/>
          <w:bCs/>
        </w:rPr>
        <w:t>For all forms of site control, submit a copy of the current owner’s recorded deed (or equivalent) for each parcel as supporting documentation.</w:t>
      </w:r>
    </w:p>
    <w:p w14:paraId="7B202586" w14:textId="77777777" w:rsidR="0053459B" w:rsidRDefault="0053459B">
      <w:r>
        <w:br w:type="page"/>
      </w:r>
    </w:p>
    <w:p w14:paraId="42F55B7A" w14:textId="6B72443E" w:rsidR="00B22112" w:rsidRDefault="00B22112" w:rsidP="00B22112">
      <w:pPr>
        <w:pStyle w:val="Heading2"/>
      </w:pPr>
      <w:bookmarkStart w:id="6" w:name="_Toc230012654"/>
      <w:r>
        <w:lastRenderedPageBreak/>
        <w:t>Preliminary Site Plan Approval</w:t>
      </w:r>
      <w:bookmarkEnd w:id="6"/>
    </w:p>
    <w:p w14:paraId="430C395B" w14:textId="5CB3F4A7" w:rsidR="006308D3" w:rsidRDefault="00EC72F5" w:rsidP="00EC72F5">
      <w:r>
        <w:t xml:space="preserve">Submit a copy of the resolution approving </w:t>
      </w:r>
      <w:r w:rsidR="006308D3">
        <w:t xml:space="preserve">the </w:t>
      </w:r>
      <w:r>
        <w:t>preliminary or final site plan</w:t>
      </w:r>
      <w:r w:rsidR="003F625D">
        <w:t>,</w:t>
      </w:r>
      <w:r>
        <w:t xml:space="preserve"> as well as all other local approvals.</w:t>
      </w:r>
    </w:p>
    <w:p w14:paraId="3FD77367" w14:textId="71B30AF6" w:rsidR="00EC72F5" w:rsidRDefault="00EC72F5" w:rsidP="00EC72F5">
      <w:r>
        <w:t xml:space="preserve">For rehabilitation projects with sites that are not required by the municipality to obtain site plan approval, </w:t>
      </w:r>
      <w:r w:rsidR="006308D3">
        <w:t xml:space="preserve">submit </w:t>
      </w:r>
      <w:r>
        <w:t>a letter from the planning board/ appropriate municipal official stating that the site(s) are not subject to site plan approval.</w:t>
      </w:r>
    </w:p>
    <w:p w14:paraId="4D530DAD" w14:textId="235AB020" w:rsidR="00EC72F5" w:rsidRDefault="00EC72F5" w:rsidP="00EC72F5">
      <w:r>
        <w:t>It is the applicant's responsibility to ensure that the project complies with all applicable local land use and zoning ordinances and that nothing at the local or county level will interfere with the project obtaining all necessary permits.</w:t>
      </w:r>
    </w:p>
    <w:p w14:paraId="633FEF42" w14:textId="019BB3F2" w:rsidR="0053459B" w:rsidRDefault="0053459B">
      <w:r>
        <w:br w:type="page"/>
      </w:r>
    </w:p>
    <w:p w14:paraId="48A7BEA7" w14:textId="6169D8C1" w:rsidR="00B22112" w:rsidRDefault="00B22112" w:rsidP="00B22112">
      <w:pPr>
        <w:pStyle w:val="Heading2"/>
      </w:pPr>
      <w:bookmarkStart w:id="7" w:name="_Toc230012655"/>
      <w:r>
        <w:lastRenderedPageBreak/>
        <w:t>Environmental Certification</w:t>
      </w:r>
      <w:bookmarkEnd w:id="7"/>
    </w:p>
    <w:p w14:paraId="6672D990" w14:textId="5B507BC2" w:rsidR="00214533" w:rsidRDefault="00214533" w:rsidP="00214533">
      <w:r>
        <w:t xml:space="preserve">Please list all </w:t>
      </w:r>
      <w:r w:rsidRPr="00214533">
        <w:t>environmental conditions/constraints exist</w:t>
      </w:r>
      <w:r>
        <w:t>ing</w:t>
      </w:r>
      <w:r w:rsidRPr="00214533">
        <w:t xml:space="preserve"> on the property that require remediation for the construction/rehabilitation </w:t>
      </w:r>
      <w:r>
        <w:t>and</w:t>
      </w:r>
      <w:r w:rsidRPr="00214533">
        <w:t xml:space="preserve"> occupancy of the housing project and may impact development on the project site. Examples of such conditions include, but are not limited to, wetlands, stream encroachment, and steep slope grading. If none exist,</w:t>
      </w:r>
      <w:r>
        <w:t xml:space="preserve"> </w:t>
      </w:r>
      <w:r w:rsidRPr="00214533">
        <w:t xml:space="preserve">write </w:t>
      </w:r>
      <w:r>
        <w:t>“none.”</w:t>
      </w:r>
    </w:p>
    <w:tbl>
      <w:tblPr>
        <w:tblStyle w:val="TableGrid"/>
        <w:tblW w:w="10800" w:type="dxa"/>
        <w:tblLook w:val="04A0" w:firstRow="1" w:lastRow="0" w:firstColumn="1" w:lastColumn="0" w:noHBand="0" w:noVBand="1"/>
      </w:tblPr>
      <w:tblGrid>
        <w:gridCol w:w="4320"/>
        <w:gridCol w:w="4320"/>
        <w:gridCol w:w="2160"/>
      </w:tblGrid>
      <w:tr w:rsidR="00B32312" w14:paraId="5E5BBC7B" w14:textId="77777777" w:rsidTr="00B32312">
        <w:tc>
          <w:tcPr>
            <w:tcW w:w="4320" w:type="dxa"/>
          </w:tcPr>
          <w:p w14:paraId="72C021B0" w14:textId="498ADE3E" w:rsidR="00B32312" w:rsidRPr="00B32312" w:rsidRDefault="00B32312" w:rsidP="00B32312">
            <w:pPr>
              <w:jc w:val="center"/>
              <w:rPr>
                <w:b/>
                <w:bCs/>
              </w:rPr>
            </w:pPr>
            <w:r w:rsidRPr="00B32312">
              <w:rPr>
                <w:b/>
                <w:bCs/>
              </w:rPr>
              <w:t>Environmental Condition/Constraint</w:t>
            </w:r>
          </w:p>
        </w:tc>
        <w:tc>
          <w:tcPr>
            <w:tcW w:w="4320" w:type="dxa"/>
          </w:tcPr>
          <w:p w14:paraId="74176F0C" w14:textId="3071A013" w:rsidR="00B32312" w:rsidRPr="00B32312" w:rsidRDefault="00B32312" w:rsidP="00B32312">
            <w:pPr>
              <w:jc w:val="center"/>
              <w:rPr>
                <w:b/>
                <w:bCs/>
              </w:rPr>
            </w:pPr>
            <w:r>
              <w:rPr>
                <w:b/>
                <w:bCs/>
              </w:rPr>
              <w:t>Remediation Action(s)</w:t>
            </w:r>
          </w:p>
        </w:tc>
        <w:tc>
          <w:tcPr>
            <w:tcW w:w="2160" w:type="dxa"/>
          </w:tcPr>
          <w:p w14:paraId="4FD94C94" w14:textId="08B71E70" w:rsidR="00B32312" w:rsidRPr="00B32312" w:rsidRDefault="00B32312" w:rsidP="00B32312">
            <w:pPr>
              <w:jc w:val="center"/>
              <w:rPr>
                <w:b/>
                <w:bCs/>
              </w:rPr>
            </w:pPr>
            <w:r w:rsidRPr="00B32312">
              <w:rPr>
                <w:b/>
                <w:bCs/>
              </w:rPr>
              <w:t>Included in Capital Budget (Y/N)</w:t>
            </w:r>
          </w:p>
        </w:tc>
      </w:tr>
      <w:tr w:rsidR="00B32312" w14:paraId="24F00520" w14:textId="77777777" w:rsidTr="00B32312">
        <w:trPr>
          <w:trHeight w:val="490"/>
        </w:trPr>
        <w:tc>
          <w:tcPr>
            <w:tcW w:w="4320" w:type="dxa"/>
          </w:tcPr>
          <w:p w14:paraId="5101D799" w14:textId="77777777" w:rsidR="00B32312" w:rsidRDefault="00B32312" w:rsidP="00214533"/>
        </w:tc>
        <w:tc>
          <w:tcPr>
            <w:tcW w:w="4320" w:type="dxa"/>
          </w:tcPr>
          <w:p w14:paraId="38E56799" w14:textId="77777777" w:rsidR="00B32312" w:rsidRDefault="00B32312" w:rsidP="00214533"/>
        </w:tc>
        <w:tc>
          <w:tcPr>
            <w:tcW w:w="2160" w:type="dxa"/>
          </w:tcPr>
          <w:p w14:paraId="4EB8DC80" w14:textId="10F24247" w:rsidR="00B32312" w:rsidRDefault="00B32312" w:rsidP="00214533"/>
        </w:tc>
      </w:tr>
      <w:tr w:rsidR="00B32312" w14:paraId="603C26B8" w14:textId="77777777" w:rsidTr="00B32312">
        <w:trPr>
          <w:trHeight w:val="490"/>
        </w:trPr>
        <w:tc>
          <w:tcPr>
            <w:tcW w:w="4320" w:type="dxa"/>
          </w:tcPr>
          <w:p w14:paraId="2701624F" w14:textId="77777777" w:rsidR="00B32312" w:rsidRDefault="00B32312" w:rsidP="00214533"/>
        </w:tc>
        <w:tc>
          <w:tcPr>
            <w:tcW w:w="4320" w:type="dxa"/>
          </w:tcPr>
          <w:p w14:paraId="28539078" w14:textId="77777777" w:rsidR="00B32312" w:rsidRDefault="00B32312" w:rsidP="00214533"/>
        </w:tc>
        <w:tc>
          <w:tcPr>
            <w:tcW w:w="2160" w:type="dxa"/>
          </w:tcPr>
          <w:p w14:paraId="7B2547B0" w14:textId="53C42F33" w:rsidR="00B32312" w:rsidRDefault="00B32312" w:rsidP="00214533"/>
        </w:tc>
      </w:tr>
      <w:tr w:rsidR="00B32312" w14:paraId="3523B77E" w14:textId="77777777" w:rsidTr="00B32312">
        <w:trPr>
          <w:trHeight w:val="490"/>
        </w:trPr>
        <w:tc>
          <w:tcPr>
            <w:tcW w:w="4320" w:type="dxa"/>
          </w:tcPr>
          <w:p w14:paraId="7EA63D60" w14:textId="77777777" w:rsidR="00B32312" w:rsidRDefault="00B32312" w:rsidP="00214533"/>
        </w:tc>
        <w:tc>
          <w:tcPr>
            <w:tcW w:w="4320" w:type="dxa"/>
          </w:tcPr>
          <w:p w14:paraId="51991EFD" w14:textId="77777777" w:rsidR="00B32312" w:rsidRDefault="00B32312" w:rsidP="00214533"/>
        </w:tc>
        <w:tc>
          <w:tcPr>
            <w:tcW w:w="2160" w:type="dxa"/>
          </w:tcPr>
          <w:p w14:paraId="4A8D9897" w14:textId="28DA1660" w:rsidR="00B32312" w:rsidRDefault="00B32312" w:rsidP="00214533"/>
        </w:tc>
      </w:tr>
      <w:tr w:rsidR="00B32312" w14:paraId="3744D60E" w14:textId="77777777" w:rsidTr="00B32312">
        <w:trPr>
          <w:trHeight w:val="490"/>
        </w:trPr>
        <w:tc>
          <w:tcPr>
            <w:tcW w:w="4320" w:type="dxa"/>
          </w:tcPr>
          <w:p w14:paraId="3643200F" w14:textId="77777777" w:rsidR="00B32312" w:rsidRDefault="00B32312" w:rsidP="00214533"/>
        </w:tc>
        <w:tc>
          <w:tcPr>
            <w:tcW w:w="4320" w:type="dxa"/>
          </w:tcPr>
          <w:p w14:paraId="0740B604" w14:textId="77777777" w:rsidR="00B32312" w:rsidRDefault="00B32312" w:rsidP="00214533"/>
        </w:tc>
        <w:tc>
          <w:tcPr>
            <w:tcW w:w="2160" w:type="dxa"/>
          </w:tcPr>
          <w:p w14:paraId="4831BDA2" w14:textId="7A46C000" w:rsidR="00B32312" w:rsidRDefault="00B32312" w:rsidP="00214533"/>
        </w:tc>
      </w:tr>
      <w:tr w:rsidR="00B32312" w14:paraId="512A2583" w14:textId="77777777" w:rsidTr="00B32312">
        <w:trPr>
          <w:trHeight w:val="490"/>
        </w:trPr>
        <w:tc>
          <w:tcPr>
            <w:tcW w:w="4320" w:type="dxa"/>
          </w:tcPr>
          <w:p w14:paraId="66D4A7A2" w14:textId="77777777" w:rsidR="00B32312" w:rsidRDefault="00B32312" w:rsidP="00214533"/>
        </w:tc>
        <w:tc>
          <w:tcPr>
            <w:tcW w:w="4320" w:type="dxa"/>
          </w:tcPr>
          <w:p w14:paraId="2AF87872" w14:textId="77777777" w:rsidR="00B32312" w:rsidRDefault="00B32312" w:rsidP="00214533"/>
        </w:tc>
        <w:tc>
          <w:tcPr>
            <w:tcW w:w="2160" w:type="dxa"/>
          </w:tcPr>
          <w:p w14:paraId="072FD5CF" w14:textId="58936E39" w:rsidR="00B32312" w:rsidRDefault="00B32312" w:rsidP="00214533"/>
        </w:tc>
      </w:tr>
    </w:tbl>
    <w:p w14:paraId="32CB3110" w14:textId="2239C876" w:rsidR="00B32312" w:rsidRDefault="00B32312" w:rsidP="00214533"/>
    <w:p w14:paraId="50DEC901" w14:textId="4A4156DE" w:rsidR="00B32312" w:rsidRDefault="00B32312">
      <w:r>
        <w:t xml:space="preserve">Please list all permits, </w:t>
      </w:r>
      <w:r w:rsidRPr="00B32312">
        <w:t>approvals</w:t>
      </w:r>
      <w:r>
        <w:t>,</w:t>
      </w:r>
      <w:r w:rsidRPr="00B32312">
        <w:t xml:space="preserve"> or clearances required under state or federal laws (e.g.</w:t>
      </w:r>
      <w:r>
        <w:t>,</w:t>
      </w:r>
      <w:r w:rsidRPr="00B32312">
        <w:t xml:space="preserve"> ECRA, CAFRA, Wetlands Protection, Stream Encroachment, etc.) for the construction/rehabilitation of this housing project </w:t>
      </w:r>
      <w:r>
        <w:t xml:space="preserve">that </w:t>
      </w:r>
      <w:r w:rsidRPr="00B32312">
        <w:t>have been obtained or applied for</w:t>
      </w:r>
      <w:r>
        <w:t xml:space="preserve"> (</w:t>
      </w:r>
      <w:r w:rsidRPr="00B32312">
        <w:t>includ</w:t>
      </w:r>
      <w:r>
        <w:t>ing</w:t>
      </w:r>
      <w:r w:rsidRPr="00B32312">
        <w:t xml:space="preserve"> the status of any pending applications)</w:t>
      </w:r>
      <w:r>
        <w:t>.</w:t>
      </w:r>
      <w:r w:rsidRPr="00B32312">
        <w:t xml:space="preserve"> If none are required, write </w:t>
      </w:r>
      <w:r>
        <w:t>“</w:t>
      </w:r>
      <w:r w:rsidRPr="00B32312">
        <w:t>none.</w:t>
      </w:r>
      <w:r>
        <w:t>”</w:t>
      </w:r>
    </w:p>
    <w:tbl>
      <w:tblPr>
        <w:tblStyle w:val="TableGrid"/>
        <w:tblW w:w="10800" w:type="dxa"/>
        <w:tblLook w:val="04A0" w:firstRow="1" w:lastRow="0" w:firstColumn="1" w:lastColumn="0" w:noHBand="0" w:noVBand="1"/>
      </w:tblPr>
      <w:tblGrid>
        <w:gridCol w:w="6480"/>
        <w:gridCol w:w="4320"/>
      </w:tblGrid>
      <w:tr w:rsidR="00A8683E" w14:paraId="3C9802E1" w14:textId="77777777" w:rsidTr="00A8683E">
        <w:tc>
          <w:tcPr>
            <w:tcW w:w="6480" w:type="dxa"/>
          </w:tcPr>
          <w:p w14:paraId="2C0C014A" w14:textId="5CDC335D" w:rsidR="00A8683E" w:rsidRPr="00B32312" w:rsidRDefault="00A8683E" w:rsidP="00B031C2">
            <w:pPr>
              <w:jc w:val="center"/>
              <w:rPr>
                <w:b/>
                <w:bCs/>
              </w:rPr>
            </w:pPr>
            <w:r>
              <w:rPr>
                <w:b/>
                <w:bCs/>
              </w:rPr>
              <w:t>Permit/Approval/Clearance</w:t>
            </w:r>
          </w:p>
        </w:tc>
        <w:tc>
          <w:tcPr>
            <w:tcW w:w="4320" w:type="dxa"/>
          </w:tcPr>
          <w:p w14:paraId="639A5151" w14:textId="7661A50D" w:rsidR="00A8683E" w:rsidRPr="00B32312" w:rsidRDefault="00A8683E" w:rsidP="00B031C2">
            <w:pPr>
              <w:jc w:val="center"/>
              <w:rPr>
                <w:b/>
                <w:bCs/>
              </w:rPr>
            </w:pPr>
            <w:r>
              <w:rPr>
                <w:b/>
                <w:bCs/>
              </w:rPr>
              <w:t>Status</w:t>
            </w:r>
          </w:p>
        </w:tc>
      </w:tr>
      <w:tr w:rsidR="00A8683E" w14:paraId="255375CE" w14:textId="77777777" w:rsidTr="00A8683E">
        <w:trPr>
          <w:trHeight w:val="490"/>
        </w:trPr>
        <w:tc>
          <w:tcPr>
            <w:tcW w:w="6480" w:type="dxa"/>
          </w:tcPr>
          <w:p w14:paraId="5DDE7964" w14:textId="77777777" w:rsidR="00A8683E" w:rsidRDefault="00A8683E" w:rsidP="00B031C2"/>
        </w:tc>
        <w:tc>
          <w:tcPr>
            <w:tcW w:w="4320" w:type="dxa"/>
          </w:tcPr>
          <w:p w14:paraId="3AE3E04C" w14:textId="77777777" w:rsidR="00A8683E" w:rsidRDefault="00A8683E" w:rsidP="00B031C2"/>
        </w:tc>
      </w:tr>
      <w:tr w:rsidR="00A8683E" w14:paraId="67577B00" w14:textId="77777777" w:rsidTr="00A8683E">
        <w:trPr>
          <w:trHeight w:val="490"/>
        </w:trPr>
        <w:tc>
          <w:tcPr>
            <w:tcW w:w="6480" w:type="dxa"/>
          </w:tcPr>
          <w:p w14:paraId="0DDB24A0" w14:textId="77777777" w:rsidR="00A8683E" w:rsidRDefault="00A8683E" w:rsidP="00B031C2"/>
        </w:tc>
        <w:tc>
          <w:tcPr>
            <w:tcW w:w="4320" w:type="dxa"/>
          </w:tcPr>
          <w:p w14:paraId="2B18B7DD" w14:textId="77777777" w:rsidR="00A8683E" w:rsidRDefault="00A8683E" w:rsidP="00B031C2"/>
        </w:tc>
      </w:tr>
      <w:tr w:rsidR="00A8683E" w14:paraId="4E4FCC68" w14:textId="77777777" w:rsidTr="00A8683E">
        <w:trPr>
          <w:trHeight w:val="490"/>
        </w:trPr>
        <w:tc>
          <w:tcPr>
            <w:tcW w:w="6480" w:type="dxa"/>
          </w:tcPr>
          <w:p w14:paraId="22169953" w14:textId="77777777" w:rsidR="00A8683E" w:rsidRDefault="00A8683E" w:rsidP="00B031C2"/>
        </w:tc>
        <w:tc>
          <w:tcPr>
            <w:tcW w:w="4320" w:type="dxa"/>
          </w:tcPr>
          <w:p w14:paraId="5804D553" w14:textId="77777777" w:rsidR="00A8683E" w:rsidRDefault="00A8683E" w:rsidP="00B031C2"/>
        </w:tc>
      </w:tr>
      <w:tr w:rsidR="00A8683E" w14:paraId="75FC5B1F" w14:textId="77777777" w:rsidTr="00A8683E">
        <w:trPr>
          <w:trHeight w:val="490"/>
        </w:trPr>
        <w:tc>
          <w:tcPr>
            <w:tcW w:w="6480" w:type="dxa"/>
          </w:tcPr>
          <w:p w14:paraId="66619C67" w14:textId="77777777" w:rsidR="00A8683E" w:rsidRDefault="00A8683E" w:rsidP="00B031C2"/>
        </w:tc>
        <w:tc>
          <w:tcPr>
            <w:tcW w:w="4320" w:type="dxa"/>
          </w:tcPr>
          <w:p w14:paraId="49BA0777" w14:textId="77777777" w:rsidR="00A8683E" w:rsidRDefault="00A8683E" w:rsidP="00B031C2"/>
        </w:tc>
      </w:tr>
      <w:tr w:rsidR="00A8683E" w14:paraId="12E2FE27" w14:textId="77777777" w:rsidTr="00A8683E">
        <w:trPr>
          <w:trHeight w:val="490"/>
        </w:trPr>
        <w:tc>
          <w:tcPr>
            <w:tcW w:w="6480" w:type="dxa"/>
          </w:tcPr>
          <w:p w14:paraId="6D40B729" w14:textId="77777777" w:rsidR="00A8683E" w:rsidRDefault="00A8683E" w:rsidP="00B031C2"/>
        </w:tc>
        <w:tc>
          <w:tcPr>
            <w:tcW w:w="4320" w:type="dxa"/>
          </w:tcPr>
          <w:p w14:paraId="66BF91DC" w14:textId="77777777" w:rsidR="00A8683E" w:rsidRDefault="00A8683E" w:rsidP="00B031C2"/>
        </w:tc>
      </w:tr>
    </w:tbl>
    <w:p w14:paraId="4D100E35" w14:textId="77777777" w:rsidR="00B32312" w:rsidRDefault="00B32312"/>
    <w:p w14:paraId="1BBC8A34" w14:textId="554F9116" w:rsidR="00B32312" w:rsidRDefault="00B32312">
      <w:r>
        <w:t>Submit</w:t>
      </w:r>
      <w:r w:rsidRPr="00B32312">
        <w:t xml:space="preserve"> a</w:t>
      </w:r>
      <w:r>
        <w:t>ny</w:t>
      </w:r>
      <w:r w:rsidRPr="00B32312">
        <w:t xml:space="preserve"> Phase I environmental study conducted in accordance with the American Society for Testing and Materials (ASTM) E1527-21 (or most recent standards adopted by the State), Standard and Poor’s Enhanced Protocol (which includes testing for lead, asbestos, and radon) </w:t>
      </w:r>
      <w:r>
        <w:t xml:space="preserve">that </w:t>
      </w:r>
      <w:r w:rsidRPr="00B32312">
        <w:t>has been completed for the project</w:t>
      </w:r>
      <w:r>
        <w:t>.</w:t>
      </w:r>
    </w:p>
    <w:p w14:paraId="3ED45E21" w14:textId="0C7A0E75" w:rsidR="00B32312" w:rsidRDefault="00B32312">
      <w:r w:rsidRPr="00B32312">
        <w:t xml:space="preserve">NOTE: A Phase I is not required; however, if a project is awarded credits and </w:t>
      </w:r>
      <w:r>
        <w:t>the application did not include a</w:t>
      </w:r>
      <w:r w:rsidRPr="00B32312">
        <w:t xml:space="preserve"> Phase I conducted in accordance with A.S.T.M. E1527-97, Standard and Poor’s Enhanced Protocol, the project </w:t>
      </w:r>
      <w:r>
        <w:t>may</w:t>
      </w:r>
      <w:r w:rsidRPr="00B32312">
        <w:t xml:space="preserve"> not</w:t>
      </w:r>
      <w:r>
        <w:t xml:space="preserve"> </w:t>
      </w:r>
      <w:r w:rsidRPr="00B32312">
        <w:t>apply for Hardship credits for unforeseen environmental issues.</w:t>
      </w:r>
    </w:p>
    <w:p w14:paraId="4B5968ED" w14:textId="58550647" w:rsidR="006308D3" w:rsidRDefault="006308D3">
      <w:r>
        <w:br w:type="page"/>
      </w:r>
    </w:p>
    <w:p w14:paraId="2291F6E2" w14:textId="470B4DD5" w:rsidR="00B22112" w:rsidRDefault="00B22112" w:rsidP="00B22112">
      <w:pPr>
        <w:pStyle w:val="Heading2"/>
      </w:pPr>
      <w:bookmarkStart w:id="8" w:name="_Toc230012656"/>
      <w:r>
        <w:lastRenderedPageBreak/>
        <w:t>Disclosure of All Financing Information</w:t>
      </w:r>
      <w:bookmarkEnd w:id="8"/>
    </w:p>
    <w:p w14:paraId="36A551BA" w14:textId="49C445EC" w:rsidR="001F7D33" w:rsidRDefault="001F7D33" w:rsidP="009647BF">
      <w:pPr>
        <w:pStyle w:val="ListParagraph"/>
        <w:numPr>
          <w:ilvl w:val="0"/>
          <w:numId w:val="11"/>
        </w:numPr>
      </w:pPr>
      <w:r>
        <w:t>All financing information shall be disclosed in the application, including information about letters of interest and other undertakings that the applicant does not identify as funding sources in this application.</w:t>
      </w:r>
    </w:p>
    <w:p w14:paraId="65C6D508" w14:textId="5A877B49" w:rsidR="001F7D33" w:rsidRDefault="001F7D33" w:rsidP="009647BF">
      <w:pPr>
        <w:pStyle w:val="ListParagraph"/>
        <w:numPr>
          <w:ilvl w:val="0"/>
          <w:numId w:val="11"/>
        </w:numPr>
      </w:pPr>
      <w:r>
        <w:t>If a deferred developer fee of more than 50% is indicated as a temporary source on the Funding Sources Chart referenced in Section 6 below, identify in this section the anticipated funding source that will replace the deferral. Failure to secure said funding source and subsequently reduce the deferred developer fee to 50% of the total amount by carryover/binding agreement shall result in a cancellation of the tax credit reservation.</w:t>
      </w:r>
    </w:p>
    <w:p w14:paraId="32F084A4" w14:textId="5965560B" w:rsidR="0053459B" w:rsidRDefault="001F7D33" w:rsidP="009647BF">
      <w:pPr>
        <w:pStyle w:val="ListParagraph"/>
        <w:numPr>
          <w:ilvl w:val="0"/>
          <w:numId w:val="11"/>
        </w:numPr>
      </w:pPr>
      <w:r>
        <w:t>Submit all syndication documents in existence at the time of application including, but not limited, to the prospectus (offering memorandum), limited partnership agreement, joint venture agreement, partnership administration services agreement, development agreement and any amendments to the aforementioned documents and any relevant agreement between and among the relevant parties setting forth the terms of the financial arrangements, commitment letters, if any (firm or otherwise) and mortgage documents. For all documents, include all exhibits and schedules. Include only the most recent documents.</w:t>
      </w:r>
      <w:r w:rsidR="00DB7AE3">
        <w:t xml:space="preserve"> </w:t>
      </w:r>
      <w:r>
        <w:t>Do not include drafts if the final documents have been executed.</w:t>
      </w:r>
    </w:p>
    <w:p w14:paraId="0DBD1B62" w14:textId="153FEF3A" w:rsidR="00110586" w:rsidRDefault="00110586">
      <w:r>
        <w:br w:type="page"/>
      </w:r>
    </w:p>
    <w:p w14:paraId="4C09379E" w14:textId="67A45B3C" w:rsidR="00B22112" w:rsidRDefault="00B22112" w:rsidP="00B22112">
      <w:pPr>
        <w:pStyle w:val="Heading2"/>
      </w:pPr>
      <w:bookmarkStart w:id="9" w:name="_Toc230012657"/>
      <w:r>
        <w:lastRenderedPageBreak/>
        <w:t>Financing Commitments</w:t>
      </w:r>
      <w:bookmarkEnd w:id="9"/>
    </w:p>
    <w:p w14:paraId="65C97534" w14:textId="40F21112" w:rsidR="00FC0F39" w:rsidRDefault="00FC0F39" w:rsidP="00FC0F39">
      <w:r>
        <w:t>Complete the Construction and Permanent Funding Sources Charts in Part II and insert as the first two pages of this section.</w:t>
      </w:r>
      <w:r w:rsidR="00DB7AE3">
        <w:t xml:space="preserve"> </w:t>
      </w:r>
      <w:r>
        <w:t>The total of all permanent funding sources must equal the total project development cost shown on the Breakdown of Cost and Basis.</w:t>
      </w:r>
    </w:p>
    <w:p w14:paraId="252CA55F" w14:textId="26291136" w:rsidR="00FC0F39" w:rsidRDefault="00FC0F39" w:rsidP="00FC0F39">
      <w:r>
        <w:t xml:space="preserve">Insert in this section evidence of all funding amounts and terms applicable to the project. </w:t>
      </w:r>
      <w:r w:rsidR="00E20CC5">
        <w:t xml:space="preserve">Except for NJHMFA financing sought as part of this application (see details below), all funding sources planned for the project must be committed at the time of application. </w:t>
      </w:r>
      <w:r>
        <w:t>Expired commitments, letters of interest/intent, and term sheets do not qualify as commitments. In all cases, funding approvals must come from the entity with final approval authority.</w:t>
      </w:r>
      <w:r w:rsidR="00B22C96">
        <w:t xml:space="preserve"> </w:t>
      </w:r>
      <w:r>
        <w:t>Commitments shall be firm and contain only conditions that are under the control of the applicant (that is, commitments cannot be conditioned on the availability of funds). Where such letters call for it, commitment letters shall be countersigned/accepted by the applicant.</w:t>
      </w:r>
    </w:p>
    <w:p w14:paraId="7FDBD342" w14:textId="2F4474ED" w:rsidR="00B22C96" w:rsidRDefault="00B22C96" w:rsidP="00FC0F39">
      <w:r>
        <w:t>Typical funding sources and their respective requirements are listed below.</w:t>
      </w:r>
    </w:p>
    <w:tbl>
      <w:tblPr>
        <w:tblStyle w:val="TableGrid"/>
        <w:tblW w:w="10800" w:type="dxa"/>
        <w:tblLook w:val="04A0" w:firstRow="1" w:lastRow="0" w:firstColumn="1" w:lastColumn="0" w:noHBand="0" w:noVBand="1"/>
      </w:tblPr>
      <w:tblGrid>
        <w:gridCol w:w="2160"/>
        <w:gridCol w:w="8640"/>
      </w:tblGrid>
      <w:tr w:rsidR="003A6F1A" w14:paraId="23FB5375" w14:textId="77777777" w:rsidTr="00692643">
        <w:trPr>
          <w:cantSplit/>
          <w:tblHeader/>
        </w:trPr>
        <w:tc>
          <w:tcPr>
            <w:tcW w:w="2160" w:type="dxa"/>
          </w:tcPr>
          <w:p w14:paraId="6D16F88C" w14:textId="195D26FA" w:rsidR="003A6F1A" w:rsidRPr="003A6F1A" w:rsidRDefault="003A6F1A" w:rsidP="003A6F1A">
            <w:pPr>
              <w:jc w:val="center"/>
              <w:rPr>
                <w:b/>
                <w:bCs/>
              </w:rPr>
            </w:pPr>
            <w:r w:rsidRPr="003A6F1A">
              <w:rPr>
                <w:b/>
                <w:bCs/>
              </w:rPr>
              <w:t>Funding Source Type</w:t>
            </w:r>
          </w:p>
        </w:tc>
        <w:tc>
          <w:tcPr>
            <w:tcW w:w="8640" w:type="dxa"/>
          </w:tcPr>
          <w:p w14:paraId="254A0700" w14:textId="1DD64D7F" w:rsidR="003A6F1A" w:rsidRPr="003A6F1A" w:rsidRDefault="003A6F1A" w:rsidP="003A6F1A">
            <w:pPr>
              <w:jc w:val="center"/>
              <w:rPr>
                <w:b/>
                <w:bCs/>
              </w:rPr>
            </w:pPr>
            <w:r w:rsidRPr="003A6F1A">
              <w:rPr>
                <w:b/>
                <w:bCs/>
              </w:rPr>
              <w:t>Requirements</w:t>
            </w:r>
          </w:p>
        </w:tc>
      </w:tr>
      <w:tr w:rsidR="003A6F1A" w14:paraId="24EA7CD6" w14:textId="77777777" w:rsidTr="00692643">
        <w:trPr>
          <w:cantSplit/>
        </w:trPr>
        <w:tc>
          <w:tcPr>
            <w:tcW w:w="2160" w:type="dxa"/>
          </w:tcPr>
          <w:p w14:paraId="7BBD7BC7" w14:textId="24E12289" w:rsidR="003A6F1A" w:rsidRDefault="003A6F1A" w:rsidP="0053459B">
            <w:r>
              <w:t>Banks and Other Lending Institutions (construction and permanent)</w:t>
            </w:r>
          </w:p>
        </w:tc>
        <w:tc>
          <w:tcPr>
            <w:tcW w:w="8640" w:type="dxa"/>
          </w:tcPr>
          <w:p w14:paraId="1BD6AF14" w14:textId="78D189E4" w:rsidR="003A6F1A" w:rsidRDefault="003A6F1A" w:rsidP="009647BF">
            <w:pPr>
              <w:pStyle w:val="ListParagraph"/>
              <w:numPr>
                <w:ilvl w:val="0"/>
                <w:numId w:val="12"/>
              </w:numPr>
              <w:ind w:left="331"/>
            </w:pPr>
            <w:r>
              <w:t>Each commitment letter must indicate:</w:t>
            </w:r>
          </w:p>
          <w:p w14:paraId="6DAB8314" w14:textId="04DDAC10" w:rsidR="003A6F1A" w:rsidRDefault="003A6F1A" w:rsidP="009647BF">
            <w:pPr>
              <w:pStyle w:val="ListParagraph"/>
              <w:numPr>
                <w:ilvl w:val="1"/>
                <w:numId w:val="12"/>
              </w:numPr>
              <w:ind w:left="781"/>
            </w:pPr>
            <w:r>
              <w:t xml:space="preserve">The interest rate (or the basis on which the interest rate will be set). </w:t>
            </w:r>
            <w:r w:rsidRPr="003A6F1A">
              <w:t xml:space="preserve">If the interest rate is floating after permanent loan closing, </w:t>
            </w:r>
            <w:r>
              <w:t>the commitment letter must state the</w:t>
            </w:r>
            <w:r w:rsidRPr="003A6F1A">
              <w:t xml:space="preserve"> maximum interest rate</w:t>
            </w:r>
            <w:r>
              <w:t>, which NJHMFA will use for its underwriting analysis;</w:t>
            </w:r>
          </w:p>
          <w:p w14:paraId="46B1C7D9" w14:textId="16370FFC" w:rsidR="003A6F1A" w:rsidRDefault="003A6F1A" w:rsidP="009647BF">
            <w:pPr>
              <w:pStyle w:val="ListParagraph"/>
              <w:numPr>
                <w:ilvl w:val="1"/>
                <w:numId w:val="12"/>
              </w:numPr>
              <w:ind w:left="781"/>
            </w:pPr>
            <w:r>
              <w:t>The term of the loan (at least 15 years for permanent financing OR fully amortizing if less than 15 years); and</w:t>
            </w:r>
          </w:p>
          <w:p w14:paraId="25ED5C9C" w14:textId="739C7BB9" w:rsidR="003A6F1A" w:rsidRDefault="003A6F1A" w:rsidP="009647BF">
            <w:pPr>
              <w:pStyle w:val="ListParagraph"/>
              <w:numPr>
                <w:ilvl w:val="1"/>
                <w:numId w:val="12"/>
              </w:numPr>
              <w:ind w:left="781"/>
            </w:pPr>
            <w:r>
              <w:t>All conditions.</w:t>
            </w:r>
          </w:p>
          <w:p w14:paraId="6431E665" w14:textId="5A28B16D" w:rsidR="003A6F1A" w:rsidRDefault="003A6F1A" w:rsidP="009647BF">
            <w:pPr>
              <w:pStyle w:val="ListParagraph"/>
              <w:numPr>
                <w:ilvl w:val="0"/>
                <w:numId w:val="12"/>
              </w:numPr>
              <w:ind w:left="331"/>
            </w:pPr>
            <w:r>
              <w:t xml:space="preserve">If financing </w:t>
            </w:r>
            <w:r w:rsidRPr="003A6F1A">
              <w:t>is coming from a consortium of banks, the commitment letter must come from the consortium itself, not just the originating lender.</w:t>
            </w:r>
          </w:p>
          <w:p w14:paraId="2F427E0D" w14:textId="0A06BD5D" w:rsidR="003A6F1A" w:rsidRDefault="003A6F1A" w:rsidP="009647BF">
            <w:pPr>
              <w:pStyle w:val="ListParagraph"/>
              <w:numPr>
                <w:ilvl w:val="0"/>
                <w:numId w:val="12"/>
              </w:numPr>
              <w:ind w:left="331"/>
            </w:pPr>
            <w:r w:rsidRPr="003A6F1A">
              <w:t>The maximum mortgage supportable shall have been obtained.</w:t>
            </w:r>
          </w:p>
        </w:tc>
      </w:tr>
      <w:tr w:rsidR="003A6F1A" w14:paraId="217FBD9D" w14:textId="77777777" w:rsidTr="00692643">
        <w:trPr>
          <w:cantSplit/>
        </w:trPr>
        <w:tc>
          <w:tcPr>
            <w:tcW w:w="2160" w:type="dxa"/>
          </w:tcPr>
          <w:p w14:paraId="52C3D57D" w14:textId="31319540" w:rsidR="003A6F1A" w:rsidRDefault="003A6F1A" w:rsidP="0053459B">
            <w:r w:rsidRPr="003A6F1A">
              <w:t>State of New Jersey Subsidy</w:t>
            </w:r>
            <w:r w:rsidR="007A72ED">
              <w:t>,</w:t>
            </w:r>
            <w:r w:rsidRPr="003A6F1A">
              <w:t xml:space="preserve"> </w:t>
            </w:r>
            <w:r w:rsidR="00C138B5">
              <w:t xml:space="preserve">for example, </w:t>
            </w:r>
            <w:r w:rsidRPr="003A6F1A">
              <w:t>State Affordable Housing Trust Fund (AHTF), State Community Development Block Grant (CDBG), HOME</w:t>
            </w:r>
            <w:r w:rsidR="00B22C96">
              <w:t xml:space="preserve"> Investment Partnerships Program (HOME)</w:t>
            </w:r>
            <w:r>
              <w:t>,</w:t>
            </w:r>
            <w:r w:rsidRPr="003A6F1A">
              <w:t xml:space="preserve"> </w:t>
            </w:r>
            <w:r>
              <w:t>and</w:t>
            </w:r>
            <w:r w:rsidRPr="003A6F1A">
              <w:t xml:space="preserve"> </w:t>
            </w:r>
            <w:r>
              <w:t>O</w:t>
            </w:r>
            <w:r w:rsidRPr="003A6F1A">
              <w:t xml:space="preserve">ther </w:t>
            </w:r>
            <w:r w:rsidR="00B22C96">
              <w:t>State-</w:t>
            </w:r>
            <w:r>
              <w:t>A</w:t>
            </w:r>
            <w:r w:rsidRPr="003A6F1A">
              <w:t xml:space="preserve">dministered </w:t>
            </w:r>
            <w:r w:rsidR="00B22C96">
              <w:t>Funding</w:t>
            </w:r>
          </w:p>
        </w:tc>
        <w:tc>
          <w:tcPr>
            <w:tcW w:w="8640" w:type="dxa"/>
          </w:tcPr>
          <w:p w14:paraId="4BBFF451" w14:textId="2E5066D0" w:rsidR="00E20CC5" w:rsidRDefault="00E20CC5" w:rsidP="009647BF">
            <w:pPr>
              <w:pStyle w:val="ListParagraph"/>
              <w:numPr>
                <w:ilvl w:val="0"/>
                <w:numId w:val="12"/>
              </w:numPr>
              <w:ind w:left="331"/>
            </w:pPr>
            <w:r>
              <w:t>Indicate, on the applicable Funding Sources Chart(s):</w:t>
            </w:r>
          </w:p>
          <w:p w14:paraId="125946F7" w14:textId="1965E657" w:rsidR="00E20CC5" w:rsidRDefault="00E20CC5" w:rsidP="009647BF">
            <w:pPr>
              <w:pStyle w:val="ListParagraph"/>
              <w:numPr>
                <w:ilvl w:val="1"/>
                <w:numId w:val="12"/>
              </w:numPr>
              <w:ind w:left="781"/>
            </w:pPr>
            <w:r>
              <w:t>The interest rate;</w:t>
            </w:r>
          </w:p>
          <w:p w14:paraId="0B1F067B" w14:textId="6A82CE54" w:rsidR="00E20CC5" w:rsidRDefault="00E20CC5" w:rsidP="009647BF">
            <w:pPr>
              <w:pStyle w:val="ListParagraph"/>
              <w:numPr>
                <w:ilvl w:val="1"/>
                <w:numId w:val="12"/>
              </w:numPr>
              <w:ind w:left="781"/>
            </w:pPr>
            <w:r>
              <w:t>The term of the loan; and</w:t>
            </w:r>
          </w:p>
          <w:p w14:paraId="202372D3" w14:textId="19A31814" w:rsidR="00E20CC5" w:rsidRDefault="00E20CC5" w:rsidP="009647BF">
            <w:pPr>
              <w:pStyle w:val="ListParagraph"/>
              <w:numPr>
                <w:ilvl w:val="1"/>
                <w:numId w:val="12"/>
              </w:numPr>
              <w:ind w:left="781"/>
            </w:pPr>
            <w:r>
              <w:t>All conditions.</w:t>
            </w:r>
          </w:p>
          <w:p w14:paraId="4D45673C" w14:textId="77777777" w:rsidR="00E20CC5" w:rsidRDefault="00E20CC5" w:rsidP="009647BF">
            <w:pPr>
              <w:pStyle w:val="ListParagraph"/>
              <w:numPr>
                <w:ilvl w:val="0"/>
                <w:numId w:val="12"/>
              </w:numPr>
              <w:ind w:left="331"/>
            </w:pPr>
            <w:r>
              <w:t xml:space="preserve">The NJ Department of Community Affairs (DCA) will </w:t>
            </w:r>
            <w:r w:rsidRPr="00E20CC5">
              <w:t>inform NJHMFA of those projects that have submitted a complete application for Balanced Housing or HOME funds by the tax credit application deadline.</w:t>
            </w:r>
          </w:p>
          <w:p w14:paraId="3DE1FBA5" w14:textId="3587E128" w:rsidR="00E20CC5" w:rsidRDefault="000F0AE3" w:rsidP="009647BF">
            <w:pPr>
              <w:pStyle w:val="ListParagraph"/>
              <w:numPr>
                <w:ilvl w:val="0"/>
                <w:numId w:val="12"/>
              </w:numPr>
              <w:ind w:left="331"/>
            </w:pPr>
            <w:r>
              <w:t xml:space="preserve">For all other funding sources, submit </w:t>
            </w:r>
            <w:r w:rsidR="007A72ED">
              <w:t xml:space="preserve">the </w:t>
            </w:r>
            <w:r>
              <w:t>commitment letter</w:t>
            </w:r>
            <w:r w:rsidR="007A72ED">
              <w:t>.</w:t>
            </w:r>
          </w:p>
        </w:tc>
      </w:tr>
      <w:tr w:rsidR="00E20CC5" w14:paraId="551EAB84" w14:textId="77777777" w:rsidTr="00692643">
        <w:trPr>
          <w:cantSplit/>
        </w:trPr>
        <w:tc>
          <w:tcPr>
            <w:tcW w:w="2160" w:type="dxa"/>
          </w:tcPr>
          <w:p w14:paraId="3C99ED41" w14:textId="4389BBE8" w:rsidR="00E20CC5" w:rsidRDefault="00E20CC5" w:rsidP="00E20CC5">
            <w:r>
              <w:t>Grants</w:t>
            </w:r>
          </w:p>
        </w:tc>
        <w:tc>
          <w:tcPr>
            <w:tcW w:w="8640" w:type="dxa"/>
          </w:tcPr>
          <w:p w14:paraId="05F29F0F" w14:textId="74149987" w:rsidR="00E20CC5" w:rsidRDefault="00E20CC5" w:rsidP="009647BF">
            <w:pPr>
              <w:pStyle w:val="ListParagraph"/>
              <w:numPr>
                <w:ilvl w:val="0"/>
                <w:numId w:val="12"/>
              </w:numPr>
              <w:ind w:left="331"/>
            </w:pPr>
            <w:r>
              <w:t xml:space="preserve">All private, State, and local grants must be deducted from </w:t>
            </w:r>
            <w:r w:rsidRPr="00E20CC5">
              <w:t>basis unless</w:t>
            </w:r>
            <w:r w:rsidR="000C3D2E">
              <w:t xml:space="preserve"> t</w:t>
            </w:r>
            <w:r w:rsidRPr="00E20CC5">
              <w:t>he grantee is taking the grant into income and paying income tax on it</w:t>
            </w:r>
            <w:r w:rsidR="000C3D2E">
              <w:t xml:space="preserve"> or t</w:t>
            </w:r>
            <w:r w:rsidRPr="00E20CC5">
              <w:t>he grantee is making a loan to the final ownership entity.</w:t>
            </w:r>
          </w:p>
          <w:p w14:paraId="782F9972" w14:textId="228BD76F" w:rsidR="00E20CC5" w:rsidRDefault="000C3D2E" w:rsidP="009647BF">
            <w:pPr>
              <w:pStyle w:val="ListParagraph"/>
              <w:numPr>
                <w:ilvl w:val="0"/>
                <w:numId w:val="12"/>
              </w:numPr>
              <w:ind w:left="331"/>
            </w:pPr>
            <w:r w:rsidRPr="000C3D2E">
              <w:t>All Federal grants must be subtracted from basis.</w:t>
            </w:r>
          </w:p>
        </w:tc>
      </w:tr>
      <w:tr w:rsidR="00E20CC5" w14:paraId="13262D03" w14:textId="77777777" w:rsidTr="00692643">
        <w:trPr>
          <w:cantSplit/>
        </w:trPr>
        <w:tc>
          <w:tcPr>
            <w:tcW w:w="2160" w:type="dxa"/>
          </w:tcPr>
          <w:p w14:paraId="14A6BF99" w14:textId="0AF3B3F4" w:rsidR="00E20CC5" w:rsidRDefault="000C3D2E" w:rsidP="00E20CC5">
            <w:r>
              <w:lastRenderedPageBreak/>
              <w:t xml:space="preserve">Municipal, County, or Public Housing Authority </w:t>
            </w:r>
            <w:r w:rsidR="00B22C96">
              <w:t>Grants or Loans</w:t>
            </w:r>
          </w:p>
        </w:tc>
        <w:tc>
          <w:tcPr>
            <w:tcW w:w="8640" w:type="dxa"/>
          </w:tcPr>
          <w:p w14:paraId="232A60D1" w14:textId="44B1067C" w:rsidR="00074D86" w:rsidRDefault="00B22C96" w:rsidP="009647BF">
            <w:pPr>
              <w:pStyle w:val="ListParagraph"/>
              <w:numPr>
                <w:ilvl w:val="0"/>
                <w:numId w:val="12"/>
              </w:numPr>
              <w:ind w:left="331"/>
            </w:pPr>
            <w:r w:rsidRPr="00B22C96">
              <w:t>Submit a copy of the county/municipal resolution/ordinance approving funds for the project</w:t>
            </w:r>
            <w:r w:rsidR="00ED5839">
              <w:t>, or, f</w:t>
            </w:r>
            <w:r>
              <w:t xml:space="preserve">or governmental entities where a resolution/ordinance is not the standard approval process, </w:t>
            </w:r>
            <w:r w:rsidR="00074D86">
              <w:t>submit a comparable commitment.</w:t>
            </w:r>
          </w:p>
          <w:p w14:paraId="5AB36F88" w14:textId="707C2CCF" w:rsidR="00B22C96" w:rsidRDefault="00074D86" w:rsidP="009647BF">
            <w:pPr>
              <w:pStyle w:val="ListParagraph"/>
              <w:numPr>
                <w:ilvl w:val="0"/>
                <w:numId w:val="12"/>
              </w:numPr>
              <w:ind w:left="331"/>
            </w:pPr>
            <w:r>
              <w:t xml:space="preserve">For example, </w:t>
            </w:r>
            <w:r w:rsidR="00B22C96">
              <w:t>three alternate forms of commitment are acceptable</w:t>
            </w:r>
            <w:r>
              <w:t xml:space="preserve"> for a project receiving HOME funds from a Participating Jurisdiction (PJ)</w:t>
            </w:r>
            <w:r w:rsidR="00B22C96">
              <w:t>:</w:t>
            </w:r>
          </w:p>
          <w:p w14:paraId="06782DF8" w14:textId="40123B41" w:rsidR="00B22C96" w:rsidRDefault="00ED5839" w:rsidP="009647BF">
            <w:pPr>
              <w:pStyle w:val="ListParagraph"/>
              <w:numPr>
                <w:ilvl w:val="1"/>
                <w:numId w:val="12"/>
              </w:numPr>
              <w:ind w:left="781"/>
            </w:pPr>
            <w:r>
              <w:t>A</w:t>
            </w:r>
            <w:r w:rsidRPr="00ED5839">
              <w:t xml:space="preserve"> copy of the HUD form 7015.15 </w:t>
            </w:r>
            <w:r>
              <w:t>“</w:t>
            </w:r>
            <w:r w:rsidRPr="00ED5839">
              <w:t>Request for Release of Funds &amp; Certification</w:t>
            </w:r>
            <w:r>
              <w:t xml:space="preserve">” </w:t>
            </w:r>
            <w:r w:rsidRPr="00ED5839">
              <w:t>along with a copy of the PJ</w:t>
            </w:r>
            <w:r>
              <w:t>’</w:t>
            </w:r>
            <w:r w:rsidRPr="00ED5839">
              <w:t>s cover letter transmitting it to HUD</w:t>
            </w:r>
            <w:r>
              <w:t>;</w:t>
            </w:r>
          </w:p>
          <w:p w14:paraId="48343586" w14:textId="149680DA" w:rsidR="00ED5839" w:rsidRDefault="00ED5839" w:rsidP="009647BF">
            <w:pPr>
              <w:pStyle w:val="ListParagraph"/>
              <w:numPr>
                <w:ilvl w:val="1"/>
                <w:numId w:val="12"/>
              </w:numPr>
              <w:ind w:left="781"/>
            </w:pPr>
            <w:r w:rsidRPr="00ED5839">
              <w:t>A copy of the PJ</w:t>
            </w:r>
            <w:r>
              <w:t>’</w:t>
            </w:r>
            <w:r w:rsidRPr="00ED5839">
              <w:t>s Comprehensive Housing Affordability Strategy (CHAS) with the project and the funding amount specifically cited in the CHAS, along with a copy of the PJ</w:t>
            </w:r>
            <w:r>
              <w:t>’</w:t>
            </w:r>
            <w:r w:rsidRPr="00ED5839">
              <w:t>s resolution approving the CHAS</w:t>
            </w:r>
            <w:r>
              <w:t>; or</w:t>
            </w:r>
          </w:p>
          <w:p w14:paraId="5C10FF7C" w14:textId="31C45287" w:rsidR="00ED5839" w:rsidRDefault="00ED5839" w:rsidP="009647BF">
            <w:pPr>
              <w:pStyle w:val="ListParagraph"/>
              <w:numPr>
                <w:ilvl w:val="1"/>
                <w:numId w:val="12"/>
              </w:numPr>
              <w:ind w:left="781"/>
            </w:pPr>
            <w:r w:rsidRPr="00ED5839">
              <w:t xml:space="preserve">For </w:t>
            </w:r>
            <w:r>
              <w:t>PJs</w:t>
            </w:r>
            <w:r w:rsidRPr="00ED5839">
              <w:t xml:space="preserve"> that have authorized staff to make final funding decisions, a commitment letter signed by the authorized signatory (i.e.</w:t>
            </w:r>
            <w:r>
              <w:t>,</w:t>
            </w:r>
            <w:r w:rsidRPr="00ED5839">
              <w:t xml:space="preserve"> the person having final approval authority) </w:t>
            </w:r>
            <w:r>
              <w:t>along with</w:t>
            </w:r>
            <w:r w:rsidRPr="00ED5839">
              <w:t xml:space="preserve"> documentation </w:t>
            </w:r>
            <w:r>
              <w:t xml:space="preserve">of </w:t>
            </w:r>
            <w:r w:rsidRPr="00ED5839">
              <w:t>delegati</w:t>
            </w:r>
            <w:r>
              <w:t>on of</w:t>
            </w:r>
            <w:r w:rsidRPr="00ED5839">
              <w:t xml:space="preserve"> final approval authority to the </w:t>
            </w:r>
            <w:r>
              <w:t xml:space="preserve">authorized </w:t>
            </w:r>
            <w:r w:rsidRPr="00ED5839">
              <w:t>signatory.</w:t>
            </w:r>
          </w:p>
        </w:tc>
      </w:tr>
      <w:tr w:rsidR="00E20CC5" w14:paraId="335CCF33" w14:textId="77777777" w:rsidTr="00692643">
        <w:trPr>
          <w:cantSplit/>
        </w:trPr>
        <w:tc>
          <w:tcPr>
            <w:tcW w:w="2160" w:type="dxa"/>
          </w:tcPr>
          <w:p w14:paraId="68EBC999" w14:textId="0304299D" w:rsidR="00E20CC5" w:rsidRDefault="00ED5839" w:rsidP="00E20CC5">
            <w:r>
              <w:t>Owner Equity/Loans</w:t>
            </w:r>
            <w:r w:rsidR="00692643">
              <w:t>: Out-of-Pocket Cash Equity</w:t>
            </w:r>
          </w:p>
        </w:tc>
        <w:tc>
          <w:tcPr>
            <w:tcW w:w="8640" w:type="dxa"/>
          </w:tcPr>
          <w:p w14:paraId="5AC58839" w14:textId="77777777" w:rsidR="00ED5839" w:rsidRDefault="00ED5839" w:rsidP="009647BF">
            <w:pPr>
              <w:pStyle w:val="ListParagraph"/>
              <w:numPr>
                <w:ilvl w:val="0"/>
                <w:numId w:val="12"/>
              </w:numPr>
              <w:ind w:left="331"/>
            </w:pPr>
            <w:r w:rsidRPr="00ED5839">
              <w:t xml:space="preserve">For applicants </w:t>
            </w:r>
            <w:r>
              <w:t>“</w:t>
            </w:r>
            <w:r w:rsidRPr="00ED5839">
              <w:t>coming out-of-pocket</w:t>
            </w:r>
            <w:r>
              <w:t>”</w:t>
            </w:r>
            <w:r w:rsidRPr="00ED5839">
              <w:t xml:space="preserve"> to fill an equity gap, provide supporting documentation</w:t>
            </w:r>
            <w:r>
              <w:t>:</w:t>
            </w:r>
          </w:p>
          <w:p w14:paraId="24B8094F" w14:textId="77777777" w:rsidR="00ED5839" w:rsidRDefault="00ED5839" w:rsidP="009647BF">
            <w:pPr>
              <w:pStyle w:val="ListParagraph"/>
              <w:numPr>
                <w:ilvl w:val="1"/>
                <w:numId w:val="12"/>
              </w:numPr>
              <w:ind w:left="781"/>
            </w:pPr>
            <w:r>
              <w:t>B</w:t>
            </w:r>
            <w:r w:rsidRPr="00ED5839">
              <w:t>ank statements</w:t>
            </w:r>
            <w:r>
              <w:t>;</w:t>
            </w:r>
            <w:r w:rsidRPr="00ED5839">
              <w:t xml:space="preserve"> and</w:t>
            </w:r>
          </w:p>
          <w:p w14:paraId="407CDACA" w14:textId="5D5451F0" w:rsidR="00E20CC5" w:rsidRDefault="00ED5839" w:rsidP="009647BF">
            <w:pPr>
              <w:pStyle w:val="ListParagraph"/>
              <w:numPr>
                <w:ilvl w:val="1"/>
                <w:numId w:val="12"/>
              </w:numPr>
              <w:ind w:left="781"/>
            </w:pPr>
            <w:r>
              <w:t>A</w:t>
            </w:r>
            <w:r w:rsidRPr="00ED5839">
              <w:t xml:space="preserve"> letter from an independent CPA certifying </w:t>
            </w:r>
            <w:r>
              <w:t xml:space="preserve">that </w:t>
            </w:r>
            <w:r w:rsidRPr="00ED5839">
              <w:t>the applicant has the specific amount of cash needed to fill the funding gap.</w:t>
            </w:r>
          </w:p>
          <w:p w14:paraId="6241CA3A" w14:textId="5D289BD9" w:rsidR="00ED5839" w:rsidRDefault="00ED5839" w:rsidP="009647BF">
            <w:pPr>
              <w:pStyle w:val="ListParagraph"/>
              <w:numPr>
                <w:ilvl w:val="0"/>
                <w:numId w:val="12"/>
              </w:numPr>
              <w:ind w:left="331"/>
            </w:pPr>
            <w:r w:rsidRPr="00ED5839">
              <w:t>Except for owner equity/loans listed in conjunction with the</w:t>
            </w:r>
            <w:r>
              <w:t xml:space="preserve"> </w:t>
            </w:r>
            <w:r w:rsidRPr="00ED5839">
              <w:t>Federal Home Loan Bank Affordable Housing Program or NJEDA funding, any owner equity/loans in excess of $1,000,000 shall be considered a permanent source that cannot subsequently be replaced by another funding source.</w:t>
            </w:r>
          </w:p>
          <w:p w14:paraId="38A1D45D" w14:textId="3C45F00B" w:rsidR="00B8552C" w:rsidRDefault="00ED5839" w:rsidP="009647BF">
            <w:pPr>
              <w:pStyle w:val="ListParagraph"/>
              <w:numPr>
                <w:ilvl w:val="0"/>
                <w:numId w:val="12"/>
              </w:numPr>
              <w:ind w:left="331"/>
            </w:pPr>
            <w:r w:rsidRPr="00ED5839">
              <w:t>Cash already expended by an applicant can be utilized as a source of funds if said expenditures are verified by an independent CPA and said cash is not an advance of other project funding sources.</w:t>
            </w:r>
            <w:r w:rsidR="00B8552C">
              <w:t xml:space="preserve"> </w:t>
            </w:r>
          </w:p>
        </w:tc>
      </w:tr>
      <w:tr w:rsidR="00692643" w14:paraId="43904947" w14:textId="77777777" w:rsidTr="00692643">
        <w:trPr>
          <w:cantSplit/>
        </w:trPr>
        <w:tc>
          <w:tcPr>
            <w:tcW w:w="2160" w:type="dxa"/>
          </w:tcPr>
          <w:p w14:paraId="606EFFC8" w14:textId="4AF48CF0" w:rsidR="00692643" w:rsidRDefault="00BA6870" w:rsidP="00E20CC5">
            <w:r>
              <w:lastRenderedPageBreak/>
              <w:t>Owner Equity/Loans: Developer Fee</w:t>
            </w:r>
          </w:p>
        </w:tc>
        <w:tc>
          <w:tcPr>
            <w:tcW w:w="8640" w:type="dxa"/>
          </w:tcPr>
          <w:p w14:paraId="2D8F01AF" w14:textId="22BD90A1" w:rsidR="00692643" w:rsidRPr="005125BF" w:rsidRDefault="00692643" w:rsidP="009647BF">
            <w:pPr>
              <w:pStyle w:val="ListParagraph"/>
              <w:numPr>
                <w:ilvl w:val="0"/>
                <w:numId w:val="12"/>
              </w:numPr>
              <w:ind w:left="331"/>
            </w:pPr>
            <w:r>
              <w:t xml:space="preserve">The maximum developer fee allowed for eligible rehabilitation or new construction costs is calculated as a percentage of </w:t>
            </w:r>
            <w:r w:rsidRPr="00F926A6">
              <w:t xml:space="preserve">total </w:t>
            </w:r>
            <w:r w:rsidRPr="005125BF">
              <w:t xml:space="preserve">development cost (TDC) excluding acquisition (land and building), working capital, marketing expenses, escrows, operating deficit reserves, step-in-the-shoes costs, and costs associated with syndication. The maximum developer fee allowed for eligible acquisition costs is calculated as a percentage of </w:t>
            </w:r>
            <w:r w:rsidR="00834303" w:rsidRPr="005125BF">
              <w:t xml:space="preserve">building </w:t>
            </w:r>
            <w:r w:rsidRPr="005125BF">
              <w:t>acquisition costs. No developer fee for acquisition is allowed if the acquisition is between related parties.</w:t>
            </w:r>
          </w:p>
          <w:p w14:paraId="62405463" w14:textId="77777777" w:rsidR="00692643" w:rsidRPr="005125BF" w:rsidRDefault="00692643" w:rsidP="009647BF">
            <w:pPr>
              <w:pStyle w:val="ListParagraph"/>
              <w:numPr>
                <w:ilvl w:val="0"/>
                <w:numId w:val="12"/>
              </w:numPr>
              <w:ind w:left="331"/>
            </w:pPr>
            <w:r w:rsidRPr="005125BF">
              <w:t>The maximum developer fee percentage is:</w:t>
            </w:r>
          </w:p>
          <w:p w14:paraId="58F2548C" w14:textId="77777777" w:rsidR="00692643" w:rsidRPr="005125BF" w:rsidRDefault="00692643" w:rsidP="009647BF">
            <w:pPr>
              <w:pStyle w:val="ListParagraph"/>
              <w:numPr>
                <w:ilvl w:val="1"/>
                <w:numId w:val="12"/>
              </w:numPr>
              <w:ind w:left="781"/>
            </w:pPr>
            <w:r w:rsidRPr="005125BF">
              <w:t>For most projects, 15% of TDC after exclusions;</w:t>
            </w:r>
          </w:p>
          <w:p w14:paraId="63A25EFE" w14:textId="77777777" w:rsidR="00692643" w:rsidRPr="005125BF" w:rsidRDefault="00692643" w:rsidP="009647BF">
            <w:pPr>
              <w:pStyle w:val="ListParagraph"/>
              <w:numPr>
                <w:ilvl w:val="1"/>
                <w:numId w:val="12"/>
              </w:numPr>
              <w:ind w:left="781"/>
            </w:pPr>
            <w:r w:rsidRPr="005125BF">
              <w:t>For projects of 25 units or fewer, as well as Supportive Housing Cycle projects, 20% of TDC after exclusions.</w:t>
            </w:r>
          </w:p>
          <w:p w14:paraId="672311D5" w14:textId="1985D170" w:rsidR="00692643" w:rsidRPr="005125BF" w:rsidRDefault="00692643" w:rsidP="009647BF">
            <w:pPr>
              <w:pStyle w:val="ListParagraph"/>
              <w:numPr>
                <w:ilvl w:val="1"/>
                <w:numId w:val="12"/>
              </w:numPr>
              <w:ind w:left="781"/>
            </w:pPr>
            <w:r w:rsidRPr="005125BF">
              <w:t xml:space="preserve">For acquisition, 4% of </w:t>
            </w:r>
            <w:r w:rsidR="00834303" w:rsidRPr="005125BF">
              <w:t xml:space="preserve">building </w:t>
            </w:r>
            <w:r w:rsidRPr="005125BF">
              <w:t>acquisition costs.</w:t>
            </w:r>
          </w:p>
          <w:p w14:paraId="4770173B" w14:textId="77777777" w:rsidR="00692643" w:rsidRPr="005125BF" w:rsidRDefault="00692643" w:rsidP="009647BF">
            <w:pPr>
              <w:pStyle w:val="ListParagraph"/>
              <w:numPr>
                <w:ilvl w:val="0"/>
                <w:numId w:val="12"/>
              </w:numPr>
              <w:ind w:left="331"/>
            </w:pPr>
            <w:r w:rsidRPr="005125BF">
              <w:rPr>
                <w:u w:val="single"/>
              </w:rPr>
              <w:t>Non-Deferred Fee</w:t>
            </w:r>
            <w:r w:rsidRPr="005125BF">
              <w:t>—The non-deferred portion of the developer fee may not exceed:</w:t>
            </w:r>
          </w:p>
          <w:p w14:paraId="32382021" w14:textId="77777777" w:rsidR="00692643" w:rsidRPr="005125BF" w:rsidRDefault="00692643" w:rsidP="009647BF">
            <w:pPr>
              <w:pStyle w:val="ListParagraph"/>
              <w:numPr>
                <w:ilvl w:val="1"/>
                <w:numId w:val="12"/>
              </w:numPr>
              <w:ind w:left="781"/>
            </w:pPr>
            <w:r w:rsidRPr="005125BF">
              <w:t>For most projects, 8% of TDC after exclusions;</w:t>
            </w:r>
          </w:p>
          <w:p w14:paraId="2E3568D5" w14:textId="77777777" w:rsidR="00692643" w:rsidRPr="005125BF" w:rsidRDefault="00692643" w:rsidP="009647BF">
            <w:pPr>
              <w:pStyle w:val="ListParagraph"/>
              <w:numPr>
                <w:ilvl w:val="1"/>
                <w:numId w:val="12"/>
              </w:numPr>
              <w:ind w:left="781"/>
            </w:pPr>
            <w:r w:rsidRPr="005125BF">
              <w:t>For projects of 25 units or fewer, as well as Supportive Housing Cycle projects, 13% of TDC after exclusions.</w:t>
            </w:r>
          </w:p>
          <w:p w14:paraId="52037ADC" w14:textId="4CDB9EA2" w:rsidR="00692643" w:rsidRPr="005125BF" w:rsidRDefault="00692643" w:rsidP="009647BF">
            <w:pPr>
              <w:pStyle w:val="ListParagraph"/>
              <w:numPr>
                <w:ilvl w:val="1"/>
                <w:numId w:val="12"/>
              </w:numPr>
              <w:ind w:left="781"/>
            </w:pPr>
            <w:r w:rsidRPr="005125BF">
              <w:t xml:space="preserve">For acquisition, 2% of </w:t>
            </w:r>
            <w:r w:rsidR="00834303" w:rsidRPr="005125BF">
              <w:t xml:space="preserve">building </w:t>
            </w:r>
            <w:r w:rsidRPr="005125BF">
              <w:t>acquisition costs.</w:t>
            </w:r>
          </w:p>
          <w:p w14:paraId="6A8D2EB3" w14:textId="77777777" w:rsidR="00692643" w:rsidRPr="005125BF" w:rsidRDefault="00692643" w:rsidP="009647BF">
            <w:pPr>
              <w:pStyle w:val="ListParagraph"/>
              <w:numPr>
                <w:ilvl w:val="0"/>
                <w:numId w:val="12"/>
              </w:numPr>
              <w:ind w:left="331"/>
            </w:pPr>
            <w:r w:rsidRPr="005125BF">
              <w:rPr>
                <w:u w:val="single"/>
              </w:rPr>
              <w:t>Anticipated Deferred Fee</w:t>
            </w:r>
            <w:r w:rsidRPr="005125BF">
              <w:t>—At application submission, no more than 50% of the developer fee may be deferred as a permanent source of funds. Type this amount next to “Deferred Developer Fee” on the Funding Sources Chart.</w:t>
            </w:r>
          </w:p>
          <w:p w14:paraId="45456EA1" w14:textId="77777777" w:rsidR="00692643" w:rsidRDefault="00692643" w:rsidP="009647BF">
            <w:pPr>
              <w:pStyle w:val="ListParagraph"/>
              <w:numPr>
                <w:ilvl w:val="1"/>
                <w:numId w:val="12"/>
              </w:numPr>
              <w:ind w:left="781"/>
            </w:pPr>
            <w:r>
              <w:t>Any amount of Anticipated Deferred Fee above 50% will cause the project to be declared infeasible, UNLESS such use of the developer fee is on an interim basis.</w:t>
            </w:r>
          </w:p>
          <w:p w14:paraId="13B1FC05" w14:textId="77777777" w:rsidR="00692643" w:rsidRDefault="00692643" w:rsidP="009647BF">
            <w:pPr>
              <w:pStyle w:val="ListParagraph"/>
              <w:numPr>
                <w:ilvl w:val="1"/>
                <w:numId w:val="12"/>
              </w:numPr>
              <w:ind w:left="781"/>
            </w:pPr>
            <w:r>
              <w:t>In such a case, the anticipated funding source to replace the interim deferred developer fee must be identified in Section 5 above (Disclosure of All Financing Information) and the commitment of said funds must be received no later than the carryover allocation.</w:t>
            </w:r>
          </w:p>
          <w:p w14:paraId="2E1E0404" w14:textId="77777777" w:rsidR="00692643" w:rsidRDefault="00692643" w:rsidP="009647BF">
            <w:pPr>
              <w:pStyle w:val="ListParagraph"/>
              <w:numPr>
                <w:ilvl w:val="1"/>
                <w:numId w:val="12"/>
              </w:numPr>
              <w:ind w:left="781"/>
            </w:pPr>
            <w:r>
              <w:t>NOTE: Failure to secure said funding source and subsequently reduce the deferred developer fee to 50% of the total amount by carryover allocation/binding agreement will cause the tax reservation to be canceled.</w:t>
            </w:r>
          </w:p>
          <w:p w14:paraId="5559878F" w14:textId="0925FDB2" w:rsidR="00692643" w:rsidRDefault="00692643" w:rsidP="009647BF">
            <w:pPr>
              <w:pStyle w:val="ListParagraph"/>
              <w:numPr>
                <w:ilvl w:val="0"/>
                <w:numId w:val="12"/>
              </w:numPr>
              <w:ind w:left="331"/>
            </w:pPr>
            <w:r w:rsidRPr="00AE4C9E">
              <w:rPr>
                <w:u w:val="single"/>
              </w:rPr>
              <w:t xml:space="preserve">Maximum </w:t>
            </w:r>
            <w:r w:rsidR="00834303">
              <w:rPr>
                <w:u w:val="single"/>
              </w:rPr>
              <w:t>D</w:t>
            </w:r>
            <w:r w:rsidRPr="00AE4C9E">
              <w:rPr>
                <w:u w:val="single"/>
              </w:rPr>
              <w:t>eferred Developer Fee</w:t>
            </w:r>
            <w:r>
              <w:t>—The applicant</w:t>
            </w:r>
            <w:r w:rsidRPr="00692643">
              <w:t xml:space="preserve"> must state up-front, in the application, how much of the developer fee </w:t>
            </w:r>
            <w:r>
              <w:t>it is</w:t>
            </w:r>
            <w:r w:rsidRPr="00692643">
              <w:t xml:space="preserve"> willing to defer to fill an unanticipated funding gap. Type this amount next to "Maximum Deferral of Developer Fee" on the Funding Sources Chart.</w:t>
            </w:r>
          </w:p>
          <w:p w14:paraId="4ECC016F" w14:textId="77777777" w:rsidR="00692643" w:rsidRDefault="00692643" w:rsidP="009647BF">
            <w:pPr>
              <w:pStyle w:val="ListParagraph"/>
              <w:numPr>
                <w:ilvl w:val="1"/>
                <w:numId w:val="12"/>
              </w:numPr>
              <w:ind w:left="781"/>
            </w:pPr>
            <w:r w:rsidRPr="00692643">
              <w:t>Should NJHMFA determine through its underwriting process that a funding gap exists (e.g.</w:t>
            </w:r>
            <w:r>
              <w:t>,</w:t>
            </w:r>
            <w:r w:rsidRPr="00692643">
              <w:t xml:space="preserve"> applicant overestimates the amount of credits for which the project is eligible), a developer fee deferral or increase thereof </w:t>
            </w:r>
            <w:r>
              <w:t>may</w:t>
            </w:r>
            <w:r w:rsidRPr="00692643">
              <w:t xml:space="preserve"> be needed to fill that funding gap to ensure financial feasibility.</w:t>
            </w:r>
            <w:r>
              <w:t xml:space="preserve"> </w:t>
            </w:r>
            <w:r w:rsidRPr="00692643">
              <w:t>NJHMFA will not au</w:t>
            </w:r>
            <w:r>
              <w:t>t</w:t>
            </w:r>
            <w:r w:rsidRPr="00692643">
              <w:t>omatically assume that the developer fee will be deferred to cover the gap.</w:t>
            </w:r>
          </w:p>
          <w:p w14:paraId="508CC9C5" w14:textId="3A3D8F37" w:rsidR="00692643" w:rsidRDefault="00692643" w:rsidP="009647BF">
            <w:pPr>
              <w:pStyle w:val="ListParagraph"/>
              <w:numPr>
                <w:ilvl w:val="1"/>
                <w:numId w:val="12"/>
              </w:numPr>
              <w:ind w:left="781"/>
            </w:pPr>
            <w:r w:rsidRPr="00692643">
              <w:t xml:space="preserve">The amount listed under </w:t>
            </w:r>
            <w:r>
              <w:t>M</w:t>
            </w:r>
            <w:r w:rsidRPr="00692643">
              <w:t xml:space="preserve">aximum </w:t>
            </w:r>
            <w:r>
              <w:t>D</w:t>
            </w:r>
            <w:r w:rsidRPr="00692643">
              <w:t xml:space="preserve">eferred </w:t>
            </w:r>
            <w:r>
              <w:t>D</w:t>
            </w:r>
            <w:r w:rsidRPr="00692643">
              <w:t xml:space="preserve">eveloper </w:t>
            </w:r>
            <w:r>
              <w:t>F</w:t>
            </w:r>
            <w:r w:rsidRPr="00692643">
              <w:t>ee shall not exceed the amount of developer fee amount available to be deferred (</w:t>
            </w:r>
            <w:r>
              <w:t>i.e.,</w:t>
            </w:r>
            <w:r w:rsidRPr="00692643">
              <w:t xml:space="preserve"> if a portion of the developer fee has previously been committed, such as for provision of social services, it is not available to be deferred), and </w:t>
            </w:r>
            <w:r>
              <w:t>is</w:t>
            </w:r>
            <w:r w:rsidRPr="00692643">
              <w:t xml:space="preserve"> subject to the 50% limit as described</w:t>
            </w:r>
            <w:r>
              <w:t xml:space="preserve"> </w:t>
            </w:r>
            <w:r w:rsidRPr="00692643">
              <w:t>above.</w:t>
            </w:r>
          </w:p>
          <w:p w14:paraId="10B52171" w14:textId="77777777" w:rsidR="00692643" w:rsidRDefault="00692643" w:rsidP="009647BF">
            <w:pPr>
              <w:pStyle w:val="ListParagraph"/>
              <w:numPr>
                <w:ilvl w:val="0"/>
                <w:numId w:val="12"/>
              </w:numPr>
              <w:ind w:left="331"/>
            </w:pPr>
            <w:r>
              <w:t>For any deferred developer fee,</w:t>
            </w:r>
            <w:r w:rsidR="00E031EF">
              <w:t xml:space="preserve"> </w:t>
            </w:r>
            <w:r w:rsidR="00E031EF" w:rsidRPr="00E031EF">
              <w:t>there must be a reasonable expectation of repayment, as evidenced by available cash flow and/or confirmation by the applicant’s syndicator/investor or tax attorney.</w:t>
            </w:r>
          </w:p>
          <w:p w14:paraId="1D579232" w14:textId="7CEAEE4E" w:rsidR="00E031EF" w:rsidRDefault="00BA6870" w:rsidP="009647BF">
            <w:pPr>
              <w:pStyle w:val="ListParagraph"/>
              <w:numPr>
                <w:ilvl w:val="0"/>
                <w:numId w:val="12"/>
              </w:numPr>
              <w:ind w:left="331"/>
            </w:pPr>
            <w:r>
              <w:t xml:space="preserve">NOTE: </w:t>
            </w:r>
            <w:r w:rsidR="00E031EF">
              <w:t xml:space="preserve">Contractor fees cannot be pledged. </w:t>
            </w:r>
            <w:r w:rsidR="00E031EF" w:rsidRPr="00E031EF">
              <w:t>Applicant equity or deferred developer fee may subsequently be replaced by State HOME or AHTF resources only if the application for those funds has been submitted by the tax credit application deadline.</w:t>
            </w:r>
          </w:p>
        </w:tc>
      </w:tr>
      <w:tr w:rsidR="00E20CC5" w14:paraId="17C4D3FC" w14:textId="77777777" w:rsidTr="00692643">
        <w:trPr>
          <w:cantSplit/>
        </w:trPr>
        <w:tc>
          <w:tcPr>
            <w:tcW w:w="2160" w:type="dxa"/>
          </w:tcPr>
          <w:p w14:paraId="0A85A216" w14:textId="32794B76" w:rsidR="00E20CC5" w:rsidRDefault="00DC1B10" w:rsidP="00E20CC5">
            <w:r>
              <w:t>Investor Commitments</w:t>
            </w:r>
          </w:p>
        </w:tc>
        <w:tc>
          <w:tcPr>
            <w:tcW w:w="8640" w:type="dxa"/>
          </w:tcPr>
          <w:p w14:paraId="1DB2C027" w14:textId="77777777" w:rsidR="00E20CC5" w:rsidRDefault="00E031EF" w:rsidP="009647BF">
            <w:pPr>
              <w:pStyle w:val="ListParagraph"/>
              <w:numPr>
                <w:ilvl w:val="0"/>
                <w:numId w:val="12"/>
              </w:numPr>
              <w:ind w:left="331"/>
            </w:pPr>
            <w:r w:rsidRPr="00E031EF">
              <w:t xml:space="preserve">If an investor has been selected, submit the commitment letter from </w:t>
            </w:r>
            <w:r>
              <w:t>the</w:t>
            </w:r>
            <w:r w:rsidRPr="00E031EF">
              <w:t xml:space="preserve"> investor/syndicator that evidences pricing and total capital contributions.</w:t>
            </w:r>
          </w:p>
          <w:p w14:paraId="43A7CF34" w14:textId="4AC73A70" w:rsidR="00E031EF" w:rsidRDefault="00E031EF" w:rsidP="009647BF">
            <w:pPr>
              <w:pStyle w:val="ListParagraph"/>
              <w:numPr>
                <w:ilvl w:val="0"/>
                <w:numId w:val="12"/>
              </w:numPr>
              <w:ind w:left="331"/>
            </w:pPr>
            <w:r w:rsidRPr="00E031EF">
              <w:t>If an investor has not been selected or only an investor term sheet has been received, tax credit proceeds will be calculated at the lowest level of the NJHMFA equity range</w:t>
            </w:r>
            <w:r w:rsidR="00DA417F">
              <w:t xml:space="preserve"> or, if there is no equity range established, at the established equity factor</w:t>
            </w:r>
            <w:r w:rsidRPr="00E031EF">
              <w:t>.</w:t>
            </w:r>
          </w:p>
        </w:tc>
      </w:tr>
      <w:tr w:rsidR="000C3D2E" w14:paraId="68CF6AB1" w14:textId="77777777" w:rsidTr="00692643">
        <w:trPr>
          <w:cantSplit/>
        </w:trPr>
        <w:tc>
          <w:tcPr>
            <w:tcW w:w="2160" w:type="dxa"/>
          </w:tcPr>
          <w:p w14:paraId="0947B272" w14:textId="73604F20" w:rsidR="000C3D2E" w:rsidRDefault="00DC1B10" w:rsidP="00E20CC5">
            <w:r>
              <w:lastRenderedPageBreak/>
              <w:t>All-Equity Projects</w:t>
            </w:r>
          </w:p>
        </w:tc>
        <w:tc>
          <w:tcPr>
            <w:tcW w:w="8640" w:type="dxa"/>
          </w:tcPr>
          <w:p w14:paraId="1E971856" w14:textId="4D490159" w:rsidR="000C3D2E" w:rsidRDefault="00BA6870" w:rsidP="009647BF">
            <w:pPr>
              <w:pStyle w:val="ListParagraph"/>
              <w:numPr>
                <w:ilvl w:val="0"/>
                <w:numId w:val="12"/>
              </w:numPr>
              <w:ind w:left="331"/>
            </w:pPr>
            <w:r>
              <w:t xml:space="preserve">If the </w:t>
            </w:r>
            <w:r w:rsidRPr="00BA6870">
              <w:t xml:space="preserve">applicant is financing the project and taking the credits itself, </w:t>
            </w:r>
            <w:r>
              <w:t xml:space="preserve">the application must </w:t>
            </w:r>
            <w:r w:rsidRPr="00BA6870">
              <w:t xml:space="preserve">comply with </w:t>
            </w:r>
            <w:r>
              <w:t xml:space="preserve">the </w:t>
            </w:r>
            <w:r w:rsidRPr="00BA6870">
              <w:t>Owner Equity/Loans</w:t>
            </w:r>
            <w:r>
              <w:t xml:space="preserve"> requirements</w:t>
            </w:r>
            <w:r w:rsidRPr="00BA6870">
              <w:t xml:space="preserve"> above, and </w:t>
            </w:r>
            <w:r>
              <w:t>will</w:t>
            </w:r>
            <w:r w:rsidRPr="00BA6870">
              <w:t xml:space="preserve"> have a retention factor added to the base of the NJHMFA equity range</w:t>
            </w:r>
            <w:r w:rsidR="003E583D">
              <w:t xml:space="preserve"> or, if there is no equity range established, to the NJHMFA equity factor</w:t>
            </w:r>
            <w:r w:rsidRPr="00BA6870">
              <w:t>.</w:t>
            </w:r>
          </w:p>
          <w:p w14:paraId="76DEAEF9" w14:textId="77777777" w:rsidR="00BA6870" w:rsidRDefault="00BA6870" w:rsidP="009647BF">
            <w:pPr>
              <w:pStyle w:val="ListParagraph"/>
              <w:numPr>
                <w:ilvl w:val="0"/>
                <w:numId w:val="12"/>
              </w:numPr>
              <w:ind w:left="331"/>
            </w:pPr>
            <w:r w:rsidRPr="00BA6870">
              <w:t>For projects that are permanently financed solely on tax credit proceeds (i.e.</w:t>
            </w:r>
            <w:r>
              <w:t>,</w:t>
            </w:r>
            <w:r w:rsidRPr="00BA6870">
              <w:t xml:space="preserve"> no mortgage, grants, etc.), submit a fully executed investor commitment evidencing the pricing per credit dollar and total anticipated net proceeds shown in the application.</w:t>
            </w:r>
          </w:p>
          <w:p w14:paraId="1E958300" w14:textId="65FE010F" w:rsidR="00BA6870" w:rsidRDefault="00BA6870" w:rsidP="009647BF">
            <w:pPr>
              <w:pStyle w:val="ListParagraph"/>
              <w:numPr>
                <w:ilvl w:val="0"/>
                <w:numId w:val="12"/>
              </w:numPr>
              <w:ind w:left="331"/>
            </w:pPr>
            <w:r w:rsidRPr="00BA6870">
              <w:t>NOTE: If there is sufficient cash flow to amortize debt, the applicant must obtain a mortgage commitment for such debt.</w:t>
            </w:r>
          </w:p>
        </w:tc>
      </w:tr>
      <w:tr w:rsidR="000C3D2E" w14:paraId="42EC4BC3" w14:textId="77777777" w:rsidTr="00692643">
        <w:trPr>
          <w:cantSplit/>
        </w:trPr>
        <w:tc>
          <w:tcPr>
            <w:tcW w:w="2160" w:type="dxa"/>
          </w:tcPr>
          <w:p w14:paraId="7925B73F" w14:textId="70F6EDDF" w:rsidR="000C3D2E" w:rsidRDefault="00DC1B10" w:rsidP="00E20CC5">
            <w:r>
              <w:t>Federal Home Loan Bank (FHLB)</w:t>
            </w:r>
          </w:p>
        </w:tc>
        <w:tc>
          <w:tcPr>
            <w:tcW w:w="8640" w:type="dxa"/>
          </w:tcPr>
          <w:p w14:paraId="06F680C2" w14:textId="77777777" w:rsidR="00730934" w:rsidRDefault="00730934" w:rsidP="009647BF">
            <w:pPr>
              <w:pStyle w:val="ListParagraph"/>
              <w:numPr>
                <w:ilvl w:val="0"/>
                <w:numId w:val="12"/>
              </w:numPr>
              <w:ind w:left="331"/>
            </w:pPr>
            <w:r w:rsidRPr="00730934">
              <w:t xml:space="preserve">Applicants applying for tax credits and the FHLB Affordable Housing Program </w:t>
            </w:r>
            <w:r>
              <w:t>are</w:t>
            </w:r>
            <w:r w:rsidRPr="00730934">
              <w:t xml:space="preserve"> not required to submit a commitment letter from FHLB by the application deadline.</w:t>
            </w:r>
          </w:p>
          <w:p w14:paraId="36F3D2D7" w14:textId="149D21A3" w:rsidR="000C3D2E" w:rsidRDefault="00730934" w:rsidP="009647BF">
            <w:pPr>
              <w:pStyle w:val="ListParagraph"/>
              <w:numPr>
                <w:ilvl w:val="0"/>
                <w:numId w:val="12"/>
              </w:numPr>
              <w:ind w:left="331"/>
            </w:pPr>
            <w:r>
              <w:t>NOTE</w:t>
            </w:r>
            <w:r w:rsidRPr="00730934">
              <w:t>: If a project fails to receive FHLB funding, the project may be declared infeasible unless there is an alternate source of financing, such as a deferred developer fee, identified in the tax credit application and commitment of said alternate funding is received by issuance of carryover allocation/binding agreement.</w:t>
            </w:r>
          </w:p>
        </w:tc>
      </w:tr>
      <w:tr w:rsidR="000C3D2E" w14:paraId="2E2CC225" w14:textId="77777777" w:rsidTr="00692643">
        <w:trPr>
          <w:cantSplit/>
        </w:trPr>
        <w:tc>
          <w:tcPr>
            <w:tcW w:w="2160" w:type="dxa"/>
          </w:tcPr>
          <w:p w14:paraId="24B26B9B" w14:textId="25FFB197" w:rsidR="000C3D2E" w:rsidRDefault="00DC1B10" w:rsidP="00E20CC5">
            <w:r>
              <w:t>Municipal Affordable Housing Trust Funds</w:t>
            </w:r>
          </w:p>
        </w:tc>
        <w:tc>
          <w:tcPr>
            <w:tcW w:w="8640" w:type="dxa"/>
          </w:tcPr>
          <w:p w14:paraId="63A36A59" w14:textId="77777777" w:rsidR="00E40681" w:rsidRDefault="00730934" w:rsidP="009647BF">
            <w:pPr>
              <w:pStyle w:val="ListParagraph"/>
              <w:numPr>
                <w:ilvl w:val="0"/>
                <w:numId w:val="12"/>
              </w:numPr>
              <w:ind w:left="331"/>
            </w:pPr>
            <w:r w:rsidRPr="00730934">
              <w:t>Submit a copy of the current spending plan</w:t>
            </w:r>
            <w:r w:rsidR="00E40681">
              <w:t>, which must:</w:t>
            </w:r>
          </w:p>
          <w:p w14:paraId="3F7A59CE" w14:textId="77777777" w:rsidR="00E40681" w:rsidRDefault="00E40681" w:rsidP="009647BF">
            <w:pPr>
              <w:pStyle w:val="ListParagraph"/>
              <w:numPr>
                <w:ilvl w:val="1"/>
                <w:numId w:val="12"/>
              </w:numPr>
              <w:ind w:left="781"/>
            </w:pPr>
            <w:r>
              <w:t>L</w:t>
            </w:r>
            <w:r w:rsidR="00730934" w:rsidRPr="00730934">
              <w:t>ist the project</w:t>
            </w:r>
            <w:r>
              <w:t>;</w:t>
            </w:r>
          </w:p>
          <w:p w14:paraId="095A4253" w14:textId="77777777" w:rsidR="00E40681" w:rsidRDefault="00E40681" w:rsidP="009647BF">
            <w:pPr>
              <w:pStyle w:val="ListParagraph"/>
              <w:numPr>
                <w:ilvl w:val="1"/>
                <w:numId w:val="12"/>
              </w:numPr>
              <w:ind w:left="781"/>
            </w:pPr>
            <w:r>
              <w:t>Have</w:t>
            </w:r>
            <w:r w:rsidR="00730934" w:rsidRPr="00730934">
              <w:t xml:space="preserve"> been approved by the municipality</w:t>
            </w:r>
            <w:r>
              <w:t>;</w:t>
            </w:r>
            <w:r w:rsidR="00730934" w:rsidRPr="00730934">
              <w:t xml:space="preserve"> and</w:t>
            </w:r>
          </w:p>
          <w:p w14:paraId="6BD6E56F" w14:textId="66AF147C" w:rsidR="000C3D2E" w:rsidRDefault="00E40681" w:rsidP="009647BF">
            <w:pPr>
              <w:pStyle w:val="ListParagraph"/>
              <w:numPr>
                <w:ilvl w:val="1"/>
                <w:numId w:val="12"/>
              </w:numPr>
              <w:ind w:left="781"/>
            </w:pPr>
            <w:r>
              <w:t>S</w:t>
            </w:r>
            <w:r w:rsidR="00730934" w:rsidRPr="00730934">
              <w:t>ubmitted to DCA or the courts by the application deadline.</w:t>
            </w:r>
          </w:p>
        </w:tc>
      </w:tr>
      <w:tr w:rsidR="000C3D2E" w14:paraId="7EE9220E" w14:textId="77777777" w:rsidTr="00692643">
        <w:trPr>
          <w:cantSplit/>
        </w:trPr>
        <w:tc>
          <w:tcPr>
            <w:tcW w:w="2160" w:type="dxa"/>
          </w:tcPr>
          <w:p w14:paraId="5FB19016" w14:textId="571C306C" w:rsidR="000C3D2E" w:rsidRDefault="00DC1B10" w:rsidP="00E20CC5">
            <w:r>
              <w:t>New Jersey Economic Development Authority (NJEDA) Funding</w:t>
            </w:r>
          </w:p>
        </w:tc>
        <w:tc>
          <w:tcPr>
            <w:tcW w:w="8640" w:type="dxa"/>
          </w:tcPr>
          <w:p w14:paraId="275BE056" w14:textId="77777777" w:rsidR="000C3D2E" w:rsidRDefault="00E40681" w:rsidP="009647BF">
            <w:pPr>
              <w:pStyle w:val="ListParagraph"/>
              <w:numPr>
                <w:ilvl w:val="0"/>
                <w:numId w:val="12"/>
              </w:numPr>
              <w:ind w:left="331"/>
            </w:pPr>
            <w:r>
              <w:t>If applying for 9% LIHTC, submit a commitment letter from NJEDA with the application.</w:t>
            </w:r>
          </w:p>
          <w:p w14:paraId="39F17382" w14:textId="5F9FDAF9" w:rsidR="00E40681" w:rsidRDefault="00E40681" w:rsidP="009647BF">
            <w:pPr>
              <w:pStyle w:val="ListParagraph"/>
              <w:numPr>
                <w:ilvl w:val="0"/>
                <w:numId w:val="12"/>
              </w:numPr>
              <w:ind w:left="331"/>
            </w:pPr>
            <w:r>
              <w:t xml:space="preserve">If applying for 4% LIHTC, ensure that NJEDA has </w:t>
            </w:r>
            <w:r w:rsidRPr="00E40681">
              <w:t>informed NJHMFA of any of the applicant’s projects that have submitted a complete application for funding, the projects NJEDA intends to fund, and the subsidy amounts. If a project does not receive NJEDA funding, the project may be declared infeasible unless there is an alternate source of funding identified in the tax credit application and commitment of the alternate funding source is received by issuance of the 42(m) letter.</w:t>
            </w:r>
          </w:p>
        </w:tc>
      </w:tr>
      <w:tr w:rsidR="000C3D2E" w14:paraId="16E2F5AB" w14:textId="77777777" w:rsidTr="00692643">
        <w:trPr>
          <w:cantSplit/>
        </w:trPr>
        <w:tc>
          <w:tcPr>
            <w:tcW w:w="2160" w:type="dxa"/>
          </w:tcPr>
          <w:p w14:paraId="6489DFE5" w14:textId="4144392F" w:rsidR="000C3D2E" w:rsidRDefault="00DC1B10" w:rsidP="00E20CC5">
            <w:r>
              <w:t>NJHMFA Financing</w:t>
            </w:r>
          </w:p>
        </w:tc>
        <w:tc>
          <w:tcPr>
            <w:tcW w:w="8640" w:type="dxa"/>
          </w:tcPr>
          <w:p w14:paraId="42BC03D5" w14:textId="77777777" w:rsidR="00E40681" w:rsidRDefault="00E40681" w:rsidP="009647BF">
            <w:pPr>
              <w:pStyle w:val="ListParagraph"/>
              <w:numPr>
                <w:ilvl w:val="0"/>
                <w:numId w:val="12"/>
              </w:numPr>
              <w:ind w:left="331"/>
            </w:pPr>
            <w:r w:rsidRPr="00E40681">
              <w:t xml:space="preserve">For NJHMFA financing only, a preliminary approval letter </w:t>
            </w:r>
            <w:r>
              <w:t>is</w:t>
            </w:r>
            <w:r w:rsidRPr="00E40681">
              <w:t xml:space="preserve"> acceptable at the time of application</w:t>
            </w:r>
            <w:r>
              <w:t>.</w:t>
            </w:r>
          </w:p>
          <w:p w14:paraId="185F30E1" w14:textId="12F868C5" w:rsidR="000C3D2E" w:rsidRDefault="00E40681" w:rsidP="009647BF">
            <w:pPr>
              <w:pStyle w:val="ListParagraph"/>
              <w:numPr>
                <w:ilvl w:val="0"/>
                <w:numId w:val="12"/>
              </w:numPr>
              <w:ind w:left="331"/>
            </w:pPr>
            <w:r>
              <w:t>The</w:t>
            </w:r>
            <w:r w:rsidRPr="00E40681">
              <w:t xml:space="preserve"> letter </w:t>
            </w:r>
            <w:r>
              <w:t>must</w:t>
            </w:r>
            <w:r w:rsidRPr="00E40681">
              <w:t xml:space="preserve"> verify that the project development budget included as part of the application for financing has been reviewed and </w:t>
            </w:r>
            <w:r>
              <w:t xml:space="preserve">that </w:t>
            </w:r>
            <w:r w:rsidRPr="00E40681">
              <w:t xml:space="preserve">the underwriting parameters conform with current NJHMFA Multifamily Underwriting Guidelines and Financing Policy, available at </w:t>
            </w:r>
            <w:hyperlink r:id="rId13" w:history="1">
              <w:r w:rsidRPr="00850110">
                <w:rPr>
                  <w:rStyle w:val="Hyperlink"/>
                </w:rPr>
                <w:t>https://nj.gov/dca/hmfa/developers/multifamily</w:t>
              </w:r>
            </w:hyperlink>
            <w:r w:rsidRPr="00E40681">
              <w:t>.</w:t>
            </w:r>
          </w:p>
        </w:tc>
      </w:tr>
    </w:tbl>
    <w:p w14:paraId="7E6F07A4" w14:textId="0C748E79" w:rsidR="001F06E4" w:rsidRDefault="001F06E4" w:rsidP="0053459B"/>
    <w:p w14:paraId="6E8A6F67" w14:textId="77777777" w:rsidR="001F06E4" w:rsidRDefault="001F06E4">
      <w:r>
        <w:br w:type="page"/>
      </w:r>
    </w:p>
    <w:p w14:paraId="4F550910" w14:textId="157BE2F6" w:rsidR="00B22112" w:rsidRDefault="00B22112" w:rsidP="00B22112">
      <w:pPr>
        <w:pStyle w:val="Heading2"/>
      </w:pPr>
      <w:bookmarkStart w:id="10" w:name="_Toc230012658"/>
      <w:r>
        <w:lastRenderedPageBreak/>
        <w:t>Financial Feasibility</w:t>
      </w:r>
      <w:bookmarkEnd w:id="10"/>
    </w:p>
    <w:p w14:paraId="3A79BE3F" w14:textId="77777777" w:rsidR="00755E44" w:rsidRDefault="00F11364" w:rsidP="0053459B">
      <w:r>
        <w:t>You must demonstrate project feasibility at a median household income percentage at or below the set-aside selected.</w:t>
      </w:r>
    </w:p>
    <w:p w14:paraId="4163DCD7" w14:textId="4E1121A1" w:rsidR="00F11364" w:rsidRPr="00755E44" w:rsidRDefault="00755E44" w:rsidP="0053459B">
      <w:pPr>
        <w:rPr>
          <w:b/>
          <w:bCs/>
        </w:rPr>
      </w:pPr>
      <w:r w:rsidRPr="00755E44">
        <w:rPr>
          <w:b/>
          <w:bCs/>
        </w:rPr>
        <w:t>P</w:t>
      </w:r>
      <w:r w:rsidR="00F11364" w:rsidRPr="00755E44">
        <w:rPr>
          <w:b/>
          <w:bCs/>
        </w:rPr>
        <w:t>rojects seeking 9% LIHTC may not elect the Average Income federal set-aside at application.</w:t>
      </w:r>
    </w:p>
    <w:p w14:paraId="01BDDFA9" w14:textId="39D9D546" w:rsidR="00966B2F" w:rsidRDefault="00966B2F" w:rsidP="0053459B">
      <w:r>
        <w:t>NJHMFA will use the following underwriting guidelines as benchmarks in evaluating your project. You must insert an explanation if your project falls below or exceeds these guidelines. Additionally, underwriting assumptions must comport with the market study. Projects with operating budgets greatly below or exceeding NJHMFA’s operating cost database standards may be subject to adjustment.</w:t>
      </w:r>
    </w:p>
    <w:tbl>
      <w:tblPr>
        <w:tblStyle w:val="TableGrid"/>
        <w:tblW w:w="10800" w:type="dxa"/>
        <w:tblLook w:val="04A0" w:firstRow="1" w:lastRow="0" w:firstColumn="1" w:lastColumn="0" w:noHBand="0" w:noVBand="1"/>
      </w:tblPr>
      <w:tblGrid>
        <w:gridCol w:w="3600"/>
        <w:gridCol w:w="7200"/>
      </w:tblGrid>
      <w:tr w:rsidR="00966B2F" w14:paraId="2F0C6ED1" w14:textId="77777777" w:rsidTr="00966B2F">
        <w:tc>
          <w:tcPr>
            <w:tcW w:w="3600" w:type="dxa"/>
          </w:tcPr>
          <w:p w14:paraId="02762A69" w14:textId="76D3D2CF" w:rsidR="00966B2F" w:rsidRPr="00966B2F" w:rsidRDefault="00966B2F" w:rsidP="00966B2F">
            <w:pPr>
              <w:jc w:val="center"/>
              <w:rPr>
                <w:b/>
                <w:bCs/>
              </w:rPr>
            </w:pPr>
            <w:r w:rsidRPr="00966B2F">
              <w:rPr>
                <w:b/>
                <w:bCs/>
              </w:rPr>
              <w:t>Factor</w:t>
            </w:r>
          </w:p>
        </w:tc>
        <w:tc>
          <w:tcPr>
            <w:tcW w:w="7200" w:type="dxa"/>
          </w:tcPr>
          <w:p w14:paraId="0A45B3B9" w14:textId="3B25E099" w:rsidR="00966B2F" w:rsidRPr="00966B2F" w:rsidRDefault="00966B2F" w:rsidP="00966B2F">
            <w:pPr>
              <w:jc w:val="center"/>
              <w:rPr>
                <w:b/>
                <w:bCs/>
              </w:rPr>
            </w:pPr>
            <w:r w:rsidRPr="00966B2F">
              <w:rPr>
                <w:b/>
                <w:bCs/>
              </w:rPr>
              <w:t>Underwriting Guideline</w:t>
            </w:r>
          </w:p>
        </w:tc>
      </w:tr>
      <w:tr w:rsidR="00966B2F" w14:paraId="63516404" w14:textId="77777777" w:rsidTr="00966B2F">
        <w:tc>
          <w:tcPr>
            <w:tcW w:w="3600" w:type="dxa"/>
          </w:tcPr>
          <w:p w14:paraId="0B0411A6" w14:textId="0BF1DBFE" w:rsidR="00966B2F" w:rsidRDefault="00966B2F" w:rsidP="0053459B">
            <w:r>
              <w:t>Rent Affordability</w:t>
            </w:r>
          </w:p>
        </w:tc>
        <w:tc>
          <w:tcPr>
            <w:tcW w:w="7200" w:type="dxa"/>
          </w:tcPr>
          <w:p w14:paraId="3625CDB5" w14:textId="04F0CB73" w:rsidR="00966B2F" w:rsidRDefault="00966B2F" w:rsidP="0053459B">
            <w:r>
              <w:t>Demonstrate feasibility at a household median income percentage that is at least 2.5% below the selected income designation (e.g., if selecting 50% AMI, must underwrite at 47.5%). Units underwritten at 20% and 30% AMI are excluded from this requirement.</w:t>
            </w:r>
          </w:p>
        </w:tc>
      </w:tr>
      <w:tr w:rsidR="00966B2F" w14:paraId="713B7E13" w14:textId="77777777" w:rsidTr="00966B2F">
        <w:tc>
          <w:tcPr>
            <w:tcW w:w="3600" w:type="dxa"/>
          </w:tcPr>
          <w:p w14:paraId="4476EC15" w14:textId="0C7F1643" w:rsidR="00966B2F" w:rsidRDefault="00966B2F" w:rsidP="0053459B">
            <w:r>
              <w:t>Debt Coverage Ratio (DCR)</w:t>
            </w:r>
          </w:p>
        </w:tc>
        <w:tc>
          <w:tcPr>
            <w:tcW w:w="7200" w:type="dxa"/>
          </w:tcPr>
          <w:p w14:paraId="5635DE53" w14:textId="252AAE20" w:rsidR="00F01DD3" w:rsidRDefault="00966B2F" w:rsidP="009647BF">
            <w:pPr>
              <w:pStyle w:val="ListParagraph"/>
              <w:numPr>
                <w:ilvl w:val="0"/>
                <w:numId w:val="15"/>
              </w:numPr>
            </w:pPr>
            <w:r>
              <w:t>1.15–1.20 DCR</w:t>
            </w:r>
            <w:r w:rsidR="00F01DD3">
              <w:t xml:space="preserve"> (most projects)</w:t>
            </w:r>
          </w:p>
          <w:p w14:paraId="214BBA6C" w14:textId="369904C3" w:rsidR="00966B2F" w:rsidRDefault="00F01DD3" w:rsidP="009647BF">
            <w:pPr>
              <w:pStyle w:val="ListParagraph"/>
              <w:numPr>
                <w:ilvl w:val="0"/>
                <w:numId w:val="15"/>
              </w:numPr>
            </w:pPr>
            <w:r>
              <w:t>At least 1.20 DCR</w:t>
            </w:r>
            <w:r w:rsidR="00966B2F">
              <w:t xml:space="preserve"> (Supportive Housing</w:t>
            </w:r>
            <w:r>
              <w:t xml:space="preserve"> projects)</w:t>
            </w:r>
          </w:p>
        </w:tc>
      </w:tr>
      <w:tr w:rsidR="00966B2F" w14:paraId="55CCBC5F" w14:textId="77777777" w:rsidTr="00966B2F">
        <w:tc>
          <w:tcPr>
            <w:tcW w:w="3600" w:type="dxa"/>
          </w:tcPr>
          <w:p w14:paraId="12608BA0" w14:textId="6C403E1A" w:rsidR="00966B2F" w:rsidRDefault="00966B2F" w:rsidP="0053459B">
            <w:r>
              <w:t>Replacement Reserves</w:t>
            </w:r>
          </w:p>
        </w:tc>
        <w:tc>
          <w:tcPr>
            <w:tcW w:w="7200" w:type="dxa"/>
          </w:tcPr>
          <w:p w14:paraId="1CD9422F" w14:textId="72FD9E3D" w:rsidR="00966B2F" w:rsidRDefault="00F01DD3" w:rsidP="0053459B">
            <w:r>
              <w:t xml:space="preserve">From </w:t>
            </w:r>
            <w:r w:rsidR="00E43DB6">
              <w:t>$300 per unit (for projects such as Senior New Construction) up to $400 per unit (for projects such as Family Rehab). The 15-Year Pro Forma should show replacement reserves rising at the same annual rate as other operating expenses.</w:t>
            </w:r>
          </w:p>
        </w:tc>
      </w:tr>
      <w:tr w:rsidR="00966B2F" w14:paraId="53C5F8B2" w14:textId="77777777" w:rsidTr="00966B2F">
        <w:tc>
          <w:tcPr>
            <w:tcW w:w="3600" w:type="dxa"/>
          </w:tcPr>
          <w:p w14:paraId="2A63644D" w14:textId="7C2DEA52" w:rsidR="00966B2F" w:rsidRDefault="00966B2F" w:rsidP="0053459B">
            <w:r>
              <w:t>Income/Expense Annual Trends</w:t>
            </w:r>
          </w:p>
        </w:tc>
        <w:tc>
          <w:tcPr>
            <w:tcW w:w="7200" w:type="dxa"/>
          </w:tcPr>
          <w:p w14:paraId="3AF95F0C" w14:textId="77777777" w:rsidR="00763A54" w:rsidRDefault="00E43DB6" w:rsidP="00763A54">
            <w:r>
              <w:t xml:space="preserve">15-Year Pro Forma must, at a minimum, show annual </w:t>
            </w:r>
            <w:r w:rsidR="00763A54">
              <w:t xml:space="preserve">increase </w:t>
            </w:r>
            <w:r>
              <w:t>trend</w:t>
            </w:r>
            <w:r w:rsidR="00763A54">
              <w:t>s</w:t>
            </w:r>
            <w:r>
              <w:t xml:space="preserve"> o</w:t>
            </w:r>
            <w:r w:rsidR="00763A54">
              <w:t>f:</w:t>
            </w:r>
          </w:p>
          <w:p w14:paraId="6EC5EE50" w14:textId="77777777" w:rsidR="00966B2F" w:rsidRDefault="00763A54" w:rsidP="009647BF">
            <w:pPr>
              <w:pStyle w:val="ListParagraph"/>
              <w:numPr>
                <w:ilvl w:val="0"/>
                <w:numId w:val="16"/>
              </w:numPr>
            </w:pPr>
            <w:r>
              <w:t>2% (</w:t>
            </w:r>
            <w:r w:rsidR="00E43DB6">
              <w:t>income</w:t>
            </w:r>
            <w:r>
              <w:t>)</w:t>
            </w:r>
          </w:p>
          <w:p w14:paraId="420BA501" w14:textId="7075F055" w:rsidR="00763A54" w:rsidRDefault="00763A54" w:rsidP="009647BF">
            <w:pPr>
              <w:pStyle w:val="ListParagraph"/>
              <w:numPr>
                <w:ilvl w:val="0"/>
                <w:numId w:val="16"/>
              </w:numPr>
            </w:pPr>
            <w:r>
              <w:t>3% (expenses)</w:t>
            </w:r>
          </w:p>
        </w:tc>
      </w:tr>
      <w:tr w:rsidR="00966B2F" w14:paraId="2526E5F8" w14:textId="77777777" w:rsidTr="00966B2F">
        <w:tc>
          <w:tcPr>
            <w:tcW w:w="3600" w:type="dxa"/>
          </w:tcPr>
          <w:p w14:paraId="6CE29CA1" w14:textId="71D23140" w:rsidR="00966B2F" w:rsidRDefault="00966B2F" w:rsidP="0053459B">
            <w:r>
              <w:t>Vacancy Rate</w:t>
            </w:r>
          </w:p>
        </w:tc>
        <w:tc>
          <w:tcPr>
            <w:tcW w:w="7200" w:type="dxa"/>
          </w:tcPr>
          <w:p w14:paraId="1B6A7EFF" w14:textId="37244BB7" w:rsidR="00E43DB6" w:rsidRDefault="00E43DB6" w:rsidP="009647BF">
            <w:pPr>
              <w:pStyle w:val="ListParagraph"/>
              <w:numPr>
                <w:ilvl w:val="0"/>
                <w:numId w:val="14"/>
              </w:numPr>
            </w:pPr>
            <w:r>
              <w:t>7% (LIHTC units and “Other” income)</w:t>
            </w:r>
          </w:p>
          <w:p w14:paraId="1882E0B5" w14:textId="77777777" w:rsidR="00E43DB6" w:rsidRDefault="00E43DB6" w:rsidP="009647BF">
            <w:pPr>
              <w:pStyle w:val="ListParagraph"/>
              <w:numPr>
                <w:ilvl w:val="0"/>
                <w:numId w:val="14"/>
              </w:numPr>
            </w:pPr>
            <w:r>
              <w:t>At least 10% (market-rate units in a mixed-income project)</w:t>
            </w:r>
          </w:p>
          <w:p w14:paraId="4C9FAFC5" w14:textId="58E3C909" w:rsidR="00F03716" w:rsidRDefault="00F03716" w:rsidP="009647BF">
            <w:pPr>
              <w:pStyle w:val="ListParagraph"/>
              <w:numPr>
                <w:ilvl w:val="0"/>
                <w:numId w:val="14"/>
              </w:numPr>
            </w:pPr>
            <w:r>
              <w:t>50% (</w:t>
            </w:r>
            <w:r w:rsidR="00F90EA9">
              <w:t>commercial space without an executed lease)</w:t>
            </w:r>
          </w:p>
        </w:tc>
      </w:tr>
    </w:tbl>
    <w:p w14:paraId="11665085" w14:textId="77777777" w:rsidR="00966B2F" w:rsidRDefault="00966B2F" w:rsidP="0053459B"/>
    <w:p w14:paraId="029360FE" w14:textId="28D24047" w:rsidR="00F11364" w:rsidRDefault="00F11364" w:rsidP="0053459B">
      <w:r>
        <w:t>Include the following documentation in this section:</w:t>
      </w:r>
    </w:p>
    <w:p w14:paraId="486A0752" w14:textId="750104FC" w:rsidR="00F11364" w:rsidRDefault="00F11364" w:rsidP="009647BF">
      <w:pPr>
        <w:pStyle w:val="ListParagraph"/>
        <w:numPr>
          <w:ilvl w:val="0"/>
          <w:numId w:val="13"/>
        </w:numPr>
      </w:pPr>
      <w:r>
        <w:t>Rent Qualification Chart (</w:t>
      </w:r>
      <w:r w:rsidR="00D36018">
        <w:t>in</w:t>
      </w:r>
      <w:r>
        <w:t xml:space="preserve"> Part IV)</w:t>
      </w:r>
    </w:p>
    <w:p w14:paraId="778C0CB0" w14:textId="3106084E" w:rsidR="00F11364" w:rsidRDefault="00F11364" w:rsidP="009647BF">
      <w:pPr>
        <w:pStyle w:val="ListParagraph"/>
        <w:numPr>
          <w:ilvl w:val="0"/>
          <w:numId w:val="13"/>
        </w:numPr>
      </w:pPr>
      <w:r>
        <w:t>One Form of Evidence for the Utility Allowance Calculations:</w:t>
      </w:r>
    </w:p>
    <w:p w14:paraId="013D989A" w14:textId="37DDBC2F" w:rsidR="00F11364" w:rsidRDefault="00F11364" w:rsidP="009647BF">
      <w:pPr>
        <w:pStyle w:val="ListParagraph"/>
        <w:numPr>
          <w:ilvl w:val="1"/>
          <w:numId w:val="13"/>
        </w:numPr>
      </w:pPr>
      <w:r>
        <w:t>DCA Utility Allowance Chart;</w:t>
      </w:r>
    </w:p>
    <w:p w14:paraId="6ED67142" w14:textId="50893BB4" w:rsidR="00F11364" w:rsidRDefault="00F11364" w:rsidP="009647BF">
      <w:pPr>
        <w:pStyle w:val="ListParagraph"/>
        <w:numPr>
          <w:ilvl w:val="1"/>
          <w:numId w:val="13"/>
        </w:numPr>
      </w:pPr>
      <w:r>
        <w:t>Utility Company Estimates;</w:t>
      </w:r>
    </w:p>
    <w:p w14:paraId="256C52CA" w14:textId="4FBC88DF" w:rsidR="00F11364" w:rsidRDefault="00F11364" w:rsidP="009647BF">
      <w:pPr>
        <w:pStyle w:val="ListParagraph"/>
        <w:numPr>
          <w:ilvl w:val="1"/>
          <w:numId w:val="13"/>
        </w:numPr>
      </w:pPr>
      <w:r>
        <w:t>HUD Utility Schedule Model; or</w:t>
      </w:r>
    </w:p>
    <w:p w14:paraId="77E75E8E" w14:textId="55F7CA8B" w:rsidR="00F11364" w:rsidRDefault="00F11364" w:rsidP="009647BF">
      <w:pPr>
        <w:pStyle w:val="ListParagraph"/>
        <w:numPr>
          <w:ilvl w:val="1"/>
          <w:numId w:val="13"/>
        </w:numPr>
      </w:pPr>
      <w:r>
        <w:t>Energy Consumption Model</w:t>
      </w:r>
    </w:p>
    <w:p w14:paraId="4DCD0E5A" w14:textId="3530AA1E" w:rsidR="00F11364" w:rsidRDefault="00F11364" w:rsidP="009647BF">
      <w:pPr>
        <w:pStyle w:val="ListParagraph"/>
        <w:numPr>
          <w:ilvl w:val="0"/>
          <w:numId w:val="13"/>
        </w:numPr>
      </w:pPr>
      <w:r>
        <w:t>Income Schedule (</w:t>
      </w:r>
      <w:r w:rsidR="00D36018">
        <w:t>in</w:t>
      </w:r>
      <w:r>
        <w:t xml:space="preserve"> Part IV)</w:t>
      </w:r>
    </w:p>
    <w:p w14:paraId="6A8E9849" w14:textId="6F182E72" w:rsidR="00F11364" w:rsidRDefault="00F11364" w:rsidP="009647BF">
      <w:pPr>
        <w:pStyle w:val="ListParagraph"/>
        <w:numPr>
          <w:ilvl w:val="0"/>
          <w:numId w:val="13"/>
        </w:numPr>
      </w:pPr>
      <w:r>
        <w:t>Expense Schedule (</w:t>
      </w:r>
      <w:r w:rsidR="00D36018">
        <w:t>in</w:t>
      </w:r>
      <w:r>
        <w:t xml:space="preserve"> Part IV)</w:t>
      </w:r>
    </w:p>
    <w:p w14:paraId="38D30634" w14:textId="58FAEF45" w:rsidR="00F11364" w:rsidRDefault="00F11364" w:rsidP="009647BF">
      <w:pPr>
        <w:pStyle w:val="ListParagraph"/>
        <w:numPr>
          <w:ilvl w:val="0"/>
          <w:numId w:val="13"/>
        </w:numPr>
      </w:pPr>
      <w:r>
        <w:t>15-Year Operating Pro Forma (</w:t>
      </w:r>
      <w:r w:rsidR="009179A3">
        <w:t>in</w:t>
      </w:r>
      <w:r>
        <w:t xml:space="preserve"> Part IV)</w:t>
      </w:r>
      <w:r w:rsidR="00966B2F">
        <w:t>,</w:t>
      </w:r>
      <w:r w:rsidR="00320557">
        <w:t xml:space="preserve"> which must</w:t>
      </w:r>
      <w:r>
        <w:t>:</w:t>
      </w:r>
    </w:p>
    <w:p w14:paraId="7BEFC176" w14:textId="0CE4AE63" w:rsidR="00F11364" w:rsidRDefault="00966B2F" w:rsidP="009647BF">
      <w:pPr>
        <w:pStyle w:val="ListParagraph"/>
        <w:numPr>
          <w:ilvl w:val="1"/>
          <w:numId w:val="13"/>
        </w:numPr>
      </w:pPr>
      <w:r>
        <w:t>Be signed by the first mortgage lender (or syndicator/investor if there is no hard debt), e</w:t>
      </w:r>
      <w:r w:rsidR="00320557">
        <w:t>xclusively reflect</w:t>
      </w:r>
      <w:r>
        <w:t>ing</w:t>
      </w:r>
      <w:r w:rsidR="00320557">
        <w:t xml:space="preserve"> the following language verbatim: </w:t>
      </w:r>
      <w:r w:rsidR="00320557" w:rsidRPr="00320557">
        <w:rPr>
          <w:i/>
          <w:iCs/>
        </w:rPr>
        <w:t>“We acknowledge that this pro forma substantially matches the assumptions used in our underwriting of the mortgage (equity investment).”</w:t>
      </w:r>
    </w:p>
    <w:p w14:paraId="74D01243" w14:textId="4103F966" w:rsidR="00320557" w:rsidRDefault="00320557" w:rsidP="009647BF">
      <w:pPr>
        <w:pStyle w:val="ListParagraph"/>
        <w:numPr>
          <w:ilvl w:val="1"/>
          <w:numId w:val="13"/>
        </w:numPr>
      </w:pPr>
      <w:r>
        <w:t>P</w:t>
      </w:r>
      <w:r w:rsidRPr="00320557">
        <w:t>recisely reflect the rent structure in the tax credit application, all lender</w:t>
      </w:r>
      <w:r w:rsidR="00DA0140">
        <w:t>/</w:t>
      </w:r>
      <w:r w:rsidRPr="00320557">
        <w:t>investor assumptions (</w:t>
      </w:r>
      <w:r w:rsidR="00DA0140">
        <w:t>i.e.,</w:t>
      </w:r>
      <w:r w:rsidRPr="00320557">
        <w:t xml:space="preserve"> principal and interest payments, non-rental income, operating expenses, required reserves, annual fees, etc.)</w:t>
      </w:r>
      <w:r w:rsidR="00DA0140">
        <w:t>, and</w:t>
      </w:r>
      <w:r w:rsidRPr="00320557">
        <w:t xml:space="preserve"> the other characteristics of the application that impact financial feasibility (e.g.</w:t>
      </w:r>
      <w:r w:rsidR="00DA0140">
        <w:t>,</w:t>
      </w:r>
      <w:r w:rsidRPr="00320557">
        <w:t xml:space="preserve"> cost of social services).</w:t>
      </w:r>
    </w:p>
    <w:p w14:paraId="60422213" w14:textId="126F2FE9" w:rsidR="00DA0140" w:rsidRDefault="00DA0140" w:rsidP="009647BF">
      <w:pPr>
        <w:pStyle w:val="ListParagraph"/>
        <w:numPr>
          <w:ilvl w:val="1"/>
          <w:numId w:val="13"/>
        </w:numPr>
      </w:pPr>
      <w:r>
        <w:lastRenderedPageBreak/>
        <w:t xml:space="preserve">Provide for adequate on-site </w:t>
      </w:r>
      <w:r w:rsidRPr="00DA0140">
        <w:t>superintendent, maintenance, security</w:t>
      </w:r>
      <w:r>
        <w:t>,</w:t>
      </w:r>
      <w:r w:rsidRPr="00DA0140">
        <w:t xml:space="preserve"> and </w:t>
      </w:r>
      <w:r>
        <w:t xml:space="preserve">(if applicable) </w:t>
      </w:r>
      <w:r w:rsidRPr="00DA0140">
        <w:t>social service staff</w:t>
      </w:r>
      <w:r>
        <w:t xml:space="preserve"> in the project budget. </w:t>
      </w:r>
      <w:r w:rsidR="00947FE1">
        <w:t>You must</w:t>
      </w:r>
      <w:r>
        <w:t xml:space="preserve"> demonstrate that on-site staffing levels are adequate to the size of the project. If the project will not have an on-site superintendent, you must provide an explanation.</w:t>
      </w:r>
    </w:p>
    <w:p w14:paraId="16C36777" w14:textId="3345AD4A" w:rsidR="00DA0140" w:rsidRDefault="00947FE1" w:rsidP="009647BF">
      <w:pPr>
        <w:pStyle w:val="ListParagraph"/>
        <w:numPr>
          <w:ilvl w:val="1"/>
          <w:numId w:val="13"/>
        </w:numPr>
      </w:pPr>
      <w:r>
        <w:t>Show stabilized operations for Year 1. If the pro forma shows negative cash flow in any year, you must demonstrate the funding and utilization of an Operating Deficit Escrow Account (ODEA). Assumptions regarding interest on the ODEA must be reasonable.</w:t>
      </w:r>
    </w:p>
    <w:p w14:paraId="43EBC6C5" w14:textId="7E7D60F8" w:rsidR="00947FE1" w:rsidRDefault="00947FE1" w:rsidP="009647BF">
      <w:pPr>
        <w:pStyle w:val="ListParagraph"/>
        <w:numPr>
          <w:ilvl w:val="1"/>
          <w:numId w:val="13"/>
        </w:numPr>
      </w:pPr>
      <w:r>
        <w:t xml:space="preserve">Reflect rental assistance only if such rental assistance is project-based and evidenced by the submission requirements described </w:t>
      </w:r>
      <w:r w:rsidR="00E1347A">
        <w:t>at</w:t>
      </w:r>
      <w:r>
        <w:t xml:space="preserve"> Section 13 below.</w:t>
      </w:r>
      <w:r w:rsidR="00E1347A">
        <w:t xml:space="preserve"> The rental assistance subsidy may be included for only the initial contractual term; i.e., renewal of project-based rental assistance cannot be assumed. Upon the expiration of project-based rental assistance, supportive housing units must be underwritten at rents no more than 20% of AMI adjusted for family size. Non-supportive housing units must be underwritten at rents that are appropriate for market conditions (supported by the market study required at Section 1 above), but no greater than 50% of AMI adjusted for family size.</w:t>
      </w:r>
    </w:p>
    <w:p w14:paraId="6DB8A48B" w14:textId="3C06068B" w:rsidR="00E1347A" w:rsidRDefault="00E1347A" w:rsidP="009647BF">
      <w:pPr>
        <w:pStyle w:val="ListParagraph"/>
        <w:numPr>
          <w:ilvl w:val="1"/>
          <w:numId w:val="13"/>
        </w:numPr>
      </w:pPr>
      <w:r>
        <w:t>For Year 1, r</w:t>
      </w:r>
      <w:r w:rsidRPr="00E1347A">
        <w:t xml:space="preserve">eflect core operating expenses (administration, salaries, maintenance and repairs, maintenance contracts and insurance) between $3,000 and $4,000 per unit. If core operating expenses are less than $3,000 or more than $4,000 per unit, submit </w:t>
      </w:r>
      <w:r>
        <w:t xml:space="preserve">an </w:t>
      </w:r>
      <w:r w:rsidRPr="00E1347A">
        <w:t>explanation supported by audited financial statements as to why the per</w:t>
      </w:r>
      <w:r>
        <w:t>-</w:t>
      </w:r>
      <w:r w:rsidRPr="00E1347A">
        <w:t>unit operating expenses fall outside this recommended range</w:t>
      </w:r>
      <w:r>
        <w:t>; however, no family project may have core operating expenses below $3,000 per unit and no senior project may have core operating expenses above $4,000 per unit. Other operating expenses (i.e., non-core) will be evaluated for reasonableness given the characteristics of the project.</w:t>
      </w:r>
    </w:p>
    <w:p w14:paraId="043E5650" w14:textId="586A9F2B" w:rsidR="00E1347A" w:rsidRDefault="003D7F6D" w:rsidP="009647BF">
      <w:pPr>
        <w:pStyle w:val="ListParagraph"/>
        <w:numPr>
          <w:ilvl w:val="1"/>
          <w:numId w:val="13"/>
        </w:numPr>
      </w:pPr>
      <w:r>
        <w:t xml:space="preserve">For projects relying on commercial income </w:t>
      </w:r>
      <w:r w:rsidR="00FB3007">
        <w:t xml:space="preserve">to demonstrate financial feasibility, be evidenced by an executed lease with a minimum term of 5 years. </w:t>
      </w:r>
      <w:r w:rsidR="00966B2F" w:rsidRPr="00966B2F">
        <w:t xml:space="preserve">Should the term of the executed lease end prior to the end of the compliance period, NJHMFA shall </w:t>
      </w:r>
      <w:r w:rsidR="00966B2F">
        <w:t>assume</w:t>
      </w:r>
      <w:r w:rsidR="00966B2F" w:rsidRPr="00966B2F">
        <w:t xml:space="preserve"> a vacancy rate of 50 percent for the years not covered by the lease.</w:t>
      </w:r>
    </w:p>
    <w:p w14:paraId="478B1612" w14:textId="133C7095" w:rsidR="00F90EA9" w:rsidRDefault="00F90EA9" w:rsidP="009647BF">
      <w:pPr>
        <w:pStyle w:val="ListParagraph"/>
        <w:numPr>
          <w:ilvl w:val="0"/>
          <w:numId w:val="13"/>
        </w:numPr>
      </w:pPr>
      <w:r>
        <w:t>Evidence for the Operating Expenses Stated in the 15-Year Pro Forma, EITHER:</w:t>
      </w:r>
    </w:p>
    <w:p w14:paraId="09E23D42" w14:textId="1EFC2BA0" w:rsidR="008F7FDD" w:rsidRDefault="00F90EA9" w:rsidP="009647BF">
      <w:pPr>
        <w:pStyle w:val="ListParagraph"/>
        <w:numPr>
          <w:ilvl w:val="1"/>
          <w:numId w:val="13"/>
        </w:numPr>
      </w:pPr>
      <w:r>
        <w:t xml:space="preserve">TWO different forms of data supporting the operating expenses, </w:t>
      </w:r>
      <w:r w:rsidR="008F7FDD">
        <w:t>including, but not limited to:</w:t>
      </w:r>
    </w:p>
    <w:p w14:paraId="617B95FE" w14:textId="77777777" w:rsidR="008F7FDD" w:rsidRDefault="008F7FDD" w:rsidP="009647BF">
      <w:pPr>
        <w:pStyle w:val="ListParagraph"/>
        <w:numPr>
          <w:ilvl w:val="2"/>
          <w:numId w:val="13"/>
        </w:numPr>
      </w:pPr>
      <w:r>
        <w:t>D</w:t>
      </w:r>
      <w:r w:rsidR="00F90EA9">
        <w:t>atabase information</w:t>
      </w:r>
      <w:r>
        <w:t>;</w:t>
      </w:r>
    </w:p>
    <w:p w14:paraId="14B0F483" w14:textId="77777777" w:rsidR="008F7FDD" w:rsidRDefault="008F7FDD" w:rsidP="009647BF">
      <w:pPr>
        <w:pStyle w:val="ListParagraph"/>
        <w:numPr>
          <w:ilvl w:val="2"/>
          <w:numId w:val="13"/>
        </w:numPr>
      </w:pPr>
      <w:r>
        <w:t>A</w:t>
      </w:r>
      <w:r w:rsidR="00F90EA9" w:rsidRPr="00F90EA9">
        <w:t>udited financial statements for comparable projects that have maintained stabilized operations for at least 2 years</w:t>
      </w:r>
      <w:r>
        <w:t>;</w:t>
      </w:r>
    </w:p>
    <w:p w14:paraId="2F52CB3A" w14:textId="3D35188B" w:rsidR="008F7FDD" w:rsidRDefault="008F7FDD" w:rsidP="009647BF">
      <w:pPr>
        <w:pStyle w:val="ListParagraph"/>
        <w:numPr>
          <w:ilvl w:val="2"/>
          <w:numId w:val="13"/>
        </w:numPr>
      </w:pPr>
      <w:r>
        <w:t>Institute of Real Estate Management (</w:t>
      </w:r>
      <w:r w:rsidR="00F90EA9" w:rsidRPr="00F90EA9">
        <w:t>IREM</w:t>
      </w:r>
      <w:r>
        <w:t>)</w:t>
      </w:r>
      <w:r w:rsidR="00F90EA9" w:rsidRPr="00F90EA9">
        <w:t xml:space="preserve"> statistics</w:t>
      </w:r>
      <w:r>
        <w:t>; and</w:t>
      </w:r>
    </w:p>
    <w:p w14:paraId="089EC360" w14:textId="77777777" w:rsidR="008F7FDD" w:rsidRDefault="008F7FDD" w:rsidP="009647BF">
      <w:pPr>
        <w:pStyle w:val="ListParagraph"/>
        <w:numPr>
          <w:ilvl w:val="2"/>
          <w:numId w:val="13"/>
        </w:numPr>
      </w:pPr>
      <w:r>
        <w:t>P</w:t>
      </w:r>
      <w:r w:rsidR="00F90EA9" w:rsidRPr="00F90EA9">
        <w:t>ortfolio operating date from a syndicator/investor</w:t>
      </w:r>
      <w:r>
        <w:t>;</w:t>
      </w:r>
    </w:p>
    <w:p w14:paraId="757E2AC9" w14:textId="2BAF8C1B" w:rsidR="00F90EA9" w:rsidRPr="008F7FDD" w:rsidRDefault="00F90EA9" w:rsidP="008F7FDD">
      <w:pPr>
        <w:ind w:left="360"/>
        <w:rPr>
          <w:b/>
          <w:bCs/>
        </w:rPr>
      </w:pPr>
      <w:r w:rsidRPr="008F7FDD">
        <w:rPr>
          <w:b/>
          <w:bCs/>
        </w:rPr>
        <w:t>OR</w:t>
      </w:r>
    </w:p>
    <w:p w14:paraId="7E3DD5F2" w14:textId="35AE063B" w:rsidR="00F90EA9" w:rsidRDefault="00F90EA9" w:rsidP="009647BF">
      <w:pPr>
        <w:pStyle w:val="ListParagraph"/>
        <w:numPr>
          <w:ilvl w:val="1"/>
          <w:numId w:val="13"/>
        </w:numPr>
      </w:pPr>
      <w:r>
        <w:t>A current NJHMFA Form 10 signed by the Division of Asset Management.</w:t>
      </w:r>
    </w:p>
    <w:p w14:paraId="546BE6E5" w14:textId="38D57A9F" w:rsidR="007A6842" w:rsidRDefault="005328BE" w:rsidP="007A6842">
      <w:r>
        <w:t>NOTE:</w:t>
      </w:r>
      <w:r w:rsidR="007A6842">
        <w:t xml:space="preserve"> NJHMFA reserves the right to require a residual value analysis (conducted by the partnership’s accountant) of any project with significant soft debt, at any time during the application and/or allocation process.</w:t>
      </w:r>
    </w:p>
    <w:p w14:paraId="7DCCD55F" w14:textId="70CDFD5A" w:rsidR="005328BE" w:rsidRDefault="005328BE" w:rsidP="007A6842">
      <w:r>
        <w:t>If the project contains market-rate units, the applicant must certify the following:</w:t>
      </w:r>
    </w:p>
    <w:p w14:paraId="7C738B4C" w14:textId="5E7473FA" w:rsidR="007A6842" w:rsidRDefault="005328BE" w:rsidP="00FF77F0">
      <w:pPr>
        <w:ind w:left="720" w:hanging="720"/>
      </w:pPr>
      <w:r>
        <w:fldChar w:fldCharType="begin">
          <w:ffData>
            <w:name w:val="Check36"/>
            <w:enabled/>
            <w:calcOnExit w:val="0"/>
            <w:checkBox>
              <w:sizeAuto/>
              <w:default w:val="0"/>
            </w:checkBox>
          </w:ffData>
        </w:fldChar>
      </w:r>
      <w:bookmarkStart w:id="11" w:name="Check36"/>
      <w:r>
        <w:instrText xml:space="preserve"> FORMCHECKBOX </w:instrText>
      </w:r>
      <w:r w:rsidR="00FB3676">
        <w:fldChar w:fldCharType="separate"/>
      </w:r>
      <w:r>
        <w:fldChar w:fldCharType="end"/>
      </w:r>
      <w:bookmarkEnd w:id="11"/>
      <w:r>
        <w:tab/>
        <w:t>By checking this box, the applicant certifies that</w:t>
      </w:r>
      <w:r w:rsidR="007A6842">
        <w:t xml:space="preserve"> the low- and moderate-income units </w:t>
      </w:r>
      <w:r>
        <w:t xml:space="preserve">will be distributed </w:t>
      </w:r>
      <w:r w:rsidR="007A6842">
        <w:t>among the different-sized units to reflect the same percentage distribution as the number of different-sized units bears to the total number of units</w:t>
      </w:r>
      <w:r>
        <w:t>, though</w:t>
      </w:r>
      <w:r w:rsidR="007A6842">
        <w:t xml:space="preserve"> </w:t>
      </w:r>
      <w:r>
        <w:t>a</w:t>
      </w:r>
      <w:r w:rsidR="007A6842">
        <w:t xml:space="preserve"> greater percentage of the low- and moderate-income units may be allocated to the larger units. </w:t>
      </w:r>
      <w:r>
        <w:t>L</w:t>
      </w:r>
      <w:r w:rsidR="007A6842">
        <w:t xml:space="preserve">ow- and moderate-income units </w:t>
      </w:r>
      <w:r>
        <w:t>wi</w:t>
      </w:r>
      <w:r w:rsidR="007A6842">
        <w:t>ll be distributed throughout the project such that the tenants of such units have equal access to, and enjoyment of, all common facilities of the project. (See N.J.A.C. 5:80-8.3.)</w:t>
      </w:r>
    </w:p>
    <w:p w14:paraId="59BB217A" w14:textId="0C42DF0C" w:rsidR="00A6114F" w:rsidRDefault="00A6114F">
      <w:r>
        <w:br w:type="page"/>
      </w:r>
    </w:p>
    <w:p w14:paraId="4956B605" w14:textId="02C484DE" w:rsidR="00B22112" w:rsidRDefault="00B22112" w:rsidP="00B22112">
      <w:pPr>
        <w:pStyle w:val="Heading2"/>
      </w:pPr>
      <w:bookmarkStart w:id="12" w:name="_Toc230012659"/>
      <w:r>
        <w:lastRenderedPageBreak/>
        <w:t>NJ Energy Star Homes Program &amp; Benchmarking</w:t>
      </w:r>
      <w:bookmarkEnd w:id="12"/>
    </w:p>
    <w:p w14:paraId="689F86E5" w14:textId="713C7F5B" w:rsidR="00A6114F" w:rsidRDefault="00A6114F" w:rsidP="0053459B">
      <w:r>
        <w:t>For the relevant forms, p</w:t>
      </w:r>
      <w:r w:rsidR="00597108">
        <w:t>lease see the 2026 Future Ready Design Guide</w:t>
      </w:r>
      <w:r>
        <w:t xml:space="preserve"> at: </w:t>
      </w:r>
      <w:hyperlink r:id="rId14" w:history="1">
        <w:r w:rsidRPr="000C5D46">
          <w:rPr>
            <w:rStyle w:val="Hyperlink"/>
          </w:rPr>
          <w:t>https://www.nj.gov/dca/hmfa/developers/lihtc/greenpoints/</w:t>
        </w:r>
      </w:hyperlink>
    </w:p>
    <w:p w14:paraId="0E2C1E9E" w14:textId="2B2FECE3" w:rsidR="0053459B" w:rsidRDefault="001511CA" w:rsidP="0053459B">
      <w:r>
        <w:t>Submit the following:</w:t>
      </w:r>
    </w:p>
    <w:p w14:paraId="2801EEAB" w14:textId="149708DA" w:rsidR="001511CA" w:rsidRDefault="001511CA" w:rsidP="009647BF">
      <w:pPr>
        <w:pStyle w:val="ListParagraph"/>
        <w:numPr>
          <w:ilvl w:val="0"/>
          <w:numId w:val="17"/>
        </w:numPr>
      </w:pPr>
      <w:r>
        <w:t>Signed contract between the applicant and a Home Energy Rating System (HERS) rater to achieve</w:t>
      </w:r>
      <w:r w:rsidRPr="001511CA">
        <w:t xml:space="preserve"> certification </w:t>
      </w:r>
      <w:r>
        <w:t>via one of:</w:t>
      </w:r>
    </w:p>
    <w:p w14:paraId="3BD997F1" w14:textId="19D8B9F3" w:rsidR="001511CA" w:rsidRDefault="001511CA" w:rsidP="009647BF">
      <w:pPr>
        <w:pStyle w:val="ListParagraph"/>
        <w:numPr>
          <w:ilvl w:val="1"/>
          <w:numId w:val="17"/>
        </w:numPr>
      </w:pPr>
      <w:r>
        <w:t>NJ Clean Energy Program (</w:t>
      </w:r>
      <w:r w:rsidRPr="001511CA">
        <w:t>NJCEP</w:t>
      </w:r>
      <w:r>
        <w:t>)</w:t>
      </w:r>
      <w:r w:rsidRPr="001511CA">
        <w:t xml:space="preserve"> ENERGY STAR </w:t>
      </w:r>
      <w:r>
        <w:t xml:space="preserve">Certified </w:t>
      </w:r>
      <w:r w:rsidRPr="001511CA">
        <w:t>Homes Program Version 3.1;</w:t>
      </w:r>
    </w:p>
    <w:p w14:paraId="731FA7D3" w14:textId="77777777" w:rsidR="001511CA" w:rsidRDefault="001511CA" w:rsidP="009647BF">
      <w:pPr>
        <w:pStyle w:val="ListParagraph"/>
        <w:numPr>
          <w:ilvl w:val="1"/>
          <w:numId w:val="17"/>
        </w:numPr>
      </w:pPr>
      <w:r w:rsidRPr="001511CA">
        <w:t>NJ Zero Energy Ready Homes</w:t>
      </w:r>
      <w:r>
        <w:t>;</w:t>
      </w:r>
    </w:p>
    <w:p w14:paraId="242D67D8" w14:textId="77777777" w:rsidR="001511CA" w:rsidRDefault="001511CA" w:rsidP="009647BF">
      <w:pPr>
        <w:pStyle w:val="ListParagraph"/>
        <w:numPr>
          <w:ilvl w:val="1"/>
          <w:numId w:val="17"/>
        </w:numPr>
      </w:pPr>
      <w:r w:rsidRPr="001511CA">
        <w:t>NJ Pay for Performance</w:t>
      </w:r>
      <w:r>
        <w:t>—</w:t>
      </w:r>
      <w:r w:rsidRPr="001511CA">
        <w:t>New Construction;</w:t>
      </w:r>
    </w:p>
    <w:p w14:paraId="1B62585D" w14:textId="71C16ADC" w:rsidR="001511CA" w:rsidRDefault="001511CA" w:rsidP="009647BF">
      <w:pPr>
        <w:pStyle w:val="ListParagraph"/>
        <w:numPr>
          <w:ilvl w:val="1"/>
          <w:numId w:val="17"/>
        </w:numPr>
      </w:pPr>
      <w:r w:rsidRPr="001511CA">
        <w:t>ENERGY STAR Multifamily New Construction Version 1.1</w:t>
      </w:r>
      <w:r>
        <w:t>; or</w:t>
      </w:r>
    </w:p>
    <w:p w14:paraId="77EA886E" w14:textId="3D688BF7" w:rsidR="001511CA" w:rsidRDefault="001511CA" w:rsidP="009647BF">
      <w:pPr>
        <w:pStyle w:val="ListParagraph"/>
        <w:numPr>
          <w:ilvl w:val="1"/>
          <w:numId w:val="17"/>
        </w:numPr>
      </w:pPr>
      <w:r w:rsidRPr="001511CA">
        <w:t>For NJHMFA Energy Star Alternative Requirements for rehabilitation projects, please contact the Technical Services Division.</w:t>
      </w:r>
    </w:p>
    <w:p w14:paraId="003C5BB9" w14:textId="367FA11C" w:rsidR="009C0B12" w:rsidRDefault="009C0B12" w:rsidP="009647BF">
      <w:pPr>
        <w:pStyle w:val="ListParagraph"/>
        <w:numPr>
          <w:ilvl w:val="0"/>
          <w:numId w:val="17"/>
        </w:numPr>
      </w:pPr>
      <w:r>
        <w:t>Signed Future Ready Design Letter of Intent</w:t>
      </w:r>
    </w:p>
    <w:p w14:paraId="03CD5A97" w14:textId="130BC935" w:rsidR="009C0B12" w:rsidRDefault="009C0B12" w:rsidP="009647BF">
      <w:pPr>
        <w:pStyle w:val="ListParagraph"/>
        <w:numPr>
          <w:ilvl w:val="0"/>
          <w:numId w:val="17"/>
        </w:numPr>
      </w:pPr>
      <w:r>
        <w:t>Signed Energy Star Partnership Agreement</w:t>
      </w:r>
    </w:p>
    <w:p w14:paraId="2346DE58" w14:textId="76F0B445" w:rsidR="009C0B12" w:rsidRDefault="009C0B12" w:rsidP="009647BF">
      <w:pPr>
        <w:pStyle w:val="ListParagraph"/>
        <w:numPr>
          <w:ilvl w:val="0"/>
          <w:numId w:val="17"/>
        </w:numPr>
      </w:pPr>
      <w:r>
        <w:t>Signed Energy Benchmarking Letter of Intent</w:t>
      </w:r>
    </w:p>
    <w:p w14:paraId="4C4EE3F8" w14:textId="4E69B864" w:rsidR="009C0B12" w:rsidRDefault="009C0B12" w:rsidP="009647BF">
      <w:pPr>
        <w:pStyle w:val="ListParagraph"/>
        <w:numPr>
          <w:ilvl w:val="0"/>
          <w:numId w:val="17"/>
        </w:numPr>
      </w:pPr>
      <w:r>
        <w:t>Site and Risk Assessment Review Report</w:t>
      </w:r>
    </w:p>
    <w:p w14:paraId="456ED2A3" w14:textId="561D3EBD" w:rsidR="00597108" w:rsidRDefault="00597108" w:rsidP="009647BF">
      <w:pPr>
        <w:pStyle w:val="ListParagraph"/>
        <w:numPr>
          <w:ilvl w:val="0"/>
          <w:numId w:val="17"/>
        </w:numPr>
      </w:pPr>
      <w:r>
        <w:t>If residential buildings will be within 1,000 feet of a large warehouse facility (see the QAP</w:t>
      </w:r>
      <w:r w:rsidR="00755E44">
        <w:t xml:space="preserve"> and the Future Ready Design Guide</w:t>
      </w:r>
      <w:r>
        <w:t xml:space="preserve"> for details), all of:</w:t>
      </w:r>
    </w:p>
    <w:p w14:paraId="0917EBC4" w14:textId="48193D79" w:rsidR="00597108" w:rsidRDefault="00597108" w:rsidP="009647BF">
      <w:pPr>
        <w:pStyle w:val="ListParagraph"/>
        <w:numPr>
          <w:ilvl w:val="1"/>
          <w:numId w:val="17"/>
        </w:numPr>
      </w:pPr>
      <w:r>
        <w:t>A site plan delineating measured distances; and</w:t>
      </w:r>
    </w:p>
    <w:p w14:paraId="51518338" w14:textId="06611306" w:rsidR="00597108" w:rsidRDefault="00597108" w:rsidP="009647BF">
      <w:pPr>
        <w:pStyle w:val="ListParagraph"/>
        <w:numPr>
          <w:ilvl w:val="1"/>
          <w:numId w:val="17"/>
        </w:numPr>
      </w:pPr>
      <w:r>
        <w:t>A list and descriptions of all measures to be taken to ensure compliance with the Future Ready Design Guide’s Environmental Stressor Performance Standards.</w:t>
      </w:r>
    </w:p>
    <w:p w14:paraId="148684B1" w14:textId="4143C69D" w:rsidR="00A6114F" w:rsidRDefault="00A6114F">
      <w:r>
        <w:br w:type="page"/>
      </w:r>
    </w:p>
    <w:p w14:paraId="0D3D0351" w14:textId="1D476EDF" w:rsidR="00B22112" w:rsidRDefault="00B22112" w:rsidP="00B22112">
      <w:pPr>
        <w:pStyle w:val="Heading2"/>
      </w:pPr>
      <w:bookmarkStart w:id="13" w:name="_Toc230012660"/>
      <w:r>
        <w:lastRenderedPageBreak/>
        <w:t>Certified Property Manager</w:t>
      </w:r>
      <w:bookmarkEnd w:id="13"/>
    </w:p>
    <w:p w14:paraId="38C4425A" w14:textId="391FF006" w:rsidR="00A6114F" w:rsidRDefault="00C4693F" w:rsidP="00C4693F">
      <w:pPr>
        <w:ind w:left="720" w:hanging="720"/>
      </w:pPr>
      <w:r>
        <w:fldChar w:fldCharType="begin">
          <w:ffData>
            <w:name w:val="Check26"/>
            <w:enabled/>
            <w:calcOnExit w:val="0"/>
            <w:checkBox>
              <w:sizeAuto/>
              <w:default w:val="0"/>
            </w:checkBox>
          </w:ffData>
        </w:fldChar>
      </w:r>
      <w:bookmarkStart w:id="14" w:name="Check26"/>
      <w:r>
        <w:instrText xml:space="preserve"> FORMCHECKBOX </w:instrText>
      </w:r>
      <w:r w:rsidR="00FB3676">
        <w:fldChar w:fldCharType="separate"/>
      </w:r>
      <w:r>
        <w:fldChar w:fldCharType="end"/>
      </w:r>
      <w:bookmarkEnd w:id="14"/>
      <w:r>
        <w:tab/>
        <w:t>By checking this section, t</w:t>
      </w:r>
      <w:r w:rsidR="00A6114F">
        <w:t>he applicant pledge</w:t>
      </w:r>
      <w:r>
        <w:t>s</w:t>
      </w:r>
      <w:r w:rsidR="00A6114F">
        <w:t xml:space="preserve"> that the </w:t>
      </w:r>
      <w:r w:rsidR="00A6114F" w:rsidRPr="00A6114F">
        <w:t>staff person responsible for verification of tenant income will have successfully completed an NJHMFA</w:t>
      </w:r>
      <w:r w:rsidR="00A6114F">
        <w:t>-</w:t>
      </w:r>
      <w:r w:rsidR="00A6114F" w:rsidRPr="00A6114F">
        <w:t>approved tax credit certification program prior to the project being placed in service and will meet the continuing education requirement of at least 6 hours annually for the term of the compliance and extended use periods.</w:t>
      </w:r>
    </w:p>
    <w:p w14:paraId="25768DF9" w14:textId="5841C949" w:rsidR="00A6114F" w:rsidRDefault="00A6114F" w:rsidP="00A6114F">
      <w:r w:rsidRPr="00A6114F">
        <w:t>For the list of approved tax credit certification programs, please visit the NJHMFA website at</w:t>
      </w:r>
      <w:r>
        <w:t xml:space="preserve">: </w:t>
      </w:r>
      <w:hyperlink r:id="rId15" w:history="1">
        <w:r w:rsidRPr="000C5D46">
          <w:rPr>
            <w:rStyle w:val="Hyperlink"/>
          </w:rPr>
          <w:t>https://www.nj.gov/dca/hmfa/developers/docs/lihtc/compliance/ApprovedTaxCreditCertifications.pdf</w:t>
        </w:r>
      </w:hyperlink>
    </w:p>
    <w:p w14:paraId="5A2C31B9" w14:textId="77777777" w:rsidR="00FF0E29" w:rsidRPr="00A6114F" w:rsidRDefault="00FF0E29" w:rsidP="00A6114F"/>
    <w:p w14:paraId="1F6BE7E7" w14:textId="3B1F5A76" w:rsidR="00B22112" w:rsidRDefault="00B22112" w:rsidP="00B22112">
      <w:pPr>
        <w:pStyle w:val="Heading2"/>
      </w:pPr>
      <w:bookmarkStart w:id="15" w:name="_Toc230012661"/>
      <w:r>
        <w:t>Acquisition Credits</w:t>
      </w:r>
      <w:r w:rsidR="00A6114F">
        <w:t xml:space="preserve"> (if applicable)</w:t>
      </w:r>
      <w:bookmarkEnd w:id="15"/>
    </w:p>
    <w:p w14:paraId="3910E2EB" w14:textId="048E5EED" w:rsidR="00A6114F" w:rsidRDefault="00A6114F" w:rsidP="00A6114F">
      <w:r>
        <w:t>If you are applying for acquisition credits, insert the following items:</w:t>
      </w:r>
    </w:p>
    <w:p w14:paraId="1EEE61E6" w14:textId="5A5BF300" w:rsidR="00A6114F" w:rsidRDefault="00A6114F" w:rsidP="009647BF">
      <w:pPr>
        <w:pStyle w:val="ListParagraph"/>
        <w:numPr>
          <w:ilvl w:val="0"/>
          <w:numId w:val="18"/>
        </w:numPr>
      </w:pPr>
      <w:r>
        <w:t>Attorney Opinion Letter regarding each building’s eligibility for acquisition credits; and</w:t>
      </w:r>
    </w:p>
    <w:p w14:paraId="72A5DD1A" w14:textId="587F6E17" w:rsidR="00A6114F" w:rsidRDefault="00A6114F" w:rsidP="009647BF">
      <w:pPr>
        <w:pStyle w:val="ListParagraph"/>
        <w:numPr>
          <w:ilvl w:val="0"/>
          <w:numId w:val="18"/>
        </w:numPr>
      </w:pPr>
      <w:r>
        <w:t>A recent appraisal, no older than 6 months, indicating the “as is” rent restricted value of the building and land, which is subject to NJHMFA review.</w:t>
      </w:r>
    </w:p>
    <w:p w14:paraId="7BF6A39F" w14:textId="023A0C55" w:rsidR="00A6114F" w:rsidRDefault="00A6114F" w:rsidP="00A6114F">
      <w:r>
        <w:t>NOTES:</w:t>
      </w:r>
    </w:p>
    <w:p w14:paraId="6DAA8D6E" w14:textId="24E70E6F" w:rsidR="00F111FE" w:rsidRDefault="00F111FE" w:rsidP="009647BF">
      <w:pPr>
        <w:pStyle w:val="ListParagraph"/>
        <w:numPr>
          <w:ilvl w:val="0"/>
          <w:numId w:val="19"/>
        </w:numPr>
      </w:pPr>
      <w:r w:rsidRPr="00F111FE">
        <w:t xml:space="preserve">Calculation of the developer fee for building acquisition costs </w:t>
      </w:r>
      <w:r>
        <w:t>is</w:t>
      </w:r>
      <w:r w:rsidRPr="00F111FE">
        <w:t xml:space="preserve"> limited to 4% of the building amount and the non-deferred portion </w:t>
      </w:r>
      <w:r>
        <w:t>may</w:t>
      </w:r>
      <w:r w:rsidRPr="00F111FE">
        <w:t xml:space="preserve"> not exceed 2%.</w:t>
      </w:r>
    </w:p>
    <w:p w14:paraId="7CC5C32C" w14:textId="2C91F3A4" w:rsidR="00F111FE" w:rsidRDefault="00A6114F" w:rsidP="009647BF">
      <w:pPr>
        <w:pStyle w:val="ListParagraph"/>
        <w:numPr>
          <w:ilvl w:val="0"/>
          <w:numId w:val="19"/>
        </w:numPr>
      </w:pPr>
      <w:r w:rsidRPr="00A6114F">
        <w:t xml:space="preserve">The acquisition value </w:t>
      </w:r>
      <w:r w:rsidR="00F111FE">
        <w:t>is</w:t>
      </w:r>
      <w:r w:rsidRPr="00A6114F">
        <w:t xml:space="preserve"> the lesser of the appraised value </w:t>
      </w:r>
      <w:r w:rsidR="00F111FE">
        <w:t>OR</w:t>
      </w:r>
      <w:r w:rsidRPr="00A6114F">
        <w:t xml:space="preserve"> the purchase price or lease fee of the realty and any</w:t>
      </w:r>
      <w:r>
        <w:t xml:space="preserve"> </w:t>
      </w:r>
      <w:r w:rsidRPr="00A6114F">
        <w:t>buildings and improvements thereon in</w:t>
      </w:r>
      <w:r>
        <w:t xml:space="preserve"> </w:t>
      </w:r>
      <w:r w:rsidRPr="00A6114F">
        <w:t>the most recent arm’s length transaction, if such a transaction occurred within the past 10 years, as determined by a title history.</w:t>
      </w:r>
      <w:r w:rsidR="00F111FE">
        <w:t xml:space="preserve"> </w:t>
      </w:r>
      <w:r w:rsidR="00F111FE" w:rsidRPr="00F111FE">
        <w:t xml:space="preserve">The title report </w:t>
      </w:r>
      <w:r w:rsidR="00F111FE">
        <w:t>must</w:t>
      </w:r>
      <w:r w:rsidR="00F111FE" w:rsidRPr="00F111FE">
        <w:t xml:space="preserve"> identify each party associated with the transaction.</w:t>
      </w:r>
      <w:r w:rsidR="00FF0E29">
        <w:t xml:space="preserve"> </w:t>
      </w:r>
      <w:r w:rsidR="00F111FE" w:rsidRPr="00F111FE">
        <w:t>If the appraised value of the real estate is less than the amount of the most recent arm’s-length transaction or if there was no arm’s-length transaction within the past 10 years, the appraised value is recognized.</w:t>
      </w:r>
    </w:p>
    <w:p w14:paraId="23CFAAD7" w14:textId="6C981260" w:rsidR="00F111FE" w:rsidRDefault="00F111FE" w:rsidP="009647BF">
      <w:pPr>
        <w:pStyle w:val="ListParagraph"/>
        <w:numPr>
          <w:ilvl w:val="0"/>
          <w:numId w:val="19"/>
        </w:numPr>
      </w:pPr>
      <w:r>
        <w:t>NJHMFA reserves the right to require a capital needs assessment and/or an independent appraisal that conforms to the Uniform Standards of Professional Appraisal Practice (USPAP).</w:t>
      </w:r>
    </w:p>
    <w:p w14:paraId="5A674995" w14:textId="77777777" w:rsidR="007978BD" w:rsidRPr="00A6114F" w:rsidRDefault="007978BD" w:rsidP="007978BD"/>
    <w:p w14:paraId="050C9534" w14:textId="431D4F32" w:rsidR="00B22112" w:rsidRDefault="00B63C29" w:rsidP="00B22112">
      <w:pPr>
        <w:pStyle w:val="Heading2"/>
      </w:pPr>
      <w:bookmarkStart w:id="16" w:name="_Toc230012662"/>
      <w:r>
        <w:t xml:space="preserve">CPA Certification of </w:t>
      </w:r>
      <w:r w:rsidR="00B22112">
        <w:t>Step-in-the-Shoes Basis</w:t>
      </w:r>
      <w:r w:rsidR="00A6114F">
        <w:t xml:space="preserve"> (if applicable)</w:t>
      </w:r>
      <w:bookmarkEnd w:id="16"/>
    </w:p>
    <w:p w14:paraId="4301E76A" w14:textId="12BE7FFB" w:rsidR="00B63C29" w:rsidRDefault="007978BD" w:rsidP="00B63C29">
      <w:r>
        <w:t>If this is a step-in-the-shoes project, insert the following items:</w:t>
      </w:r>
    </w:p>
    <w:p w14:paraId="0FF58AD5" w14:textId="27B4087A" w:rsidR="007978BD" w:rsidRDefault="007978BD" w:rsidP="009647BF">
      <w:pPr>
        <w:pStyle w:val="ListParagraph"/>
        <w:numPr>
          <w:ilvl w:val="0"/>
          <w:numId w:val="20"/>
        </w:numPr>
      </w:pPr>
      <w:r>
        <w:t>Itemized breakdown of step-in-the-shoes costs; and</w:t>
      </w:r>
    </w:p>
    <w:p w14:paraId="6BD8A9E1" w14:textId="4917B573" w:rsidR="007978BD" w:rsidRDefault="007978BD" w:rsidP="009647BF">
      <w:pPr>
        <w:pStyle w:val="ListParagraph"/>
        <w:numPr>
          <w:ilvl w:val="0"/>
          <w:numId w:val="20"/>
        </w:numPr>
      </w:pPr>
      <w:r>
        <w:t>CPA certification that step-in-the-shoes costs have been spent and are accurately reflected in eligible basis.</w:t>
      </w:r>
    </w:p>
    <w:p w14:paraId="4B53352D" w14:textId="317F27AC" w:rsidR="007978BD" w:rsidRDefault="001B2F10" w:rsidP="007978BD">
      <w:r>
        <w:t>NOTE: NJHMFA will not recognize prior owner developer fees.</w:t>
      </w:r>
    </w:p>
    <w:p w14:paraId="55B4EB3A" w14:textId="77777777" w:rsidR="00FF0E29" w:rsidRPr="00B63C29" w:rsidRDefault="00FF0E29" w:rsidP="007978BD"/>
    <w:p w14:paraId="5687DD3D" w14:textId="0FBFC6F0" w:rsidR="00B22112" w:rsidRDefault="00B22112" w:rsidP="00B22112">
      <w:pPr>
        <w:pStyle w:val="Heading2"/>
      </w:pPr>
      <w:bookmarkStart w:id="17" w:name="_Toc230012663"/>
      <w:r>
        <w:t>USDA Rural Development</w:t>
      </w:r>
      <w:r w:rsidR="00A6114F">
        <w:t xml:space="preserve"> (if applicable)</w:t>
      </w:r>
      <w:bookmarkEnd w:id="17"/>
    </w:p>
    <w:p w14:paraId="1EB1469C" w14:textId="0F116C77" w:rsidR="007978BD" w:rsidRDefault="007978BD" w:rsidP="007978BD">
      <w:r>
        <w:t>If this project is receiving assistance from USDA Rural Development, insert a letter from the State Director approving the loan and stating that the funds have been obligated.</w:t>
      </w:r>
    </w:p>
    <w:p w14:paraId="4135784F" w14:textId="44CC505F" w:rsidR="007978BD" w:rsidRDefault="007978BD" w:rsidP="007978BD">
      <w:r>
        <w:t>NOTE: Because USDA does not fund a developer fee, the allocated credit amount may be limited to an amount sufficient to pay only the developer fee.</w:t>
      </w:r>
    </w:p>
    <w:p w14:paraId="0756EE38" w14:textId="77777777" w:rsidR="007978BD" w:rsidRPr="007978BD" w:rsidRDefault="007978BD" w:rsidP="007978BD"/>
    <w:p w14:paraId="1DD7847E" w14:textId="3EF84EEE" w:rsidR="00B22112" w:rsidRDefault="00B22112" w:rsidP="00B22112">
      <w:pPr>
        <w:pStyle w:val="Heading2"/>
      </w:pPr>
      <w:bookmarkStart w:id="18" w:name="_Toc230012664"/>
      <w:r>
        <w:t>Rental Assistance</w:t>
      </w:r>
      <w:r w:rsidR="00FF0E29">
        <w:t xml:space="preserve"> (if applicable)</w:t>
      </w:r>
      <w:bookmarkEnd w:id="18"/>
    </w:p>
    <w:p w14:paraId="0D4A9371" w14:textId="0C95ED8A" w:rsidR="00FF0E29" w:rsidRDefault="00FF0E29" w:rsidP="00FF0E29">
      <w:r>
        <w:t>If the project will receive rental assistance, insert all of th</w:t>
      </w:r>
      <w:r w:rsidR="007C56BC">
        <w:t>e applicable following items:</w:t>
      </w:r>
    </w:p>
    <w:p w14:paraId="5103F134" w14:textId="3D33575B" w:rsidR="007C56BC" w:rsidRDefault="007C56BC" w:rsidP="009647BF">
      <w:pPr>
        <w:pStyle w:val="ListParagraph"/>
        <w:numPr>
          <w:ilvl w:val="0"/>
          <w:numId w:val="21"/>
        </w:numPr>
      </w:pPr>
      <w:r>
        <w:t>Section 8:</w:t>
      </w:r>
    </w:p>
    <w:p w14:paraId="0861E50D" w14:textId="77777777" w:rsidR="007C56BC" w:rsidRDefault="007C56BC" w:rsidP="009647BF">
      <w:pPr>
        <w:pStyle w:val="ListParagraph"/>
        <w:numPr>
          <w:ilvl w:val="1"/>
          <w:numId w:val="21"/>
        </w:numPr>
      </w:pPr>
      <w:r w:rsidRPr="007C56BC">
        <w:t>Letter from PHA firmly approving the project for Section 8 Project</w:t>
      </w:r>
      <w:r>
        <w:t>-</w:t>
      </w:r>
      <w:r w:rsidRPr="007C56BC">
        <w:t>Based Assistance subject to the completion of the subsidy layering review</w:t>
      </w:r>
      <w:r>
        <w:t>;</w:t>
      </w:r>
      <w:r w:rsidRPr="007C56BC">
        <w:t xml:space="preserve"> </w:t>
      </w:r>
      <w:r>
        <w:t>OR</w:t>
      </w:r>
    </w:p>
    <w:p w14:paraId="3C766A1F" w14:textId="2E9CD8D9" w:rsidR="007C56BC" w:rsidRDefault="007C56BC" w:rsidP="009647BF">
      <w:pPr>
        <w:pStyle w:val="ListParagraph"/>
        <w:numPr>
          <w:ilvl w:val="1"/>
          <w:numId w:val="21"/>
        </w:numPr>
      </w:pPr>
      <w:r w:rsidRPr="007C56BC">
        <w:t>Commitment to enter into a Housing Assistance Payments Contract (CHAP) under the HUD Rental Assistance Demonstration (RAD)</w:t>
      </w:r>
      <w:r>
        <w:t>.</w:t>
      </w:r>
    </w:p>
    <w:p w14:paraId="41F44483" w14:textId="5BC29417" w:rsidR="007C56BC" w:rsidRDefault="007C56BC" w:rsidP="009647BF">
      <w:pPr>
        <w:pStyle w:val="ListParagraph"/>
        <w:numPr>
          <w:ilvl w:val="0"/>
          <w:numId w:val="21"/>
        </w:numPr>
      </w:pPr>
      <w:r>
        <w:t>AFL-CIO Pension Fund Program: Preliminary commitment from AFL-CIO.</w:t>
      </w:r>
    </w:p>
    <w:p w14:paraId="4E84E7EF" w14:textId="00246189" w:rsidR="007C56BC" w:rsidRDefault="007C56BC" w:rsidP="009647BF">
      <w:pPr>
        <w:pStyle w:val="ListParagraph"/>
        <w:numPr>
          <w:ilvl w:val="0"/>
          <w:numId w:val="21"/>
        </w:numPr>
      </w:pPr>
      <w:r>
        <w:t>Section 811: Commitment letter from NJHMFA Division of Asset Management (may be conditioned on award of LIHTC).</w:t>
      </w:r>
    </w:p>
    <w:p w14:paraId="3C00DB98" w14:textId="45F3B79C" w:rsidR="007C56BC" w:rsidRDefault="007C56BC" w:rsidP="009647BF">
      <w:pPr>
        <w:pStyle w:val="ListParagraph"/>
        <w:numPr>
          <w:ilvl w:val="0"/>
          <w:numId w:val="21"/>
        </w:numPr>
      </w:pPr>
      <w:r>
        <w:t>Other Types of (Non-Section 8) Rental Assistance: Executed Rental Assistance Contract specifying the source and terms of the subsidy.</w:t>
      </w:r>
    </w:p>
    <w:p w14:paraId="294AD73E" w14:textId="77777777" w:rsidR="00701C7E" w:rsidRDefault="00701C7E" w:rsidP="007C56BC">
      <w:r>
        <w:t>NOTES:</w:t>
      </w:r>
    </w:p>
    <w:p w14:paraId="30EB267E" w14:textId="77777777" w:rsidR="00701C7E" w:rsidRDefault="00701C7E" w:rsidP="009647BF">
      <w:pPr>
        <w:pStyle w:val="ListParagraph"/>
        <w:numPr>
          <w:ilvl w:val="0"/>
          <w:numId w:val="22"/>
        </w:numPr>
      </w:pPr>
      <w:r w:rsidRPr="00701C7E">
        <w:t>Project feasibility shall only be underwritten with rental assistance for the initial term of the contract.</w:t>
      </w:r>
    </w:p>
    <w:p w14:paraId="25FE8A16" w14:textId="77777777" w:rsidR="00701C7E" w:rsidRDefault="00701C7E" w:rsidP="009647BF">
      <w:pPr>
        <w:pStyle w:val="ListParagraph"/>
        <w:numPr>
          <w:ilvl w:val="0"/>
          <w:numId w:val="22"/>
        </w:numPr>
      </w:pPr>
      <w:r w:rsidRPr="00701C7E">
        <w:t>Upon the expiration of project</w:t>
      </w:r>
      <w:r>
        <w:t>-</w:t>
      </w:r>
      <w:r w:rsidRPr="00701C7E">
        <w:t>based rental assistance, supportive housing units shall be underwritten at rents no more than 20 percent of area median income adjusted for family size.</w:t>
      </w:r>
    </w:p>
    <w:p w14:paraId="39362CF7" w14:textId="1BDDC5EB" w:rsidR="007C56BC" w:rsidRDefault="00701C7E" w:rsidP="009647BF">
      <w:pPr>
        <w:pStyle w:val="ListParagraph"/>
        <w:numPr>
          <w:ilvl w:val="0"/>
          <w:numId w:val="22"/>
        </w:numPr>
      </w:pPr>
      <w:r w:rsidRPr="00701C7E">
        <w:t>For non-supportive housing units, the rents shall be underwritten at levels that are appropriate for market conditions (and are thus supported by the market study required at N.J.A.C. 5:80-33.12(c)(1)); however, in no event shall rents exceed 50% of area median income adjusted for family size.</w:t>
      </w:r>
    </w:p>
    <w:p w14:paraId="398171BF" w14:textId="4658EDEC" w:rsidR="005C616C" w:rsidRDefault="005C616C">
      <w:r>
        <w:br w:type="page"/>
      </w:r>
    </w:p>
    <w:p w14:paraId="4502C109" w14:textId="2C3350AE" w:rsidR="00B22112" w:rsidRDefault="00B22112" w:rsidP="00B22112">
      <w:pPr>
        <w:pStyle w:val="Heading2"/>
      </w:pPr>
      <w:bookmarkStart w:id="19" w:name="_Toc230012665"/>
      <w:r>
        <w:lastRenderedPageBreak/>
        <w:t>Projects with Supportive Housing Units</w:t>
      </w:r>
      <w:r w:rsidR="00FF0E29">
        <w:t xml:space="preserve"> (if applicable)</w:t>
      </w:r>
      <w:bookmarkEnd w:id="19"/>
    </w:p>
    <w:p w14:paraId="083C967C" w14:textId="293D7A21" w:rsidR="00701C7E" w:rsidRDefault="00701C7E" w:rsidP="00701C7E">
      <w:r>
        <w:t>If the project will contain supportive housing units</w:t>
      </w:r>
      <w:r w:rsidR="0069402F">
        <w:t>,</w:t>
      </w:r>
      <w:r>
        <w:t xml:space="preserve"> </w:t>
      </w:r>
      <w:r w:rsidR="00356A65">
        <w:t>complete the following:</w:t>
      </w:r>
    </w:p>
    <w:p w14:paraId="0B4C536C" w14:textId="77777777" w:rsidR="00652176" w:rsidRDefault="001317A1" w:rsidP="00652176">
      <w:pPr>
        <w:ind w:left="720"/>
      </w:pPr>
      <w:r>
        <w:t>Project Type:</w:t>
      </w:r>
    </w:p>
    <w:p w14:paraId="52DEF7C2" w14:textId="1CB2D476" w:rsidR="001317A1" w:rsidRDefault="001317A1" w:rsidP="00652176">
      <w:pPr>
        <w:ind w:left="720"/>
        <w:rPr>
          <w:u w:val="single"/>
        </w:rPr>
      </w:pPr>
      <w:r>
        <w:fldChar w:fldCharType="begin">
          <w:ffData>
            <w:name w:val="Check1"/>
            <w:enabled/>
            <w:calcOnExit w:val="0"/>
            <w:checkBox>
              <w:sizeAuto/>
              <w:default w:val="0"/>
            </w:checkBox>
          </w:ffData>
        </w:fldChar>
      </w:r>
      <w:r>
        <w:instrText xml:space="preserve"> FORMCHECKBOX </w:instrText>
      </w:r>
      <w:r w:rsidR="00FB3676">
        <w:fldChar w:fldCharType="separate"/>
      </w:r>
      <w:r>
        <w:fldChar w:fldCharType="end"/>
      </w:r>
      <w:r>
        <w:t xml:space="preserve"> Supportive Housing Cycle: At least 25 percent of the total project units are rented for occupancy by one or more individuals with special needs</w:t>
      </w:r>
      <w:r w:rsidR="00652176">
        <w:t>.</w:t>
      </w:r>
      <w:r>
        <w:br/>
      </w:r>
      <w:r w:rsidR="00652176">
        <w:br/>
        <w:t>OR</w:t>
      </w:r>
      <w:r w:rsidR="00652176">
        <w:br/>
      </w:r>
      <w:r>
        <w:br/>
      </w:r>
      <w:r w:rsidR="00652176">
        <w:fldChar w:fldCharType="begin">
          <w:ffData>
            <w:name w:val="Check2"/>
            <w:enabled/>
            <w:calcOnExit w:val="0"/>
            <w:checkBox>
              <w:sizeAuto/>
              <w:default w:val="0"/>
            </w:checkBox>
          </w:ffData>
        </w:fldChar>
      </w:r>
      <w:r w:rsidR="00652176">
        <w:instrText xml:space="preserve"> FORMCHECKBOX </w:instrText>
      </w:r>
      <w:r w:rsidR="00FB3676">
        <w:fldChar w:fldCharType="separate"/>
      </w:r>
      <w:r w:rsidR="00652176">
        <w:fldChar w:fldCharType="end"/>
      </w:r>
      <w:r w:rsidR="00652176">
        <w:t xml:space="preserve"> Family or Age-Friendly Senior Cycle: To receive points, at least 5 units or 5 percent of the total project units (whichever is greater) must be rented for occupancy by one or more individuals who are either homeless (3 points) OR disabled and covered by the </w:t>
      </w:r>
      <w:r w:rsidR="00652176" w:rsidRPr="002270E4">
        <w:rPr>
          <w:i/>
          <w:iCs/>
        </w:rPr>
        <w:t>Olmstead</w:t>
      </w:r>
      <w:r w:rsidR="00652176">
        <w:t xml:space="preserve"> decision (2 points). For the Family Cycle, a proportionate unit mix is required (2+ 2BR units and 2+ 3BR units).</w:t>
      </w:r>
      <w:r w:rsidR="00652176">
        <w:br/>
      </w:r>
      <w:r w:rsidR="00652176">
        <w:br/>
        <w:t>OR</w:t>
      </w:r>
      <w:r w:rsidR="00652176">
        <w:br/>
      </w:r>
      <w:r w:rsidR="00652176">
        <w:br/>
      </w:r>
      <w:r w:rsidR="00652176">
        <w:fldChar w:fldCharType="begin">
          <w:ffData>
            <w:name w:val="Check3"/>
            <w:enabled/>
            <w:calcOnExit w:val="0"/>
            <w:checkBox>
              <w:sizeAuto/>
              <w:default w:val="0"/>
            </w:checkBox>
          </w:ffData>
        </w:fldChar>
      </w:r>
      <w:r w:rsidR="00652176">
        <w:instrText xml:space="preserve"> FORMCHECKBOX </w:instrText>
      </w:r>
      <w:r w:rsidR="00FB3676">
        <w:fldChar w:fldCharType="separate"/>
      </w:r>
      <w:r w:rsidR="00652176">
        <w:fldChar w:fldCharType="end"/>
      </w:r>
      <w:r w:rsidR="00652176">
        <w:t xml:space="preserve"> Other: Explain. </w:t>
      </w:r>
      <w:r w:rsidR="00652176" w:rsidRPr="0069402F">
        <w:rPr>
          <w:u w:val="single"/>
        </w:rPr>
        <w:fldChar w:fldCharType="begin">
          <w:ffData>
            <w:name w:val="Text1"/>
            <w:enabled/>
            <w:calcOnExit w:val="0"/>
            <w:textInput/>
          </w:ffData>
        </w:fldChar>
      </w:r>
      <w:r w:rsidR="00652176" w:rsidRPr="0069402F">
        <w:rPr>
          <w:u w:val="single"/>
        </w:rPr>
        <w:instrText xml:space="preserve"> FORMTEXT </w:instrText>
      </w:r>
      <w:r w:rsidR="00652176" w:rsidRPr="0069402F">
        <w:rPr>
          <w:u w:val="single"/>
        </w:rPr>
      </w:r>
      <w:r w:rsidR="00652176" w:rsidRPr="0069402F">
        <w:rPr>
          <w:u w:val="single"/>
        </w:rPr>
        <w:fldChar w:fldCharType="separate"/>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u w:val="single"/>
        </w:rPr>
        <w:fldChar w:fldCharType="end"/>
      </w:r>
    </w:p>
    <w:p w14:paraId="75199EC8" w14:textId="0D581731" w:rsidR="00652176" w:rsidRDefault="00652176" w:rsidP="00652176">
      <w:pPr>
        <w:tabs>
          <w:tab w:val="left" w:pos="4320"/>
        </w:tabs>
        <w:ind w:left="720"/>
      </w:pPr>
      <w:r>
        <w:t>Supportive Housing Population</w:t>
      </w:r>
      <w:r w:rsidR="00784AAE">
        <w:t>(s)</w:t>
      </w:r>
      <w:r>
        <w:t>:</w:t>
      </w:r>
      <w:r>
        <w:tab/>
      </w:r>
      <w:r w:rsidRPr="00652176">
        <w:rPr>
          <w:u w:val="single"/>
        </w:rPr>
        <w:fldChar w:fldCharType="begin">
          <w:ffData>
            <w:name w:val="Text6"/>
            <w:enabled/>
            <w:calcOnExit w:val="0"/>
            <w:textInput/>
          </w:ffData>
        </w:fldChar>
      </w:r>
      <w:bookmarkStart w:id="20" w:name="Text6"/>
      <w:r w:rsidRPr="00652176">
        <w:rPr>
          <w:u w:val="single"/>
        </w:rPr>
        <w:instrText xml:space="preserve"> FORMTEXT </w:instrText>
      </w:r>
      <w:r w:rsidRPr="00652176">
        <w:rPr>
          <w:u w:val="single"/>
        </w:rPr>
      </w:r>
      <w:r w:rsidRPr="00652176">
        <w:rPr>
          <w:u w:val="single"/>
        </w:rPr>
        <w:fldChar w:fldCharType="separate"/>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u w:val="single"/>
        </w:rPr>
        <w:fldChar w:fldCharType="end"/>
      </w:r>
      <w:bookmarkEnd w:id="20"/>
    </w:p>
    <w:p w14:paraId="3BE0E893" w14:textId="6D2EEFCC" w:rsidR="00652176" w:rsidRDefault="00652176" w:rsidP="00652176">
      <w:pPr>
        <w:tabs>
          <w:tab w:val="left" w:pos="4320"/>
        </w:tabs>
        <w:ind w:left="720"/>
      </w:pPr>
      <w:r>
        <w:t># of Supportive Housing Units:</w:t>
      </w:r>
      <w:r>
        <w:tab/>
      </w:r>
      <w:r w:rsidRPr="00652176">
        <w:rPr>
          <w:u w:val="single"/>
        </w:rPr>
        <w:fldChar w:fldCharType="begin">
          <w:ffData>
            <w:name w:val="Text8"/>
            <w:enabled/>
            <w:calcOnExit w:val="0"/>
            <w:textInput/>
          </w:ffData>
        </w:fldChar>
      </w:r>
      <w:bookmarkStart w:id="21" w:name="Text8"/>
      <w:r w:rsidRPr="00652176">
        <w:rPr>
          <w:u w:val="single"/>
        </w:rPr>
        <w:instrText xml:space="preserve"> FORMTEXT </w:instrText>
      </w:r>
      <w:r w:rsidRPr="00652176">
        <w:rPr>
          <w:u w:val="single"/>
        </w:rPr>
      </w:r>
      <w:r w:rsidRPr="00652176">
        <w:rPr>
          <w:u w:val="single"/>
        </w:rPr>
        <w:fldChar w:fldCharType="separate"/>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u w:val="single"/>
        </w:rPr>
        <w:fldChar w:fldCharType="end"/>
      </w:r>
      <w:bookmarkEnd w:id="21"/>
      <w:r>
        <w:br/>
        <w:t># of Total Units:</w:t>
      </w:r>
      <w:r>
        <w:tab/>
      </w:r>
      <w:r w:rsidRPr="00652176">
        <w:rPr>
          <w:u w:val="single"/>
        </w:rPr>
        <w:fldChar w:fldCharType="begin">
          <w:ffData>
            <w:name w:val="Text9"/>
            <w:enabled/>
            <w:calcOnExit w:val="0"/>
            <w:textInput/>
          </w:ffData>
        </w:fldChar>
      </w:r>
      <w:bookmarkStart w:id="22" w:name="Text9"/>
      <w:r w:rsidRPr="00652176">
        <w:rPr>
          <w:u w:val="single"/>
        </w:rPr>
        <w:instrText xml:space="preserve"> FORMTEXT </w:instrText>
      </w:r>
      <w:r w:rsidRPr="00652176">
        <w:rPr>
          <w:u w:val="single"/>
        </w:rPr>
      </w:r>
      <w:r w:rsidRPr="00652176">
        <w:rPr>
          <w:u w:val="single"/>
        </w:rPr>
        <w:fldChar w:fldCharType="separate"/>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u w:val="single"/>
        </w:rPr>
        <w:fldChar w:fldCharType="end"/>
      </w:r>
      <w:bookmarkEnd w:id="22"/>
      <w:r>
        <w:br/>
        <w:t>Supportive Housing Unit Percentage:</w:t>
      </w:r>
      <w:r>
        <w:tab/>
      </w:r>
      <w:r w:rsidRPr="00652176">
        <w:rPr>
          <w:u w:val="single"/>
        </w:rPr>
        <w:fldChar w:fldCharType="begin">
          <w:ffData>
            <w:name w:val="Text7"/>
            <w:enabled/>
            <w:calcOnExit w:val="0"/>
            <w:textInput/>
          </w:ffData>
        </w:fldChar>
      </w:r>
      <w:bookmarkStart w:id="23" w:name="Text7"/>
      <w:r w:rsidRPr="00652176">
        <w:rPr>
          <w:u w:val="single"/>
        </w:rPr>
        <w:instrText xml:space="preserve"> FORMTEXT </w:instrText>
      </w:r>
      <w:r w:rsidRPr="00652176">
        <w:rPr>
          <w:u w:val="single"/>
        </w:rPr>
      </w:r>
      <w:r w:rsidRPr="00652176">
        <w:rPr>
          <w:u w:val="single"/>
        </w:rPr>
        <w:fldChar w:fldCharType="separate"/>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u w:val="single"/>
        </w:rPr>
        <w:fldChar w:fldCharType="end"/>
      </w:r>
      <w:bookmarkEnd w:id="23"/>
      <w:r>
        <w:t xml:space="preserve"> %</w:t>
      </w:r>
    </w:p>
    <w:p w14:paraId="3BAAE06C" w14:textId="77777777" w:rsidR="00652176" w:rsidRDefault="00652176" w:rsidP="00652176">
      <w:pPr>
        <w:ind w:left="720"/>
      </w:pPr>
      <w:r>
        <w:t>Permanent Housing:</w:t>
      </w:r>
      <w:r>
        <w:tab/>
      </w:r>
      <w:r>
        <w:fldChar w:fldCharType="begin">
          <w:ffData>
            <w:name w:val="Check6"/>
            <w:enabled/>
            <w:calcOnExit w:val="0"/>
            <w:checkBox>
              <w:sizeAuto/>
              <w:default w:val="0"/>
            </w:checkBox>
          </w:ffData>
        </w:fldChar>
      </w:r>
      <w:bookmarkStart w:id="24" w:name="Check6"/>
      <w:r>
        <w:instrText xml:space="preserve"> FORMCHECKBOX </w:instrText>
      </w:r>
      <w:r w:rsidR="00FB3676">
        <w:fldChar w:fldCharType="separate"/>
      </w:r>
      <w:r>
        <w:fldChar w:fldCharType="end"/>
      </w:r>
      <w:bookmarkEnd w:id="24"/>
      <w:r>
        <w:t xml:space="preserve"> Yes</w:t>
      </w:r>
      <w:r>
        <w:tab/>
      </w:r>
      <w:r>
        <w:fldChar w:fldCharType="begin">
          <w:ffData>
            <w:name w:val="Check7"/>
            <w:enabled/>
            <w:calcOnExit w:val="0"/>
            <w:checkBox>
              <w:sizeAuto/>
              <w:default w:val="0"/>
            </w:checkBox>
          </w:ffData>
        </w:fldChar>
      </w:r>
      <w:bookmarkStart w:id="25" w:name="Check7"/>
      <w:r>
        <w:instrText xml:space="preserve"> FORMCHECKBOX </w:instrText>
      </w:r>
      <w:r w:rsidR="00FB3676">
        <w:fldChar w:fldCharType="separate"/>
      </w:r>
      <w:r>
        <w:fldChar w:fldCharType="end"/>
      </w:r>
      <w:bookmarkEnd w:id="25"/>
      <w:r>
        <w:t xml:space="preserve"> No</w:t>
      </w:r>
    </w:p>
    <w:p w14:paraId="7B890E9E" w14:textId="6F9D5304" w:rsidR="00652176" w:rsidRPr="00652176" w:rsidRDefault="00652176" w:rsidP="00652176">
      <w:pPr>
        <w:pBdr>
          <w:bottom w:val="single" w:sz="4" w:space="1" w:color="auto"/>
        </w:pBdr>
        <w:ind w:left="720"/>
      </w:pPr>
      <w:r>
        <w:t>Mixed-Income / Mixed Supportive Housing Project:</w:t>
      </w:r>
      <w:r>
        <w:tab/>
      </w:r>
      <w:r>
        <w:fldChar w:fldCharType="begin">
          <w:ffData>
            <w:name w:val="Check8"/>
            <w:enabled/>
            <w:calcOnExit w:val="0"/>
            <w:checkBox>
              <w:sizeAuto/>
              <w:default w:val="0"/>
            </w:checkBox>
          </w:ffData>
        </w:fldChar>
      </w:r>
      <w:bookmarkStart w:id="26" w:name="Check8"/>
      <w:r>
        <w:instrText xml:space="preserve"> FORMCHECKBOX </w:instrText>
      </w:r>
      <w:r w:rsidR="00FB3676">
        <w:fldChar w:fldCharType="separate"/>
      </w:r>
      <w:r>
        <w:fldChar w:fldCharType="end"/>
      </w:r>
      <w:bookmarkEnd w:id="26"/>
      <w:r>
        <w:t xml:space="preserve"> Yes</w:t>
      </w:r>
      <w:r>
        <w:tab/>
      </w:r>
      <w:r>
        <w:fldChar w:fldCharType="begin">
          <w:ffData>
            <w:name w:val="Check9"/>
            <w:enabled/>
            <w:calcOnExit w:val="0"/>
            <w:checkBox>
              <w:sizeAuto/>
              <w:default w:val="0"/>
            </w:checkBox>
          </w:ffData>
        </w:fldChar>
      </w:r>
      <w:bookmarkStart w:id="27" w:name="Check9"/>
      <w:r>
        <w:instrText xml:space="preserve"> FORMCHECKBOX </w:instrText>
      </w:r>
      <w:r w:rsidR="00FB3676">
        <w:fldChar w:fldCharType="separate"/>
      </w:r>
      <w:r>
        <w:fldChar w:fldCharType="end"/>
      </w:r>
      <w:bookmarkEnd w:id="27"/>
      <w:r>
        <w:t xml:space="preserve"> No</w:t>
      </w:r>
    </w:p>
    <w:p w14:paraId="4A0616FC" w14:textId="3CB24A0A" w:rsidR="00356A65" w:rsidRDefault="00356A65" w:rsidP="00701C7E">
      <w:r>
        <w:t>If the project will contain supportive housing units, submit the following:</w:t>
      </w:r>
    </w:p>
    <w:p w14:paraId="4D9CEEF9" w14:textId="7261FF05" w:rsidR="00356A65" w:rsidRDefault="001317A1" w:rsidP="009647BF">
      <w:pPr>
        <w:pStyle w:val="ListParagraph"/>
        <w:numPr>
          <w:ilvl w:val="0"/>
          <w:numId w:val="23"/>
        </w:numPr>
      </w:pPr>
      <w:r>
        <w:t>Supportive housing needs analysis, which must:</w:t>
      </w:r>
    </w:p>
    <w:p w14:paraId="7B35B384" w14:textId="75B79D51" w:rsidR="00784AAE" w:rsidRDefault="00784AAE" w:rsidP="009647BF">
      <w:pPr>
        <w:pStyle w:val="ListParagraph"/>
        <w:numPr>
          <w:ilvl w:val="1"/>
          <w:numId w:val="23"/>
        </w:numPr>
      </w:pPr>
      <w:r>
        <w:t>Be conducted by the applicant and/or social services provider;</w:t>
      </w:r>
    </w:p>
    <w:p w14:paraId="4D5270D2" w14:textId="781B126A" w:rsidR="00784AAE" w:rsidRDefault="00784AAE" w:rsidP="009647BF">
      <w:pPr>
        <w:pStyle w:val="ListParagraph"/>
        <w:numPr>
          <w:ilvl w:val="1"/>
          <w:numId w:val="23"/>
        </w:numPr>
      </w:pPr>
      <w:r>
        <w:t>Separately examine feasibility and marketability, as the units will be open only to individuals with special needs;</w:t>
      </w:r>
    </w:p>
    <w:p w14:paraId="750B2A44" w14:textId="307F7E68" w:rsidR="00784AAE" w:rsidRDefault="00784AAE" w:rsidP="009647BF">
      <w:pPr>
        <w:pStyle w:val="ListParagraph"/>
        <w:numPr>
          <w:ilvl w:val="1"/>
          <w:numId w:val="23"/>
        </w:numPr>
      </w:pPr>
      <w:r>
        <w:t>Address the scope of the current and 15-year projected need of the target population(s) for supportive housing;</w:t>
      </w:r>
    </w:p>
    <w:p w14:paraId="5F55B17F" w14:textId="1D156BFA" w:rsidR="00784AAE" w:rsidRDefault="00784AAE" w:rsidP="009647BF">
      <w:pPr>
        <w:pStyle w:val="ListParagraph"/>
        <w:numPr>
          <w:ilvl w:val="1"/>
          <w:numId w:val="23"/>
        </w:numPr>
      </w:pPr>
      <w:r>
        <w:t>Define the market area, including sources of referral for supportive housing;</w:t>
      </w:r>
    </w:p>
    <w:p w14:paraId="6E4E4160" w14:textId="05407E77" w:rsidR="00784AAE" w:rsidRDefault="00784AAE" w:rsidP="009647BF">
      <w:pPr>
        <w:pStyle w:val="ListParagraph"/>
        <w:numPr>
          <w:ilvl w:val="1"/>
          <w:numId w:val="23"/>
        </w:numPr>
      </w:pPr>
      <w:r>
        <w:t>Include a current and estimated population needs assessment for the defined market area (information can be obtained from federal, state, and local agencies and sources);</w:t>
      </w:r>
    </w:p>
    <w:p w14:paraId="3B54D038" w14:textId="4B921A96" w:rsidR="00784AAE" w:rsidRDefault="00784AAE" w:rsidP="009647BF">
      <w:pPr>
        <w:pStyle w:val="ListParagraph"/>
        <w:numPr>
          <w:ilvl w:val="1"/>
          <w:numId w:val="23"/>
        </w:numPr>
      </w:pPr>
      <w:r>
        <w:t>Estimate the time it will take to fill the units;</w:t>
      </w:r>
    </w:p>
    <w:p w14:paraId="4F15D3A0" w14:textId="7FF5AC4A" w:rsidR="00784AAE" w:rsidRDefault="00784AAE" w:rsidP="009647BF">
      <w:pPr>
        <w:pStyle w:val="ListParagraph"/>
        <w:numPr>
          <w:ilvl w:val="1"/>
          <w:numId w:val="23"/>
        </w:numPr>
      </w:pPr>
      <w:r>
        <w:t>Estimate the income and sources of income for the target population(s); and</w:t>
      </w:r>
    </w:p>
    <w:p w14:paraId="32B5BDC2" w14:textId="27447EB2" w:rsidR="00784AAE" w:rsidRDefault="00784AAE" w:rsidP="009647BF">
      <w:pPr>
        <w:pStyle w:val="ListParagraph"/>
        <w:numPr>
          <w:ilvl w:val="1"/>
          <w:numId w:val="23"/>
        </w:numPr>
      </w:pPr>
      <w:r>
        <w:t>Identify supportive housing and other types of designated housing serving the target population(s) in the defined market area.</w:t>
      </w:r>
    </w:p>
    <w:p w14:paraId="603405D8" w14:textId="129ED540" w:rsidR="001317A1" w:rsidRDefault="001317A1" w:rsidP="009647BF">
      <w:pPr>
        <w:pStyle w:val="ListParagraph"/>
        <w:numPr>
          <w:ilvl w:val="0"/>
          <w:numId w:val="23"/>
        </w:numPr>
      </w:pPr>
      <w:r>
        <w:t>Supportive housing marketing plan, which</w:t>
      </w:r>
      <w:r w:rsidR="00482C5D">
        <w:t xml:space="preserve"> must</w:t>
      </w:r>
      <w:r>
        <w:t>:</w:t>
      </w:r>
    </w:p>
    <w:p w14:paraId="3AB76A5E" w14:textId="766E6392" w:rsidR="00784AAE" w:rsidRDefault="00482C5D" w:rsidP="009647BF">
      <w:pPr>
        <w:pStyle w:val="ListParagraph"/>
        <w:numPr>
          <w:ilvl w:val="1"/>
          <w:numId w:val="23"/>
        </w:numPr>
      </w:pPr>
      <w:r>
        <w:t>I</w:t>
      </w:r>
      <w:r w:rsidR="00784AAE">
        <w:t>dentify the organizations that will be used for referrals;</w:t>
      </w:r>
    </w:p>
    <w:p w14:paraId="18C06E29" w14:textId="0FF4C12D" w:rsidR="00784AAE" w:rsidRDefault="00482C5D" w:rsidP="009647BF">
      <w:pPr>
        <w:pStyle w:val="ListParagraph"/>
        <w:numPr>
          <w:ilvl w:val="1"/>
          <w:numId w:val="23"/>
        </w:numPr>
      </w:pPr>
      <w:r>
        <w:lastRenderedPageBreak/>
        <w:t>P</w:t>
      </w:r>
      <w:r w:rsidR="00784AAE">
        <w:t>rovide evidence, such as letters of support, attesting that such organizations have experience serving the target population(s) and can be sources for referrals;</w:t>
      </w:r>
    </w:p>
    <w:p w14:paraId="16C0D125" w14:textId="0DE1785C" w:rsidR="00784AAE" w:rsidRDefault="00482C5D" w:rsidP="009647BF">
      <w:pPr>
        <w:pStyle w:val="ListParagraph"/>
        <w:numPr>
          <w:ilvl w:val="1"/>
          <w:numId w:val="23"/>
        </w:numPr>
      </w:pPr>
      <w:r>
        <w:t>F</w:t>
      </w:r>
      <w:r w:rsidR="00784AAE">
        <w:t xml:space="preserve">or projects that will be serving homeless individuals and/or families, </w:t>
      </w:r>
      <w:r>
        <w:t xml:space="preserve">provide that the local/county Continuum of Care (CoC) will be notified of any units reserved for individuals and families who are homeless. </w:t>
      </w:r>
      <w:r w:rsidRPr="00A428F7">
        <w:rPr>
          <w:u w:val="single"/>
        </w:rPr>
        <w:t>It is also strongly recommended that the plan include either a resolution indicating that referrals will be provided or a letter of support from the local/county CoC, and that sponsors of such projects contact the local/county CoC well in advance of the application deadline to discuss the project.</w:t>
      </w:r>
    </w:p>
    <w:p w14:paraId="46072EB7" w14:textId="60BA943C" w:rsidR="00482C5D" w:rsidRDefault="00482C5D" w:rsidP="009647BF">
      <w:pPr>
        <w:pStyle w:val="ListParagraph"/>
        <w:numPr>
          <w:ilvl w:val="1"/>
          <w:numId w:val="23"/>
        </w:numPr>
      </w:pPr>
      <w:r>
        <w:t xml:space="preserve">For </w:t>
      </w:r>
      <w:r w:rsidR="00A428F7">
        <w:t xml:space="preserve">projects that will be supported </w:t>
      </w:r>
      <w:r w:rsidR="00A428F7" w:rsidRPr="00A428F7">
        <w:t>with housing subsidies, operating costs</w:t>
      </w:r>
      <w:r w:rsidR="000B7E70">
        <w:t>,</w:t>
      </w:r>
      <w:r w:rsidR="00A428F7" w:rsidRPr="00A428F7">
        <w:t xml:space="preserve"> or service</w:t>
      </w:r>
      <w:r w:rsidR="000B7E70">
        <w:t>s</w:t>
      </w:r>
      <w:r w:rsidR="00A428F7" w:rsidRPr="00A428F7">
        <w:t xml:space="preserve"> funding from the Department of Human Services (DHS) or from the Department of Health (DOH), </w:t>
      </w:r>
      <w:r w:rsidR="00D47C36">
        <w:t>include</w:t>
      </w:r>
      <w:r w:rsidR="00A428F7" w:rsidRPr="00A428F7">
        <w:t xml:space="preserve"> a letter of support from DHS or DOH, as appropriate. The letter of support </w:t>
      </w:r>
      <w:r w:rsidR="00D47C36">
        <w:t>must</w:t>
      </w:r>
      <w:r w:rsidR="00A428F7" w:rsidRPr="00A428F7">
        <w:t xml:space="preserve"> include information on commitment of DHS</w:t>
      </w:r>
      <w:r w:rsidR="00D47C36">
        <w:t>/</w:t>
      </w:r>
      <w:r w:rsidR="00A428F7" w:rsidRPr="00A428F7">
        <w:t>DOH subsidies (</w:t>
      </w:r>
      <w:r w:rsidR="00D47C36">
        <w:t>as</w:t>
      </w:r>
      <w:r w:rsidR="00A428F7" w:rsidRPr="00A428F7">
        <w:t xml:space="preserve"> applicable), typical services provided with DHS</w:t>
      </w:r>
      <w:r w:rsidR="00D47C36">
        <w:t>/</w:t>
      </w:r>
      <w:r w:rsidR="00A428F7" w:rsidRPr="00A428F7">
        <w:t>DOH funds, and the process by which DHS</w:t>
      </w:r>
      <w:r w:rsidR="00D47C36">
        <w:t>/DOH</w:t>
      </w:r>
      <w:r w:rsidR="00A428F7" w:rsidRPr="00A428F7">
        <w:t xml:space="preserve"> qualifies or selects service providers. </w:t>
      </w:r>
      <w:r w:rsidR="00D47C36">
        <w:t xml:space="preserve">To obtain the letter of support, sponsors must contact DHS/DOH well in advance of the LIHTC application deadline to discuss the project. </w:t>
      </w:r>
      <w:r w:rsidR="00A428F7" w:rsidRPr="00D47C36">
        <w:rPr>
          <w:u w:val="single"/>
        </w:rPr>
        <w:t xml:space="preserve">Please note that projects that </w:t>
      </w:r>
      <w:r w:rsidR="00D47C36" w:rsidRPr="00D47C36">
        <w:rPr>
          <w:u w:val="single"/>
        </w:rPr>
        <w:t>submit</w:t>
      </w:r>
      <w:r w:rsidR="00A428F7" w:rsidRPr="00D47C36">
        <w:rPr>
          <w:u w:val="single"/>
        </w:rPr>
        <w:t xml:space="preserve"> this letter of support from either entity are NOT required to include an executed supportive services agreement between sponsor and service</w:t>
      </w:r>
      <w:r w:rsidR="00D47C36" w:rsidRPr="00D47C36">
        <w:rPr>
          <w:u w:val="single"/>
        </w:rPr>
        <w:t>s</w:t>
      </w:r>
      <w:r w:rsidR="00A428F7" w:rsidRPr="00D47C36">
        <w:rPr>
          <w:u w:val="single"/>
        </w:rPr>
        <w:t xml:space="preserve"> provider. However, </w:t>
      </w:r>
      <w:r w:rsidR="00D47C36" w:rsidRPr="00D47C36">
        <w:rPr>
          <w:u w:val="single"/>
        </w:rPr>
        <w:t>the project must submit a</w:t>
      </w:r>
      <w:r w:rsidR="00A428F7" w:rsidRPr="00D47C36">
        <w:rPr>
          <w:u w:val="single"/>
        </w:rPr>
        <w:t xml:space="preserve"> social services plan address</w:t>
      </w:r>
      <w:r w:rsidR="00D47C36" w:rsidRPr="00D47C36">
        <w:rPr>
          <w:u w:val="single"/>
        </w:rPr>
        <w:t>ing</w:t>
      </w:r>
      <w:r w:rsidR="00A428F7" w:rsidRPr="00D47C36">
        <w:rPr>
          <w:u w:val="single"/>
        </w:rPr>
        <w:t xml:space="preserve"> items 4, 5, and 6</w:t>
      </w:r>
      <w:r w:rsidR="00D47C36" w:rsidRPr="00D47C36">
        <w:rPr>
          <w:u w:val="single"/>
        </w:rPr>
        <w:t xml:space="preserve"> in the requirements for social services plans (see below)</w:t>
      </w:r>
      <w:r w:rsidR="00A428F7" w:rsidRPr="00D47C36">
        <w:rPr>
          <w:u w:val="single"/>
        </w:rPr>
        <w:t>.</w:t>
      </w:r>
    </w:p>
    <w:p w14:paraId="7E0499AD" w14:textId="02FC9CE8" w:rsidR="001317A1" w:rsidRDefault="00D47C36" w:rsidP="009647BF">
      <w:pPr>
        <w:pStyle w:val="ListParagraph"/>
        <w:numPr>
          <w:ilvl w:val="0"/>
          <w:numId w:val="23"/>
        </w:numPr>
      </w:pPr>
      <w:r>
        <w:t>R</w:t>
      </w:r>
      <w:r w:rsidRPr="00D47C36">
        <w:t>é</w:t>
      </w:r>
      <w:r>
        <w:t>sum</w:t>
      </w:r>
      <w:r w:rsidRPr="00D47C36">
        <w:t>é</w:t>
      </w:r>
      <w:r>
        <w:t>s/other evidence demonstrating</w:t>
      </w:r>
      <w:r w:rsidR="00AC477C" w:rsidRPr="00AC477C">
        <w:t xml:space="preserve"> the supportive housing development, management, and/or supportive services experience of the owner entity, property management entity, and/or social service</w:t>
      </w:r>
      <w:r>
        <w:t>s</w:t>
      </w:r>
      <w:r w:rsidR="00AC477C" w:rsidRPr="00AC477C">
        <w:t xml:space="preserve"> provider who will be providing property management and</w:t>
      </w:r>
      <w:r>
        <w:t>/or</w:t>
      </w:r>
      <w:r w:rsidR="00AC477C" w:rsidRPr="00AC477C">
        <w:t xml:space="preserve"> supportive services to the residents</w:t>
      </w:r>
      <w:r w:rsidR="00B04546">
        <w:t>, including fulfillment of prior private or governmental contracts</w:t>
      </w:r>
      <w:r w:rsidR="00AC477C">
        <w:t>.</w:t>
      </w:r>
    </w:p>
    <w:p w14:paraId="15B9A97D" w14:textId="6587FED6" w:rsidR="00784AAE" w:rsidRDefault="00784AAE" w:rsidP="009647BF">
      <w:pPr>
        <w:pStyle w:val="ListParagraph"/>
        <w:numPr>
          <w:ilvl w:val="0"/>
          <w:numId w:val="23"/>
        </w:numPr>
      </w:pPr>
      <w:r w:rsidRPr="00784AAE">
        <w:t xml:space="preserve">Sources of funding and a social services plan </w:t>
      </w:r>
      <w:r w:rsidR="00E06BFF">
        <w:t>with</w:t>
      </w:r>
      <w:r w:rsidRPr="00784AAE">
        <w:t xml:space="preserve"> </w:t>
      </w:r>
      <w:r w:rsidR="00E06BFF">
        <w:t xml:space="preserve">a </w:t>
      </w:r>
      <w:r w:rsidRPr="00784AAE">
        <w:t>detailed description of the scope of services to be provided to the individuals with special needs</w:t>
      </w:r>
      <w:r w:rsidR="00E06BFF">
        <w:t>, including a staffing plan and how the services will be delivered and funded</w:t>
      </w:r>
      <w:r w:rsidRPr="00784AAE">
        <w:t>. If the social service provider is partnering with other community services, that relationship must be substantiated with executed letters of agreement detailing the services to be provided and the term thereof</w:t>
      </w:r>
      <w:r w:rsidR="00DB7AE3">
        <w:t xml:space="preserve">. </w:t>
      </w:r>
      <w:r w:rsidR="00DB7AE3" w:rsidRPr="00DB7AE3">
        <w:t>The services mu</w:t>
      </w:r>
      <w:r w:rsidR="00DB7AE3">
        <w:t xml:space="preserve">st </w:t>
      </w:r>
      <w:r w:rsidR="00DB7AE3" w:rsidRPr="00DB7AE3">
        <w:t>be affordable and appropriate to the target population</w:t>
      </w:r>
      <w:r w:rsidR="00DB7AE3">
        <w:t>(s)</w:t>
      </w:r>
      <w:r w:rsidR="00DB7AE3" w:rsidRPr="00DB7AE3">
        <w:t xml:space="preserve"> to the satisfaction of NJHMFA, available and accessible to the project's tenants</w:t>
      </w:r>
      <w:r w:rsidR="00DB7AE3">
        <w:t>,</w:t>
      </w:r>
      <w:r w:rsidR="00DB7AE3" w:rsidRPr="00DB7AE3">
        <w:t xml:space="preserve"> </w:t>
      </w:r>
      <w:r w:rsidR="00DB7AE3">
        <w:t xml:space="preserve">and within </w:t>
      </w:r>
      <w:r w:rsidR="00DB7AE3" w:rsidRPr="00DB7AE3">
        <w:t xml:space="preserve">the </w:t>
      </w:r>
      <w:r w:rsidR="00DB7AE3">
        <w:t xml:space="preserve">capacity of the </w:t>
      </w:r>
      <w:r w:rsidR="00DB7AE3" w:rsidRPr="00DB7AE3">
        <w:t>social service</w:t>
      </w:r>
      <w:r w:rsidR="00DB7AE3">
        <w:t>s</w:t>
      </w:r>
      <w:r w:rsidR="00DB7AE3" w:rsidRPr="00DB7AE3">
        <w:t xml:space="preserve"> provider. </w:t>
      </w:r>
      <w:r w:rsidR="00DB7AE3">
        <w:t xml:space="preserve">The services must also address the supportive service needs of the target population(s) and may include a range of services across a wide continuum of care and intensity appropriate to the target population(s). </w:t>
      </w:r>
      <w:r w:rsidR="00DB7AE3" w:rsidRPr="00DB7AE3">
        <w:t>Appropriate and needed services must be supported by evidence-based practice, research</w:t>
      </w:r>
      <w:r w:rsidR="00DB7AE3">
        <w:t>,</w:t>
      </w:r>
      <w:r w:rsidR="00DB7AE3" w:rsidRPr="00DB7AE3">
        <w:t xml:space="preserve"> and/or direct practice experience. The description must acknowledge </w:t>
      </w:r>
      <w:r w:rsidR="00DB7AE3">
        <w:t xml:space="preserve">that </w:t>
      </w:r>
      <w:r w:rsidR="00DB7AE3" w:rsidRPr="00DB7AE3">
        <w:t xml:space="preserve">each special needs tenant does not have to utilize all of the services provided by the project; however, the services must be available. The social services plan </w:t>
      </w:r>
      <w:r w:rsidR="00DB7AE3">
        <w:t>must</w:t>
      </w:r>
      <w:r w:rsidR="00DB7AE3" w:rsidRPr="00DB7AE3">
        <w:t xml:space="preserve"> address, but is not limited to, the following items</w:t>
      </w:r>
      <w:r w:rsidR="00DB7AE3">
        <w:t>:</w:t>
      </w:r>
    </w:p>
    <w:p w14:paraId="1F9A2213" w14:textId="2AD0D256" w:rsidR="00DB7AE3" w:rsidRDefault="00DB7AE3" w:rsidP="009647BF">
      <w:pPr>
        <w:pStyle w:val="ListParagraph"/>
        <w:numPr>
          <w:ilvl w:val="1"/>
          <w:numId w:val="23"/>
        </w:numPr>
      </w:pPr>
      <w:r>
        <w:t>Hiring a full-time social service coordinator. If a social service coordinator is being provided through a third party, then a signed agreement between the two parties is required, and the coordinator must be dedicated to the tax credit project for at least 20 hours a week for supportive housing cycle projects or 5 hours a week for projects that have set aside 5% or 5 supportive housing units;</w:t>
      </w:r>
    </w:p>
    <w:p w14:paraId="3B6DBD75" w14:textId="4CAD1B29" w:rsidR="00DB7AE3" w:rsidRDefault="00DB7AE3" w:rsidP="009647BF">
      <w:pPr>
        <w:pStyle w:val="ListParagraph"/>
        <w:numPr>
          <w:ilvl w:val="1"/>
          <w:numId w:val="23"/>
        </w:numPr>
      </w:pPr>
      <w:r>
        <w:t>Demonstrating three or more years of experience by the social service provider(s) in providing social services to the target population(s) or to related special needs population</w:t>
      </w:r>
      <w:r w:rsidR="00B04546">
        <w:t>(s);</w:t>
      </w:r>
    </w:p>
    <w:p w14:paraId="7C0A0771" w14:textId="35CFC1A1" w:rsidR="00DB7AE3" w:rsidRDefault="00DB7AE3" w:rsidP="009647BF">
      <w:pPr>
        <w:pStyle w:val="ListParagraph"/>
        <w:numPr>
          <w:ilvl w:val="1"/>
          <w:numId w:val="23"/>
        </w:numPr>
      </w:pPr>
      <w:r>
        <w:t>Describing the proposed services that will benefit the target population(s), including location(s) of services (that is, on-site or in the community) and documentation to support how these services will be funded and how measures to evaluate service outcomes, such as quality of life and consumer satisfaction, will be addressed;</w:t>
      </w:r>
    </w:p>
    <w:p w14:paraId="6949A984" w14:textId="0E0E12A8" w:rsidR="00DB7AE3" w:rsidRDefault="00DB7AE3" w:rsidP="009647BF">
      <w:pPr>
        <w:pStyle w:val="ListParagraph"/>
        <w:numPr>
          <w:ilvl w:val="1"/>
          <w:numId w:val="23"/>
        </w:numPr>
      </w:pPr>
      <w:r>
        <w:t>Describing how the service provider will facilitate tenant/landlord relationships, including detailed eligibility and ineligibility criteria for tenant selection and screening, as well as a plan for problem resolution to minimize evictions for supportive housing tenants;</w:t>
      </w:r>
    </w:p>
    <w:p w14:paraId="49F90E49" w14:textId="0D2EB0AB" w:rsidR="00DB7AE3" w:rsidRDefault="00DB7AE3" w:rsidP="009647BF">
      <w:pPr>
        <w:pStyle w:val="ListParagraph"/>
        <w:numPr>
          <w:ilvl w:val="1"/>
          <w:numId w:val="23"/>
        </w:numPr>
      </w:pPr>
      <w:r>
        <w:t>Providing at least one of the following services:</w:t>
      </w:r>
    </w:p>
    <w:p w14:paraId="72A5DE7C" w14:textId="28429B9C" w:rsidR="00DB7AE3" w:rsidRDefault="00DB7AE3" w:rsidP="009647BF">
      <w:pPr>
        <w:pStyle w:val="ListParagraph"/>
        <w:numPr>
          <w:ilvl w:val="2"/>
          <w:numId w:val="23"/>
        </w:numPr>
      </w:pPr>
      <w:r>
        <w:lastRenderedPageBreak/>
        <w:t>24-h</w:t>
      </w:r>
      <w:r w:rsidR="00517491">
        <w:t>our</w:t>
      </w:r>
      <w:r>
        <w:t>, seven-day</w:t>
      </w:r>
      <w:r w:rsidR="00517491">
        <w:t>s-</w:t>
      </w:r>
      <w:r>
        <w:t>a</w:t>
      </w:r>
      <w:r w:rsidR="00517491">
        <w:t>-</w:t>
      </w:r>
      <w:r>
        <w:t>week on-call crisis response capability;</w:t>
      </w:r>
    </w:p>
    <w:p w14:paraId="60551E53" w14:textId="694B6C5B" w:rsidR="00DB7AE3" w:rsidRDefault="00DB7AE3" w:rsidP="009647BF">
      <w:pPr>
        <w:pStyle w:val="ListParagraph"/>
        <w:numPr>
          <w:ilvl w:val="2"/>
          <w:numId w:val="23"/>
        </w:numPr>
      </w:pPr>
      <w:r>
        <w:t xml:space="preserve">Financial management training from a qualified provider and ongoing budgeting support; </w:t>
      </w:r>
      <w:r w:rsidR="00517491">
        <w:t>and</w:t>
      </w:r>
    </w:p>
    <w:p w14:paraId="3C7949EB" w14:textId="59A07AC9" w:rsidR="00DB7AE3" w:rsidRDefault="00DB7AE3" w:rsidP="009647BF">
      <w:pPr>
        <w:pStyle w:val="ListParagraph"/>
        <w:numPr>
          <w:ilvl w:val="2"/>
          <w:numId w:val="23"/>
        </w:numPr>
      </w:pPr>
      <w:r>
        <w:t>Linkage and ongoing follow-up services to health care, including dental care, and physical health care and primary health care prevention services; and</w:t>
      </w:r>
    </w:p>
    <w:p w14:paraId="1C60BFE5" w14:textId="17187671" w:rsidR="00DB7AE3" w:rsidRDefault="00B04546" w:rsidP="009647BF">
      <w:pPr>
        <w:pStyle w:val="ListParagraph"/>
        <w:numPr>
          <w:ilvl w:val="1"/>
          <w:numId w:val="23"/>
        </w:numPr>
      </w:pPr>
      <w:r>
        <w:t>Mandating</w:t>
      </w:r>
      <w:r w:rsidR="00DB7AE3">
        <w:t xml:space="preserve"> staff training for all on-site personnel at least annually on matters specific to the special needs population(s).</w:t>
      </w:r>
    </w:p>
    <w:p w14:paraId="31665E42" w14:textId="434FE1DB" w:rsidR="00784AAE" w:rsidRDefault="00C51A81" w:rsidP="009647BF">
      <w:pPr>
        <w:pStyle w:val="ListParagraph"/>
        <w:numPr>
          <w:ilvl w:val="0"/>
          <w:numId w:val="23"/>
        </w:numPr>
      </w:pPr>
      <w:r>
        <w:t>E</w:t>
      </w:r>
      <w:r w:rsidR="00784AAE" w:rsidRPr="00784AAE">
        <w:t>xecuted supportive services agreement</w:t>
      </w:r>
      <w:r>
        <w:t>(s)</w:t>
      </w:r>
      <w:r w:rsidR="00784AAE" w:rsidRPr="00784AAE">
        <w:t xml:space="preserve"> between the supportive services provider and the owner entity</w:t>
      </w:r>
      <w:r>
        <w:t>, which must provide, at a minimum, the scope, frequency, and term of the services to be provided.</w:t>
      </w:r>
    </w:p>
    <w:p w14:paraId="02BAEF09" w14:textId="53F21379" w:rsidR="00784AAE" w:rsidRDefault="00784AAE" w:rsidP="009647BF">
      <w:pPr>
        <w:pStyle w:val="ListParagraph"/>
        <w:numPr>
          <w:ilvl w:val="0"/>
          <w:numId w:val="23"/>
        </w:numPr>
      </w:pPr>
      <w:r w:rsidRPr="00784AAE">
        <w:t>Evidence of the receipt of rental assistance or operating subsidy commitment(s) for special needs populations below 30 percent of area median income and/or evidence that the supportive housing units are affordable to the target population</w:t>
      </w:r>
      <w:r w:rsidR="00B04546">
        <w:t>(s)</w:t>
      </w:r>
      <w:r w:rsidRPr="00784AAE">
        <w:t>.</w:t>
      </w:r>
      <w:r w:rsidR="00B04546">
        <w:t xml:space="preserve"> Units without rental assistance or operating subsidy will be underwritten at 20% of AMI.</w:t>
      </w:r>
    </w:p>
    <w:p w14:paraId="33780860" w14:textId="197F7E7A" w:rsidR="00784AAE" w:rsidRDefault="00B04546" w:rsidP="009647BF">
      <w:pPr>
        <w:pStyle w:val="ListParagraph"/>
        <w:numPr>
          <w:ilvl w:val="0"/>
          <w:numId w:val="23"/>
        </w:numPr>
      </w:pPr>
      <w:r w:rsidRPr="00B04546">
        <w:t>Evidence of the capacity and specific activities to address bilingual needs, cultural competency</w:t>
      </w:r>
      <w:r>
        <w:t>,</w:t>
      </w:r>
      <w:r w:rsidRPr="00B04546">
        <w:t xml:space="preserve"> and other special needs accommodations</w:t>
      </w:r>
      <w:r>
        <w:t>.</w:t>
      </w:r>
    </w:p>
    <w:p w14:paraId="2AA9AA36" w14:textId="30146FEB" w:rsidR="00784AAE" w:rsidRDefault="00254424" w:rsidP="009647BF">
      <w:pPr>
        <w:pStyle w:val="ListParagraph"/>
        <w:numPr>
          <w:ilvl w:val="0"/>
          <w:numId w:val="23"/>
        </w:numPr>
      </w:pPr>
      <w:r>
        <w:t>If seeking the point option, e</w:t>
      </w:r>
      <w:r w:rsidRPr="00254424">
        <w:t>vidence of on-site healthy lifestyles education and programming with funding commitments and/or signed agreement</w:t>
      </w:r>
      <w:r>
        <w:t>s</w:t>
      </w:r>
      <w:r w:rsidRPr="00254424">
        <w:t xml:space="preserve"> with service providers that specifically identify scope and term for provisions of these services.</w:t>
      </w:r>
    </w:p>
    <w:p w14:paraId="7D5CC618" w14:textId="59409FEC" w:rsidR="00254424" w:rsidRDefault="00254424" w:rsidP="009647BF">
      <w:pPr>
        <w:pStyle w:val="ListParagraph"/>
        <w:numPr>
          <w:ilvl w:val="0"/>
          <w:numId w:val="23"/>
        </w:numPr>
      </w:pPr>
      <w:r>
        <w:t>If seeking the point option, r</w:t>
      </w:r>
      <w:r w:rsidRPr="00254424">
        <w:t>ental assistance funding commitments from the HUD McKinney-Vento Programs or other government source(s) of project</w:t>
      </w:r>
      <w:r>
        <w:t>-</w:t>
      </w:r>
      <w:r w:rsidRPr="00254424">
        <w:t xml:space="preserve">based or sponsor-based rental assistance for all the </w:t>
      </w:r>
      <w:r w:rsidR="0004299E">
        <w:t>supportive housing</w:t>
      </w:r>
      <w:r w:rsidRPr="00254424">
        <w:t xml:space="preserve"> units.</w:t>
      </w:r>
    </w:p>
    <w:p w14:paraId="7B923FEB" w14:textId="22B3BE0D" w:rsidR="00254424" w:rsidRDefault="00254424" w:rsidP="009647BF">
      <w:pPr>
        <w:pStyle w:val="ListParagraph"/>
        <w:numPr>
          <w:ilvl w:val="0"/>
          <w:numId w:val="23"/>
        </w:numPr>
      </w:pPr>
      <w:r>
        <w:t>Identification of which of the following, if any, apply:</w:t>
      </w:r>
    </w:p>
    <w:p w14:paraId="06433BB7" w14:textId="77777777" w:rsidR="00254424" w:rsidRDefault="00254424" w:rsidP="009647BF">
      <w:pPr>
        <w:pStyle w:val="ListParagraph"/>
        <w:numPr>
          <w:ilvl w:val="1"/>
          <w:numId w:val="23"/>
        </w:numPr>
      </w:pPr>
      <w:r>
        <w:t>Each bedroom measures not less than 100 square feet;</w:t>
      </w:r>
    </w:p>
    <w:p w14:paraId="5C5680A5" w14:textId="1D8C97CF" w:rsidR="00254424" w:rsidRDefault="00254424" w:rsidP="009647BF">
      <w:pPr>
        <w:pStyle w:val="ListParagraph"/>
        <w:numPr>
          <w:ilvl w:val="1"/>
          <w:numId w:val="23"/>
        </w:numPr>
      </w:pPr>
      <w:r>
        <w:t>Unrelated residents have their own bedroom;</w:t>
      </w:r>
    </w:p>
    <w:p w14:paraId="7D921760" w14:textId="35A8A7FB" w:rsidR="00254424" w:rsidRDefault="00254424" w:rsidP="009647BF">
      <w:pPr>
        <w:pStyle w:val="ListParagraph"/>
        <w:numPr>
          <w:ilvl w:val="1"/>
          <w:numId w:val="23"/>
        </w:numPr>
      </w:pPr>
      <w:r>
        <w:t>No more than four unrelated adults share a bathroom; and</w:t>
      </w:r>
    </w:p>
    <w:p w14:paraId="52709B2E" w14:textId="6897AB1E" w:rsidR="00254424" w:rsidRDefault="00254424" w:rsidP="009647BF">
      <w:pPr>
        <w:pStyle w:val="ListParagraph"/>
        <w:numPr>
          <w:ilvl w:val="1"/>
          <w:numId w:val="23"/>
        </w:numPr>
      </w:pPr>
      <w:r>
        <w:t>Residents have access to a full kitchen for meal preparation.</w:t>
      </w:r>
    </w:p>
    <w:p w14:paraId="37D45114" w14:textId="34E26305" w:rsidR="00ED26C9" w:rsidRDefault="00ED26C9">
      <w:r>
        <w:br w:type="page"/>
      </w:r>
    </w:p>
    <w:p w14:paraId="549D39AE" w14:textId="2ABCCA6D" w:rsidR="00B22112" w:rsidRDefault="00B22112" w:rsidP="00B22112">
      <w:pPr>
        <w:pStyle w:val="Heading2"/>
      </w:pPr>
      <w:bookmarkStart w:id="28" w:name="_Toc230012666"/>
      <w:r>
        <w:lastRenderedPageBreak/>
        <w:t>Affirmative Fair Housing Marketing Plan</w:t>
      </w:r>
      <w:bookmarkEnd w:id="28"/>
    </w:p>
    <w:p w14:paraId="32561E60" w14:textId="2D913F4E" w:rsidR="00ED26C9" w:rsidRDefault="00A605ED" w:rsidP="00ED26C9">
      <w:r>
        <w:t>Submit one of the following types of Affirmative Fair Housing Marketing Plan:</w:t>
      </w:r>
    </w:p>
    <w:p w14:paraId="161C21AB" w14:textId="7FD0B710" w:rsidR="00A605ED" w:rsidRDefault="00FA5A30" w:rsidP="009647BF">
      <w:pPr>
        <w:pStyle w:val="ListParagraph"/>
        <w:numPr>
          <w:ilvl w:val="0"/>
          <w:numId w:val="24"/>
        </w:numPr>
      </w:pPr>
      <w:r>
        <w:t xml:space="preserve">UHAC </w:t>
      </w:r>
      <w:r w:rsidR="00011272">
        <w:t xml:space="preserve">— </w:t>
      </w:r>
      <w:r w:rsidR="007D1700">
        <w:t>r</w:t>
      </w:r>
      <w:r>
        <w:t xml:space="preserve">equired for New Construction receiving </w:t>
      </w:r>
      <w:r w:rsidRPr="00FA5A30">
        <w:rPr>
          <w:i/>
          <w:iCs/>
        </w:rPr>
        <w:t>Mount Laurel</w:t>
      </w:r>
      <w:r>
        <w:t xml:space="preserve"> credit</w:t>
      </w:r>
      <w:r w:rsidR="00011272">
        <w:t xml:space="preserve">, see: </w:t>
      </w:r>
      <w:hyperlink r:id="rId16" w:history="1">
        <w:r w:rsidR="00011272" w:rsidRPr="001F515F">
          <w:rPr>
            <w:rStyle w:val="Hyperlink"/>
          </w:rPr>
          <w:t>https://www.nj.gov/dca/hmfa/about/uhac/</w:t>
        </w:r>
      </w:hyperlink>
    </w:p>
    <w:p w14:paraId="4F3BF76E" w14:textId="52B56F37" w:rsidR="00FA5A30" w:rsidRDefault="00FA5A30" w:rsidP="009647BF">
      <w:pPr>
        <w:pStyle w:val="ListParagraph"/>
        <w:numPr>
          <w:ilvl w:val="0"/>
          <w:numId w:val="24"/>
        </w:numPr>
      </w:pPr>
      <w:r>
        <w:t>HUD</w:t>
      </w:r>
    </w:p>
    <w:p w14:paraId="468A38C4" w14:textId="6BEBE559" w:rsidR="00FA5A30" w:rsidRDefault="00FA5A30" w:rsidP="009647BF">
      <w:pPr>
        <w:pStyle w:val="ListParagraph"/>
        <w:numPr>
          <w:ilvl w:val="0"/>
          <w:numId w:val="24"/>
        </w:numPr>
      </w:pPr>
      <w:r>
        <w:t>NJHMFA</w:t>
      </w:r>
      <w:r w:rsidR="00613074">
        <w:t xml:space="preserve"> — </w:t>
      </w:r>
      <w:r w:rsidR="007D1700">
        <w:t>s</w:t>
      </w:r>
      <w:r w:rsidR="00613074">
        <w:t>ee LIHTC Appendix</w:t>
      </w:r>
    </w:p>
    <w:p w14:paraId="680E4CAA" w14:textId="08D15137" w:rsidR="00A605ED" w:rsidRDefault="000D355D" w:rsidP="00ED26C9">
      <w:r>
        <w:t>NOTE: At the time that the units are placed in service, the owner/developer and the rental agent must certify that the project was affirmatively marketed to the groups least likely to apply for housing.</w:t>
      </w:r>
    </w:p>
    <w:p w14:paraId="38AAB840" w14:textId="77777777" w:rsidR="000D355D" w:rsidRPr="00ED26C9" w:rsidRDefault="000D355D" w:rsidP="00ED26C9"/>
    <w:p w14:paraId="6C062A46" w14:textId="623A74AF" w:rsidR="00B22112" w:rsidRDefault="00B22112" w:rsidP="00B22112">
      <w:pPr>
        <w:pStyle w:val="Heading2"/>
      </w:pPr>
      <w:bookmarkStart w:id="29" w:name="_Toc230012667"/>
      <w:r>
        <w:t>HOPE VI/CHOICE Neighborhood/Replacement Housing Projects</w:t>
      </w:r>
      <w:bookmarkEnd w:id="29"/>
    </w:p>
    <w:p w14:paraId="0AFB1DAF" w14:textId="705D092C" w:rsidR="00B67ADB" w:rsidRDefault="00B67ADB" w:rsidP="00B67ADB">
      <w:r>
        <w:t>If the project has HOPE VI / Choice Neighborhood</w:t>
      </w:r>
      <w:r w:rsidR="00A47056">
        <w:t>s</w:t>
      </w:r>
      <w:r>
        <w:t xml:space="preserve"> / Replacement Housing funding, submit the following:</w:t>
      </w:r>
    </w:p>
    <w:p w14:paraId="1D7F1008" w14:textId="5820747C" w:rsidR="00B67ADB" w:rsidRDefault="00B67ADB" w:rsidP="009647BF">
      <w:pPr>
        <w:pStyle w:val="ListParagraph"/>
        <w:numPr>
          <w:ilvl w:val="0"/>
          <w:numId w:val="25"/>
        </w:numPr>
      </w:pPr>
      <w:r w:rsidRPr="00B67ADB">
        <w:t xml:space="preserve">A copy of the commitment letter from HUD awarding funds to the public housing authority. </w:t>
      </w:r>
      <w:r>
        <w:t>You must</w:t>
      </w:r>
      <w:r w:rsidRPr="00B67ADB">
        <w:t xml:space="preserve"> disclose the terms and conditions of the HOPE VI</w:t>
      </w:r>
      <w:r>
        <w:t xml:space="preserve"> </w:t>
      </w:r>
      <w:r w:rsidRPr="00B67ADB">
        <w:t>/</w:t>
      </w:r>
      <w:r>
        <w:t xml:space="preserve"> </w:t>
      </w:r>
      <w:r w:rsidRPr="00B67ADB">
        <w:t>Replacement Housing</w:t>
      </w:r>
      <w:r>
        <w:t xml:space="preserve"> </w:t>
      </w:r>
      <w:r w:rsidRPr="00B67ADB">
        <w:t>/</w:t>
      </w:r>
      <w:r>
        <w:t xml:space="preserve"> </w:t>
      </w:r>
      <w:r w:rsidRPr="00B67ADB">
        <w:t xml:space="preserve">Choice Neighborhoods Implementation grant to the public housing authority that funds the project, as well the terms and conditions of the funding arrangements between the public housing authority and </w:t>
      </w:r>
      <w:r>
        <w:t>the applicant</w:t>
      </w:r>
      <w:r w:rsidRPr="00B67ADB">
        <w:t>.</w:t>
      </w:r>
    </w:p>
    <w:p w14:paraId="1BBD8B56" w14:textId="77777777" w:rsidR="00B67ADB" w:rsidRDefault="00B67ADB" w:rsidP="009647BF">
      <w:pPr>
        <w:pStyle w:val="ListParagraph"/>
        <w:numPr>
          <w:ilvl w:val="0"/>
          <w:numId w:val="25"/>
        </w:numPr>
      </w:pPr>
      <w:r w:rsidRPr="00B67ADB">
        <w:t xml:space="preserve">An opinion of tax counsel in support of the dollar amount of the eligible basis for the project set forth in the application. Attached to this opinion, and incorporated therein, must be </w:t>
      </w:r>
      <w:r>
        <w:t>the accountant’s analysis required at (c) below.</w:t>
      </w:r>
    </w:p>
    <w:p w14:paraId="431B4DA4" w14:textId="3C35D10D" w:rsidR="00B67ADB" w:rsidRDefault="00B67ADB" w:rsidP="009647BF">
      <w:pPr>
        <w:pStyle w:val="ListParagraph"/>
        <w:numPr>
          <w:ilvl w:val="0"/>
          <w:numId w:val="25"/>
        </w:numPr>
      </w:pPr>
      <w:r>
        <w:t>A</w:t>
      </w:r>
      <w:r w:rsidRPr="00B67ADB">
        <w:t>n analysis, conducted by an independent auditor, of anticipated project cash flow and residual value demonstrating a reasonable prospect of repayment of all loans funded by the proceeds of the HOPE VI</w:t>
      </w:r>
      <w:r>
        <w:t xml:space="preserve"> </w:t>
      </w:r>
      <w:r w:rsidRPr="00B67ADB">
        <w:t>/</w:t>
      </w:r>
      <w:r>
        <w:t xml:space="preserve"> </w:t>
      </w:r>
      <w:r w:rsidRPr="00B67ADB">
        <w:t>Choice Neighborhood</w:t>
      </w:r>
      <w:r w:rsidR="00A47056">
        <w:t>s</w:t>
      </w:r>
      <w:r>
        <w:t xml:space="preserve"> </w:t>
      </w:r>
      <w:r w:rsidRPr="00B67ADB">
        <w:t>/</w:t>
      </w:r>
      <w:r>
        <w:t xml:space="preserve"> </w:t>
      </w:r>
      <w:r w:rsidRPr="00B67ADB">
        <w:t>Replacement Housing grant and all debt.</w:t>
      </w:r>
      <w:r>
        <w:t xml:space="preserve"> The analysis must incorporate the same assumptions used in the 15-Year Pro Forma submitted for Section 7 above.</w:t>
      </w:r>
    </w:p>
    <w:p w14:paraId="67348122" w14:textId="279BDE5B" w:rsidR="00B67ADB" w:rsidRDefault="00B67ADB" w:rsidP="00B67ADB">
      <w:r w:rsidRPr="00B67ADB">
        <w:t xml:space="preserve">NOTE: It is </w:t>
      </w:r>
      <w:r>
        <w:t>your</w:t>
      </w:r>
      <w:r w:rsidRPr="00B67ADB">
        <w:t xml:space="preserve"> responsibility to demonstrate that any HOPE VI</w:t>
      </w:r>
      <w:r>
        <w:t xml:space="preserve"> </w:t>
      </w:r>
      <w:r w:rsidRPr="00B67ADB">
        <w:t>/</w:t>
      </w:r>
      <w:r>
        <w:t xml:space="preserve"> </w:t>
      </w:r>
      <w:r w:rsidRPr="00B67ADB">
        <w:t>Choice Neighborhood</w:t>
      </w:r>
      <w:r>
        <w:t xml:space="preserve"> </w:t>
      </w:r>
      <w:r w:rsidRPr="00B67ADB">
        <w:t>/</w:t>
      </w:r>
      <w:r>
        <w:t xml:space="preserve"> </w:t>
      </w:r>
      <w:r w:rsidRPr="00B67ADB">
        <w:t>Replacement Housing Factor funds used to establish eligible basis at any time during the credit period are received pursuant to contractual financing provisions that, when viewed in the context of reasonably anticipated project cash flow and residual value, constitute lawful basis under the Code and applicable law. See IRC Section 42(d)(5)(A).</w:t>
      </w:r>
    </w:p>
    <w:p w14:paraId="1C634DCC" w14:textId="77777777" w:rsidR="00761BEF" w:rsidRPr="00B67ADB" w:rsidRDefault="00761BEF" w:rsidP="00B67ADB"/>
    <w:p w14:paraId="1CC2DFFA" w14:textId="3FD60604" w:rsidR="00B22112" w:rsidRDefault="00B22112" w:rsidP="00B22112">
      <w:pPr>
        <w:pStyle w:val="Heading2"/>
      </w:pPr>
      <w:bookmarkStart w:id="30" w:name="_Toc230012668"/>
      <w:r>
        <w:t>High Concentration of LIHTC Units</w:t>
      </w:r>
      <w:bookmarkEnd w:id="30"/>
    </w:p>
    <w:p w14:paraId="690A1ED4" w14:textId="1D8EACC3" w:rsidR="00B67ADB" w:rsidRDefault="00F04F5D" w:rsidP="00B67ADB">
      <w:r>
        <w:t>If the project is not Preservation AND located in a census tract where 30% or more of the existing housing units are LIHTC, you must submit the following:</w:t>
      </w:r>
    </w:p>
    <w:p w14:paraId="7E8B9303" w14:textId="77777777" w:rsidR="00F04F5D" w:rsidRDefault="00F04F5D" w:rsidP="009647BF">
      <w:pPr>
        <w:pStyle w:val="ListParagraph"/>
        <w:numPr>
          <w:ilvl w:val="0"/>
          <w:numId w:val="26"/>
        </w:numPr>
      </w:pPr>
      <w:r>
        <w:t>Certification that:</w:t>
      </w:r>
    </w:p>
    <w:p w14:paraId="637E4517" w14:textId="7FBA7D21" w:rsidR="00F04F5D" w:rsidRDefault="00F04F5D" w:rsidP="009647BF">
      <w:pPr>
        <w:pStyle w:val="ListParagraph"/>
        <w:numPr>
          <w:ilvl w:val="1"/>
          <w:numId w:val="26"/>
        </w:numPr>
      </w:pPr>
      <w:r>
        <w:t>The project is a redevelopment project;</w:t>
      </w:r>
    </w:p>
    <w:p w14:paraId="5348EEFF" w14:textId="67D15858" w:rsidR="00F04F5D" w:rsidRDefault="00F04F5D" w:rsidP="009647BF">
      <w:pPr>
        <w:pStyle w:val="ListParagraph"/>
        <w:numPr>
          <w:ilvl w:val="1"/>
          <w:numId w:val="26"/>
        </w:numPr>
      </w:pPr>
      <w:r>
        <w:t>The project does not add more low-income units to the census tract, unless the developer enters into a legally binding community benefits agreement with the municipality to invest resources into the impacted census tract; and</w:t>
      </w:r>
    </w:p>
    <w:p w14:paraId="0B97E3FB" w14:textId="05165E0A" w:rsidR="00F04F5D" w:rsidRDefault="00F04F5D" w:rsidP="009647BF">
      <w:pPr>
        <w:pStyle w:val="ListParagraph"/>
        <w:numPr>
          <w:ilvl w:val="1"/>
          <w:numId w:val="26"/>
        </w:numPr>
      </w:pPr>
      <w:r>
        <w:t>The project plan includes relocation options to higher opportunity areas and mobility counseling assistance for existing residents.</w:t>
      </w:r>
    </w:p>
    <w:p w14:paraId="63B4273F" w14:textId="36930AC4" w:rsidR="00F04F5D" w:rsidRDefault="00F04F5D" w:rsidP="009647BF">
      <w:pPr>
        <w:pStyle w:val="ListParagraph"/>
        <w:numPr>
          <w:ilvl w:val="0"/>
          <w:numId w:val="26"/>
        </w:numPr>
      </w:pPr>
      <w:r>
        <w:t>A municipal resolution that references this rule (N.J.A.C. 5:80-33.12(c)17).</w:t>
      </w:r>
    </w:p>
    <w:p w14:paraId="66E1359B" w14:textId="23B27CF3" w:rsidR="00F04F5D" w:rsidRDefault="00F04F5D" w:rsidP="00F04F5D">
      <w:r>
        <w:t>F</w:t>
      </w:r>
      <w:r w:rsidRPr="00F04F5D">
        <w:t xml:space="preserve">or the list of </w:t>
      </w:r>
      <w:r>
        <w:t>c</w:t>
      </w:r>
      <w:r w:rsidRPr="00F04F5D">
        <w:t xml:space="preserve">ensus </w:t>
      </w:r>
      <w:r>
        <w:t>t</w:t>
      </w:r>
      <w:r w:rsidRPr="00F04F5D">
        <w:t xml:space="preserve">racts </w:t>
      </w:r>
      <w:r>
        <w:t>to</w:t>
      </w:r>
      <w:r w:rsidRPr="00F04F5D">
        <w:t xml:space="preserve"> which this applies</w:t>
      </w:r>
      <w:r>
        <w:t xml:space="preserve">, see: </w:t>
      </w:r>
      <w:hyperlink r:id="rId17" w:history="1">
        <w:r w:rsidRPr="003F14C5">
          <w:rPr>
            <w:rStyle w:val="Hyperlink"/>
          </w:rPr>
          <w:t>https://www.nj.gov/dca/hmfa/developers/lihtc/faqs/</w:t>
        </w:r>
      </w:hyperlink>
    </w:p>
    <w:p w14:paraId="73BC0425" w14:textId="47FAF225" w:rsidR="006C1814" w:rsidRDefault="006C1814" w:rsidP="00B22112">
      <w:pPr>
        <w:pStyle w:val="Heading2"/>
      </w:pPr>
      <w:bookmarkStart w:id="31" w:name="_Toc230012669"/>
      <w:r>
        <w:lastRenderedPageBreak/>
        <w:t>Foreclosure / Uncorrected Noncompliance</w:t>
      </w:r>
      <w:bookmarkEnd w:id="31"/>
    </w:p>
    <w:p w14:paraId="0023499A" w14:textId="626A15D4" w:rsidR="006C1814" w:rsidRDefault="006C1814" w:rsidP="006C1814">
      <w:r>
        <w:t xml:space="preserve">The applicant must certify </w:t>
      </w:r>
      <w:r w:rsidR="00C4693F">
        <w:t xml:space="preserve">all of </w:t>
      </w:r>
      <w:r>
        <w:t>the following:</w:t>
      </w:r>
    </w:p>
    <w:p w14:paraId="05E6495A" w14:textId="657E18D3" w:rsidR="00C4693F" w:rsidRDefault="00C4693F" w:rsidP="00C4693F">
      <w:pPr>
        <w:ind w:left="720" w:hanging="720"/>
      </w:pPr>
      <w:r>
        <w:fldChar w:fldCharType="begin">
          <w:ffData>
            <w:name w:val="Check27"/>
            <w:enabled/>
            <w:calcOnExit w:val="0"/>
            <w:checkBox>
              <w:sizeAuto/>
              <w:default w:val="0"/>
            </w:checkBox>
          </w:ffData>
        </w:fldChar>
      </w:r>
      <w:bookmarkStart w:id="32" w:name="Check27"/>
      <w:r>
        <w:instrText xml:space="preserve"> FORMCHECKBOX </w:instrText>
      </w:r>
      <w:r w:rsidR="00FB3676">
        <w:fldChar w:fldCharType="separate"/>
      </w:r>
      <w:r>
        <w:fldChar w:fldCharType="end"/>
      </w:r>
      <w:bookmarkEnd w:id="32"/>
      <w:r>
        <w:tab/>
        <w:t>By checking this box, the applicant certifies t</w:t>
      </w:r>
      <w:r w:rsidR="006C1814">
        <w:t>hat no general partner, voting member, property manager, developer, principal, or related party of any of the foregoing has owned or managed any interest in a LIHTC project wh</w:t>
      </w:r>
      <w:r w:rsidR="00B0496E">
        <w:t>en</w:t>
      </w:r>
      <w:r w:rsidR="006C1814">
        <w:t xml:space="preserve"> title was foreclosed thereon by entry of judgment or deed in lieu of foreclosure within the past seven years, measured from the earlier of the date of entry </w:t>
      </w:r>
      <w:r w:rsidR="00B0496E">
        <w:t>of the judgment of foreclosure or the deed in lieu of foreclosure</w:t>
      </w:r>
      <w:r w:rsidR="006C1814">
        <w:t>; and</w:t>
      </w:r>
    </w:p>
    <w:p w14:paraId="5AA45CF6" w14:textId="4C55E484" w:rsidR="006C1814" w:rsidRDefault="00C4693F" w:rsidP="00C4693F">
      <w:pPr>
        <w:ind w:left="720" w:hanging="720"/>
      </w:pPr>
      <w:r>
        <w:fldChar w:fldCharType="begin">
          <w:ffData>
            <w:name w:val="Check28"/>
            <w:enabled/>
            <w:calcOnExit w:val="0"/>
            <w:checkBox>
              <w:sizeAuto/>
              <w:default w:val="0"/>
            </w:checkBox>
          </w:ffData>
        </w:fldChar>
      </w:r>
      <w:bookmarkStart w:id="33" w:name="Check28"/>
      <w:r>
        <w:instrText xml:space="preserve"> FORMCHECKBOX </w:instrText>
      </w:r>
      <w:r w:rsidR="00FB3676">
        <w:fldChar w:fldCharType="separate"/>
      </w:r>
      <w:r>
        <w:fldChar w:fldCharType="end"/>
      </w:r>
      <w:bookmarkEnd w:id="33"/>
      <w:r>
        <w:tab/>
        <w:t>By checking this box, the applicant certifies t</w:t>
      </w:r>
      <w:r w:rsidR="00B0496E">
        <w:t xml:space="preserve">hat no general partner, voting member, property manager, developer, principal, or related party of any of the foregoing owned or managed any interest in a LIHTC project when the project was determined by the Tax Credit Committee (Committee) to have exhibited a pattern of uncorrected </w:t>
      </w:r>
      <w:r w:rsidR="00CD6E55">
        <w:t>non</w:t>
      </w:r>
      <w:r w:rsidR="00B0496E">
        <w:t>compliance within the past three years, measured from the date that all issues of noncompliance were deemed corrected by the Committee.</w:t>
      </w:r>
    </w:p>
    <w:p w14:paraId="462CE232" w14:textId="77777777" w:rsidR="00B0496E" w:rsidRPr="006C1814" w:rsidRDefault="00B0496E" w:rsidP="00B0496E"/>
    <w:p w14:paraId="06AB6CC5" w14:textId="59BE4724" w:rsidR="00B22112" w:rsidRDefault="00F04F5D" w:rsidP="00B22112">
      <w:pPr>
        <w:pStyle w:val="Heading2"/>
      </w:pPr>
      <w:bookmarkStart w:id="34" w:name="_Toc230012670"/>
      <w:r>
        <w:t>Minimum Design Standards</w:t>
      </w:r>
      <w:bookmarkEnd w:id="34"/>
    </w:p>
    <w:p w14:paraId="6F80D99D" w14:textId="7F08AFD4" w:rsidR="00B67ADB" w:rsidRDefault="0092471C" w:rsidP="00B67ADB">
      <w:r>
        <w:t xml:space="preserve">The applicant must pledge that the project will satisfy </w:t>
      </w:r>
      <w:r w:rsidR="00E20BA2">
        <w:t xml:space="preserve">all of </w:t>
      </w:r>
      <w:r>
        <w:t>the following minimum design standards:</w:t>
      </w:r>
    </w:p>
    <w:p w14:paraId="15C19CEF" w14:textId="0E9A6DCF" w:rsidR="0092471C" w:rsidRDefault="00C4693F" w:rsidP="00C4693F">
      <w:pPr>
        <w:ind w:left="720" w:hanging="720"/>
      </w:pPr>
      <w:r>
        <w:fldChar w:fldCharType="begin">
          <w:ffData>
            <w:name w:val="Check29"/>
            <w:enabled/>
            <w:calcOnExit w:val="0"/>
            <w:checkBox>
              <w:sizeAuto/>
              <w:default w:val="0"/>
            </w:checkBox>
          </w:ffData>
        </w:fldChar>
      </w:r>
      <w:bookmarkStart w:id="35" w:name="Check29"/>
      <w:r>
        <w:instrText xml:space="preserve"> FORMCHECKBOX </w:instrText>
      </w:r>
      <w:r w:rsidR="00FB3676">
        <w:fldChar w:fldCharType="separate"/>
      </w:r>
      <w:r>
        <w:fldChar w:fldCharType="end"/>
      </w:r>
      <w:bookmarkEnd w:id="35"/>
      <w:r>
        <w:tab/>
        <w:t>By checking this box, the applicant commits to providing h</w:t>
      </w:r>
      <w:r w:rsidR="0092471C" w:rsidRPr="0092471C">
        <w:t xml:space="preserve">igh-speed internet in all common areas at no charge to tenants and </w:t>
      </w:r>
      <w:r>
        <w:t xml:space="preserve">to installing </w:t>
      </w:r>
      <w:r w:rsidR="0092471C" w:rsidRPr="0092471C">
        <w:t>high-speed internet hookup capability in all units;</w:t>
      </w:r>
    </w:p>
    <w:p w14:paraId="14BF0F2C" w14:textId="4295D057" w:rsidR="0092471C" w:rsidRDefault="00C4693F" w:rsidP="00C4693F">
      <w:pPr>
        <w:ind w:left="720" w:hanging="720"/>
      </w:pPr>
      <w:r>
        <w:fldChar w:fldCharType="begin">
          <w:ffData>
            <w:name w:val="Check30"/>
            <w:enabled/>
            <w:calcOnExit w:val="0"/>
            <w:checkBox>
              <w:sizeAuto/>
              <w:default w:val="0"/>
            </w:checkBox>
          </w:ffData>
        </w:fldChar>
      </w:r>
      <w:bookmarkStart w:id="36" w:name="Check30"/>
      <w:r>
        <w:instrText xml:space="preserve"> FORMCHECKBOX </w:instrText>
      </w:r>
      <w:r w:rsidR="00FB3676">
        <w:fldChar w:fldCharType="separate"/>
      </w:r>
      <w:r>
        <w:fldChar w:fldCharType="end"/>
      </w:r>
      <w:bookmarkEnd w:id="36"/>
      <w:r>
        <w:tab/>
        <w:t>By checking this box, the applicant pledges that a</w:t>
      </w:r>
      <w:r w:rsidR="0092471C" w:rsidRPr="0092471C">
        <w:t xml:space="preserve">ll units </w:t>
      </w:r>
      <w:r w:rsidR="0092471C">
        <w:t>will</w:t>
      </w:r>
      <w:r w:rsidR="0092471C" w:rsidRPr="0092471C">
        <w:t xml:space="preserve"> have air conditioning. </w:t>
      </w:r>
      <w:r w:rsidR="0092471C">
        <w:t>For New Construction projects, i</w:t>
      </w:r>
      <w:r w:rsidR="0092471C" w:rsidRPr="0092471C">
        <w:t xml:space="preserve">ndividual window units </w:t>
      </w:r>
      <w:r w:rsidR="0092471C">
        <w:t>will</w:t>
      </w:r>
      <w:r w:rsidR="0092471C" w:rsidRPr="0092471C">
        <w:t xml:space="preserve"> not be used to satisfy this requirement. For </w:t>
      </w:r>
      <w:r w:rsidR="0092471C">
        <w:t>P</w:t>
      </w:r>
      <w:r w:rsidR="0092471C" w:rsidRPr="0092471C">
        <w:t xml:space="preserve">reservation projects, individual window units </w:t>
      </w:r>
      <w:r w:rsidR="0092471C">
        <w:t>will</w:t>
      </w:r>
      <w:r w:rsidR="0092471C" w:rsidRPr="0092471C">
        <w:t xml:space="preserve"> be installed only if they are ENERGY STAR-labeled. Packaged terminal heat pumps </w:t>
      </w:r>
      <w:r w:rsidR="0092471C">
        <w:t>will</w:t>
      </w:r>
      <w:r w:rsidR="0092471C" w:rsidRPr="0092471C">
        <w:t xml:space="preserve"> be inverter-driven and designed to meet an ambient winter design temperature of 10 degrees Fahrenheit without electric resistance backup; and</w:t>
      </w:r>
    </w:p>
    <w:p w14:paraId="1E13C2BF" w14:textId="72AACCD2" w:rsidR="0092471C" w:rsidRDefault="00C4693F" w:rsidP="00C4693F">
      <w:pPr>
        <w:ind w:left="720" w:hanging="720"/>
      </w:pPr>
      <w:r>
        <w:fldChar w:fldCharType="begin">
          <w:ffData>
            <w:name w:val="Check31"/>
            <w:enabled/>
            <w:calcOnExit w:val="0"/>
            <w:checkBox>
              <w:sizeAuto/>
              <w:default w:val="0"/>
            </w:checkBox>
          </w:ffData>
        </w:fldChar>
      </w:r>
      <w:bookmarkStart w:id="37" w:name="Check31"/>
      <w:r>
        <w:instrText xml:space="preserve"> FORMCHECKBOX </w:instrText>
      </w:r>
      <w:r w:rsidR="00FB3676">
        <w:fldChar w:fldCharType="separate"/>
      </w:r>
      <w:r>
        <w:fldChar w:fldCharType="end"/>
      </w:r>
      <w:bookmarkEnd w:id="37"/>
      <w:r>
        <w:tab/>
        <w:t>By checking this box, the applicant pledges that a</w:t>
      </w:r>
      <w:r w:rsidR="0092471C" w:rsidRPr="0092471C">
        <w:t xml:space="preserve">ll bedrooms </w:t>
      </w:r>
      <w:r w:rsidR="0092471C">
        <w:t>will</w:t>
      </w:r>
      <w:r w:rsidR="0092471C" w:rsidRPr="0092471C">
        <w:t xml:space="preserve"> have at least one window with access to natural light</w:t>
      </w:r>
      <w:r w:rsidR="0092471C">
        <w:t>.</w:t>
      </w:r>
      <w:r w:rsidR="0092471C" w:rsidRPr="0092471C">
        <w:t xml:space="preserve"> Bedroom window sizes </w:t>
      </w:r>
      <w:r w:rsidR="0092471C">
        <w:t>will</w:t>
      </w:r>
      <w:r w:rsidR="0092471C" w:rsidRPr="0092471C">
        <w:t xml:space="preserve"> meet all code requirements. Adaptive reuse projects may be exempted from this requirement only with prior approval from NJHMFA.</w:t>
      </w:r>
    </w:p>
    <w:p w14:paraId="2F6506D6" w14:textId="77777777" w:rsidR="0092471C" w:rsidRPr="00B67ADB" w:rsidRDefault="0092471C" w:rsidP="0092471C"/>
    <w:p w14:paraId="75478821" w14:textId="0E34556A" w:rsidR="00B22112" w:rsidRDefault="00B22112" w:rsidP="00B22112">
      <w:pPr>
        <w:pStyle w:val="Heading2"/>
      </w:pPr>
      <w:bookmarkStart w:id="38" w:name="_Toc230012671"/>
      <w:r>
        <w:t>Waiver of Qualified Contract Process</w:t>
      </w:r>
      <w:bookmarkEnd w:id="38"/>
    </w:p>
    <w:p w14:paraId="7340AA75" w14:textId="671432A0" w:rsidR="00B67ADB" w:rsidRDefault="00A52BAF" w:rsidP="00A52BAF">
      <w:pPr>
        <w:ind w:left="720" w:hanging="720"/>
      </w:pPr>
      <w:r>
        <w:fldChar w:fldCharType="begin">
          <w:ffData>
            <w:name w:val="Check32"/>
            <w:enabled/>
            <w:calcOnExit w:val="0"/>
            <w:checkBox>
              <w:sizeAuto/>
              <w:default w:val="0"/>
            </w:checkBox>
          </w:ffData>
        </w:fldChar>
      </w:r>
      <w:bookmarkStart w:id="39" w:name="Check32"/>
      <w:r>
        <w:instrText xml:space="preserve"> FORMCHECKBOX </w:instrText>
      </w:r>
      <w:r w:rsidR="00FB3676">
        <w:fldChar w:fldCharType="separate"/>
      </w:r>
      <w:r>
        <w:fldChar w:fldCharType="end"/>
      </w:r>
      <w:bookmarkEnd w:id="39"/>
      <w:r>
        <w:tab/>
        <w:t>By checking this box, t</w:t>
      </w:r>
      <w:r w:rsidR="0092471C">
        <w:t>he applicant</w:t>
      </w:r>
      <w:r>
        <w:t xml:space="preserve"> </w:t>
      </w:r>
      <w:r w:rsidR="0092471C">
        <w:t>acknowledge</w:t>
      </w:r>
      <w:r>
        <w:t>s</w:t>
      </w:r>
      <w:r w:rsidR="0092471C">
        <w:t xml:space="preserve"> that submi</w:t>
      </w:r>
      <w:r w:rsidR="00654C10">
        <w:t>ssion of</w:t>
      </w:r>
      <w:r w:rsidR="0092471C">
        <w:t xml:space="preserve"> the application waive</w:t>
      </w:r>
      <w:r w:rsidR="00654C10">
        <w:t>s</w:t>
      </w:r>
      <w:r w:rsidR="0092471C">
        <w:t xml:space="preserve"> the right</w:t>
      </w:r>
      <w:r w:rsidR="00654C10">
        <w:t xml:space="preserve"> of the applicant</w:t>
      </w:r>
      <w:r w:rsidR="0092471C">
        <w:t xml:space="preserve"> to </w:t>
      </w:r>
      <w:r w:rsidR="0092471C" w:rsidRPr="0092471C">
        <w:t>request to terminate the extended use period through the qualified contract (QC) process pursuant to Sections 42(h)(6)(E), (F), and (I) of the Code. This waiver will be included in the extended use agreement described at N.J.A.C. 5:80-33.29.</w:t>
      </w:r>
    </w:p>
    <w:p w14:paraId="6D6B83C3" w14:textId="0E64C25D" w:rsidR="00654C10" w:rsidRDefault="00654C10">
      <w:r>
        <w:br w:type="page"/>
      </w:r>
    </w:p>
    <w:p w14:paraId="678A3988" w14:textId="28AB2672" w:rsidR="006C1814" w:rsidRDefault="006C1814" w:rsidP="00B22112">
      <w:pPr>
        <w:pStyle w:val="Heading2"/>
      </w:pPr>
      <w:bookmarkStart w:id="40" w:name="_Toc230012672"/>
      <w:r>
        <w:lastRenderedPageBreak/>
        <w:t>Preserving the Right of First Refusal</w:t>
      </w:r>
      <w:bookmarkEnd w:id="40"/>
    </w:p>
    <w:p w14:paraId="064481CD" w14:textId="435488FD" w:rsidR="006C1814" w:rsidRDefault="00654C10" w:rsidP="006C1814">
      <w:r>
        <w:t>By checking all of the following boxes, t</w:t>
      </w:r>
      <w:r w:rsidR="00E6483C">
        <w:t xml:space="preserve">he applicant </w:t>
      </w:r>
      <w:r>
        <w:t>a</w:t>
      </w:r>
      <w:r w:rsidR="00E6483C">
        <w:t>cknowledge</w:t>
      </w:r>
      <w:r>
        <w:t>s</w:t>
      </w:r>
      <w:r w:rsidR="00E6483C">
        <w:t xml:space="preserve"> that:</w:t>
      </w:r>
    </w:p>
    <w:p w14:paraId="4B462F39" w14:textId="472AFF22" w:rsidR="00E6483C" w:rsidRDefault="00654C10" w:rsidP="00654C10">
      <w:pPr>
        <w:ind w:left="720" w:hanging="720"/>
      </w:pPr>
      <w:r>
        <w:fldChar w:fldCharType="begin">
          <w:ffData>
            <w:name w:val="Check33"/>
            <w:enabled/>
            <w:calcOnExit w:val="0"/>
            <w:checkBox>
              <w:sizeAuto/>
              <w:default w:val="0"/>
            </w:checkBox>
          </w:ffData>
        </w:fldChar>
      </w:r>
      <w:bookmarkStart w:id="41" w:name="Check33"/>
      <w:r>
        <w:instrText xml:space="preserve"> FORMCHECKBOX </w:instrText>
      </w:r>
      <w:r w:rsidR="00FB3676">
        <w:fldChar w:fldCharType="separate"/>
      </w:r>
      <w:r>
        <w:fldChar w:fldCharType="end"/>
      </w:r>
      <w:bookmarkEnd w:id="41"/>
      <w:r>
        <w:tab/>
      </w:r>
      <w:r w:rsidR="00E6483C">
        <w:t xml:space="preserve">NJHMFA is </w:t>
      </w:r>
      <w:r w:rsidR="00E6483C" w:rsidRPr="00E6483C">
        <w:t>committed to the long-term affordability of developments for the benefit of tenants and full compliance by applicants and principals with the provisions of the Code, the extended use agreement, and other program requirements</w:t>
      </w:r>
      <w:r w:rsidR="00E6483C">
        <w:t>;</w:t>
      </w:r>
    </w:p>
    <w:p w14:paraId="66BE2CC1" w14:textId="0710C43F" w:rsidR="00E6483C" w:rsidRDefault="00654C10" w:rsidP="00654C10">
      <w:pPr>
        <w:ind w:left="720" w:hanging="720"/>
      </w:pPr>
      <w:r>
        <w:fldChar w:fldCharType="begin">
          <w:ffData>
            <w:name w:val="Check34"/>
            <w:enabled/>
            <w:calcOnExit w:val="0"/>
            <w:checkBox>
              <w:sizeAuto/>
              <w:default w:val="0"/>
            </w:checkBox>
          </w:ffData>
        </w:fldChar>
      </w:r>
      <w:bookmarkStart w:id="42" w:name="Check34"/>
      <w:r>
        <w:instrText xml:space="preserve"> FORMCHECKBOX </w:instrText>
      </w:r>
      <w:r w:rsidR="00FB3676">
        <w:fldChar w:fldCharType="separate"/>
      </w:r>
      <w:r>
        <w:fldChar w:fldCharType="end"/>
      </w:r>
      <w:bookmarkEnd w:id="42"/>
      <w:r>
        <w:tab/>
      </w:r>
      <w:r w:rsidR="00E6483C" w:rsidRPr="00E6483C">
        <w:t>NJHMFA similarly has an interest in preserving the right of first refusal (ROFR) by a qualified nonprofit organization at the close of the compliance period, as authorized at Section 42(</w:t>
      </w:r>
      <w:proofErr w:type="spellStart"/>
      <w:r w:rsidR="00E6483C" w:rsidRPr="00E6483C">
        <w:t>i</w:t>
      </w:r>
      <w:proofErr w:type="spellEnd"/>
      <w:r w:rsidR="00E6483C" w:rsidRPr="00E6483C">
        <w:t>)(7) of the Code</w:t>
      </w:r>
      <w:r w:rsidR="00E6483C">
        <w:t>; and</w:t>
      </w:r>
    </w:p>
    <w:p w14:paraId="21883EC1" w14:textId="5D9A8047" w:rsidR="00E6483C" w:rsidRDefault="00654C10" w:rsidP="00654C10">
      <w:pPr>
        <w:ind w:left="720" w:hanging="720"/>
      </w:pPr>
      <w:r>
        <w:fldChar w:fldCharType="begin">
          <w:ffData>
            <w:name w:val="Check35"/>
            <w:enabled/>
            <w:calcOnExit w:val="0"/>
            <w:checkBox>
              <w:sizeAuto/>
              <w:default w:val="0"/>
            </w:checkBox>
          </w:ffData>
        </w:fldChar>
      </w:r>
      <w:bookmarkStart w:id="43" w:name="Check35"/>
      <w:r>
        <w:instrText xml:space="preserve"> FORMCHECKBOX </w:instrText>
      </w:r>
      <w:r w:rsidR="00FB3676">
        <w:fldChar w:fldCharType="separate"/>
      </w:r>
      <w:r>
        <w:fldChar w:fldCharType="end"/>
      </w:r>
      <w:bookmarkEnd w:id="43"/>
      <w:r>
        <w:tab/>
      </w:r>
      <w:r w:rsidR="00E6483C" w:rsidRPr="00E6483C">
        <w:t xml:space="preserve">NJHMFA reserves the right to require any or all of the following from </w:t>
      </w:r>
      <w:r w:rsidR="00245E17">
        <w:t xml:space="preserve">the </w:t>
      </w:r>
      <w:r w:rsidR="00E6483C" w:rsidRPr="00E6483C">
        <w:t>applicant, as applicable:</w:t>
      </w:r>
    </w:p>
    <w:p w14:paraId="080CF069" w14:textId="7A55C37C" w:rsidR="00E6483C" w:rsidRDefault="00245E17" w:rsidP="00E20BA2">
      <w:pPr>
        <w:pStyle w:val="ListParagraph"/>
        <w:numPr>
          <w:ilvl w:val="0"/>
          <w:numId w:val="77"/>
        </w:numPr>
      </w:pPr>
      <w:r w:rsidRPr="00245E17">
        <w:t>Provisions to be included in the applicant’s organizational documents limiting transfers of partnership or member interests or other actions detrimental to the continued provision of affordable housing;</w:t>
      </w:r>
    </w:p>
    <w:p w14:paraId="2E741A10" w14:textId="7F8AB58C" w:rsidR="00245E17" w:rsidRDefault="00245E17" w:rsidP="00E20BA2">
      <w:pPr>
        <w:pStyle w:val="ListParagraph"/>
        <w:numPr>
          <w:ilvl w:val="0"/>
          <w:numId w:val="77"/>
        </w:numPr>
      </w:pPr>
      <w:r w:rsidRPr="00245E17">
        <w:t>Terms in the extended use agreement requiring notice and approval by NJHMFA of transfers of partnership or member interests;</w:t>
      </w:r>
    </w:p>
    <w:p w14:paraId="336CF85C" w14:textId="17BCA8F0" w:rsidR="00245E17" w:rsidRDefault="00245E17" w:rsidP="00E20BA2">
      <w:pPr>
        <w:pStyle w:val="ListParagraph"/>
        <w:numPr>
          <w:ilvl w:val="0"/>
          <w:numId w:val="77"/>
        </w:numPr>
      </w:pPr>
      <w:r w:rsidRPr="00245E17">
        <w:t>A designated form of ROFR document as produced by NJHMFA;</w:t>
      </w:r>
    </w:p>
    <w:p w14:paraId="505A4E76" w14:textId="7C906361" w:rsidR="00245E17" w:rsidRDefault="00245E17" w:rsidP="00E20BA2">
      <w:pPr>
        <w:pStyle w:val="ListParagraph"/>
        <w:numPr>
          <w:ilvl w:val="0"/>
          <w:numId w:val="77"/>
        </w:numPr>
      </w:pPr>
      <w:r w:rsidRPr="00245E17">
        <w:t>An ROFR agreement, including specific language that acknowledges the right of the qualified nonprofit organization to exercise the ROFR, provides that consent to execution of the ROFR may not be unreasonably withheld by the investor, and provides that the ROFR is not conditioned upon receipt by the owner of a bona fide offer from any party, to be reviewed by NJHMFA prior to issuance of IRS Form 8609;</w:t>
      </w:r>
    </w:p>
    <w:p w14:paraId="6B5A4689" w14:textId="4A8DC764" w:rsidR="00245E17" w:rsidRDefault="00245E17" w:rsidP="00E20BA2">
      <w:pPr>
        <w:pStyle w:val="ListParagraph"/>
        <w:numPr>
          <w:ilvl w:val="0"/>
          <w:numId w:val="77"/>
        </w:numPr>
      </w:pPr>
      <w:r w:rsidRPr="00245E17">
        <w:t>A letter of intent from a tax credit investor that clearly grants to a qualified nonprofit organization a right of first refusal to purchase the project for not less than the minimum purchase price as set forth at Section 42(</w:t>
      </w:r>
      <w:proofErr w:type="spellStart"/>
      <w:r w:rsidRPr="00245E17">
        <w:t>i</w:t>
      </w:r>
      <w:proofErr w:type="spellEnd"/>
      <w:r w:rsidRPr="00245E17">
        <w:t>)(7)(B) of the Code following the expiration of the tax credit compliance period;</w:t>
      </w:r>
    </w:p>
    <w:p w14:paraId="34634B89" w14:textId="44CE592E" w:rsidR="00245E17" w:rsidRDefault="00245E17" w:rsidP="00E20BA2">
      <w:pPr>
        <w:pStyle w:val="ListParagraph"/>
        <w:numPr>
          <w:ilvl w:val="0"/>
          <w:numId w:val="77"/>
        </w:numPr>
      </w:pPr>
      <w:r w:rsidRPr="00245E17">
        <w:t>Written acknowledgement from any or all potential investors or syndicators that they have never sought to undermine the exercise of a right of first refusal or option to purchase in prior transactions, that they understand that return on investment is primarily in the form of tax benefits and not dependent on the project’s appreciation in value, and that the ROFR as authorized at Section 42 of the Code is distinct from a right of first refusal pursuant to state statutory, court-interpreted, or common law;</w:t>
      </w:r>
    </w:p>
    <w:p w14:paraId="5134182C" w14:textId="24B0B498" w:rsidR="00245E17" w:rsidRDefault="00245E17" w:rsidP="00E20BA2">
      <w:pPr>
        <w:pStyle w:val="ListParagraph"/>
        <w:numPr>
          <w:ilvl w:val="0"/>
          <w:numId w:val="77"/>
        </w:numPr>
      </w:pPr>
      <w:r w:rsidRPr="00245E17">
        <w:t>Negative points for applications involving sponsors, investors, syndicators, or lenders that, in NJHMFA’s determination, have demonstrated a history of conduct detrimental to long-term compliance with extended use agreements, whether in New Jersey or another jurisdiction, and the provision of affordable tax credit units;</w:t>
      </w:r>
    </w:p>
    <w:p w14:paraId="0AF8BE0D" w14:textId="4E239DAB" w:rsidR="00245E17" w:rsidRDefault="00245E17" w:rsidP="00E20BA2">
      <w:pPr>
        <w:pStyle w:val="ListParagraph"/>
        <w:numPr>
          <w:ilvl w:val="0"/>
          <w:numId w:val="77"/>
        </w:numPr>
      </w:pPr>
      <w:r w:rsidRPr="00245E17">
        <w:t>Provisions to implement any amendments to the Code or any future Federal or State legislation, rules, or administrative guidance; and</w:t>
      </w:r>
    </w:p>
    <w:p w14:paraId="5665F2EE" w14:textId="754051B3" w:rsidR="00245E17" w:rsidRDefault="00245E17" w:rsidP="00E20BA2">
      <w:pPr>
        <w:pStyle w:val="ListParagraph"/>
        <w:numPr>
          <w:ilvl w:val="0"/>
          <w:numId w:val="77"/>
        </w:numPr>
      </w:pPr>
      <w:r w:rsidRPr="00245E17">
        <w:t xml:space="preserve">The decision whether to institute, and the terms of any such requirements shall be made by NJHMFA as reasonably determined to be necessary or appropriate to achieve the goals stated at </w:t>
      </w:r>
      <w:r>
        <w:t>N.J.A.C. 5:80-33.12(c)21</w:t>
      </w:r>
      <w:r w:rsidRPr="00245E17">
        <w:t xml:space="preserve"> and in the best interests of the QAP.</w:t>
      </w:r>
    </w:p>
    <w:p w14:paraId="5674735C" w14:textId="1C9FC834" w:rsidR="00761BEF" w:rsidRDefault="00761BEF">
      <w:r>
        <w:br w:type="page"/>
      </w:r>
    </w:p>
    <w:p w14:paraId="7C07AD83" w14:textId="410C7256" w:rsidR="003D1C00" w:rsidRDefault="003D1C00" w:rsidP="00B22112">
      <w:pPr>
        <w:pStyle w:val="Heading2"/>
      </w:pPr>
      <w:bookmarkStart w:id="44" w:name="_Toc230012673"/>
      <w:r>
        <w:lastRenderedPageBreak/>
        <w:t>Inclusionary Review</w:t>
      </w:r>
      <w:bookmarkEnd w:id="44"/>
    </w:p>
    <w:p w14:paraId="1FE18A2A" w14:textId="77777777" w:rsidR="003D1C00" w:rsidRDefault="003D1C00" w:rsidP="003D1C00">
      <w:r>
        <w:t xml:space="preserve">For a full description of the inclusionary review process, visit: </w:t>
      </w:r>
      <w:hyperlink r:id="rId18" w:history="1">
        <w:r w:rsidRPr="0001174F">
          <w:rPr>
            <w:rStyle w:val="Hyperlink"/>
          </w:rPr>
          <w:t>https://www.nj.gov/dca/hmfa/developers/lihtc/policy/</w:t>
        </w:r>
      </w:hyperlink>
    </w:p>
    <w:p w14:paraId="2A7E22AF" w14:textId="77777777" w:rsidR="003D1C00" w:rsidRDefault="003D1C00" w:rsidP="003D1C00">
      <w:r>
        <w:t>The following two types of projects must undergo an inclusionary review in order to receive LIHTC:</w:t>
      </w:r>
    </w:p>
    <w:p w14:paraId="44055A9B" w14:textId="77777777" w:rsidR="003D1C00" w:rsidRDefault="003D1C00" w:rsidP="009647BF">
      <w:pPr>
        <w:pStyle w:val="ListParagraph"/>
        <w:numPr>
          <w:ilvl w:val="0"/>
          <w:numId w:val="30"/>
        </w:numPr>
      </w:pPr>
      <w:r>
        <w:t>Projects involving the development of new affordable units, including:</w:t>
      </w:r>
    </w:p>
    <w:p w14:paraId="1C71CDA5" w14:textId="77777777" w:rsidR="003D1C00" w:rsidRDefault="003D1C00" w:rsidP="009647BF">
      <w:pPr>
        <w:pStyle w:val="ListParagraph"/>
        <w:numPr>
          <w:ilvl w:val="1"/>
          <w:numId w:val="30"/>
        </w:numPr>
      </w:pPr>
      <w:r>
        <w:t>100% affordable developments;</w:t>
      </w:r>
    </w:p>
    <w:p w14:paraId="54EAE48B" w14:textId="77777777" w:rsidR="003D1C00" w:rsidRDefault="003D1C00" w:rsidP="009647BF">
      <w:pPr>
        <w:pStyle w:val="ListParagraph"/>
        <w:numPr>
          <w:ilvl w:val="1"/>
          <w:numId w:val="30"/>
        </w:numPr>
      </w:pPr>
      <w:r>
        <w:t>Mixed-income developments; and</w:t>
      </w:r>
    </w:p>
    <w:p w14:paraId="524E8BC6" w14:textId="77777777" w:rsidR="003D1C00" w:rsidRDefault="003D1C00" w:rsidP="009647BF">
      <w:pPr>
        <w:pStyle w:val="ListParagraph"/>
        <w:numPr>
          <w:ilvl w:val="1"/>
          <w:numId w:val="30"/>
        </w:numPr>
      </w:pPr>
      <w:r>
        <w:t>Mixed-use developments.</w:t>
      </w:r>
    </w:p>
    <w:p w14:paraId="2A551E9F" w14:textId="77777777" w:rsidR="003D1C00" w:rsidRDefault="003D1C00" w:rsidP="009647BF">
      <w:pPr>
        <w:pStyle w:val="ListParagraph"/>
        <w:numPr>
          <w:ilvl w:val="0"/>
          <w:numId w:val="30"/>
        </w:numPr>
      </w:pPr>
      <w:r>
        <w:t>Projects involving the gutting and rehabilitation of one or more buildings, or involving the movement of interior walls with the addition of new units.</w:t>
      </w:r>
    </w:p>
    <w:p w14:paraId="1E847EA0" w14:textId="77777777" w:rsidR="003D1C00" w:rsidRDefault="003D1C00" w:rsidP="003D1C00">
      <w:r>
        <w:t>Projects that do not involve the development of new affordable units (i.e., rehabilitation-only) are exempt from the inclusionary review requirement.</w:t>
      </w:r>
    </w:p>
    <w:p w14:paraId="5BFA70D4" w14:textId="77777777" w:rsidR="003D1C00" w:rsidRDefault="003D1C00" w:rsidP="003D1C00">
      <w:r>
        <w:t>If the project is subject to the inclusionary review requirement, submit one of the following:</w:t>
      </w:r>
    </w:p>
    <w:p w14:paraId="31C75167" w14:textId="77777777" w:rsidR="003D1C00" w:rsidRDefault="003D1C00" w:rsidP="009647BF">
      <w:pPr>
        <w:pStyle w:val="ListParagraph"/>
        <w:numPr>
          <w:ilvl w:val="0"/>
          <w:numId w:val="31"/>
        </w:numPr>
      </w:pPr>
      <w:r>
        <w:t>Proof that a complete inclusionary review package has already been submitted to the Agency;</w:t>
      </w:r>
    </w:p>
    <w:p w14:paraId="468AB4D5" w14:textId="77777777" w:rsidR="003D1C00" w:rsidRDefault="003D1C00" w:rsidP="009647BF">
      <w:pPr>
        <w:pStyle w:val="ListParagraph"/>
        <w:numPr>
          <w:ilvl w:val="0"/>
          <w:numId w:val="31"/>
        </w:numPr>
      </w:pPr>
      <w:r>
        <w:t>Proof that the inclusionary review process has already been completed; or</w:t>
      </w:r>
    </w:p>
    <w:p w14:paraId="5248361B" w14:textId="77777777" w:rsidR="003D1C00" w:rsidRDefault="003D1C00" w:rsidP="009647BF">
      <w:pPr>
        <w:pStyle w:val="ListParagraph"/>
        <w:numPr>
          <w:ilvl w:val="0"/>
          <w:numId w:val="31"/>
        </w:numPr>
      </w:pPr>
      <w:r>
        <w:t>A complete inclusionary review package for Step #1: Inclusionary Determination. For details, see:</w:t>
      </w:r>
      <w:r>
        <w:br/>
      </w:r>
      <w:hyperlink r:id="rId19" w:history="1">
        <w:r w:rsidRPr="0001174F">
          <w:rPr>
            <w:rStyle w:val="Hyperlink"/>
          </w:rPr>
          <w:t>https://www.nj.gov/dca/hmfa/developers/lihtc/policy/</w:t>
        </w:r>
      </w:hyperlink>
      <w:r>
        <w:t>.</w:t>
      </w:r>
    </w:p>
    <w:p w14:paraId="375084C6" w14:textId="77777777" w:rsidR="003D1C00" w:rsidRDefault="003D1C00" w:rsidP="003D1C00">
      <w:r>
        <w:t>NOTES:</w:t>
      </w:r>
    </w:p>
    <w:p w14:paraId="2702670A" w14:textId="77777777" w:rsidR="003D1C00" w:rsidRDefault="003D1C00" w:rsidP="009647BF">
      <w:pPr>
        <w:pStyle w:val="ListParagraph"/>
        <w:numPr>
          <w:ilvl w:val="0"/>
          <w:numId w:val="32"/>
        </w:numPr>
      </w:pPr>
      <w:r>
        <w:t>The Step #1 requirements are not an exhaustive list. T</w:t>
      </w:r>
      <w:r w:rsidRPr="00CB6C88">
        <w:t>he Agency reserves the right to request additional information</w:t>
      </w:r>
      <w:r>
        <w:t>.</w:t>
      </w:r>
    </w:p>
    <w:p w14:paraId="2237AC92" w14:textId="77777777" w:rsidR="003D1C00" w:rsidRPr="00044531" w:rsidRDefault="003D1C00" w:rsidP="009647BF">
      <w:pPr>
        <w:pStyle w:val="ListParagraph"/>
        <w:numPr>
          <w:ilvl w:val="0"/>
          <w:numId w:val="32"/>
        </w:numPr>
      </w:pPr>
      <w:r w:rsidRPr="00044531">
        <w:rPr>
          <w:b/>
          <w:bCs/>
        </w:rPr>
        <w:t xml:space="preserve">Projects with any number of market-rate units are definitionally considered to be inclusionary and must complete both </w:t>
      </w:r>
      <w:r>
        <w:rPr>
          <w:b/>
          <w:bCs/>
        </w:rPr>
        <w:t>parts of the inclusionary review process—</w:t>
      </w:r>
      <w:r w:rsidRPr="00044531">
        <w:rPr>
          <w:b/>
          <w:bCs/>
        </w:rPr>
        <w:t>Step #1</w:t>
      </w:r>
      <w:r>
        <w:rPr>
          <w:b/>
          <w:bCs/>
        </w:rPr>
        <w:t>: Inclusionary Determination</w:t>
      </w:r>
      <w:r w:rsidRPr="00044531">
        <w:rPr>
          <w:b/>
          <w:bCs/>
        </w:rPr>
        <w:t xml:space="preserve"> and Step #2</w:t>
      </w:r>
      <w:r>
        <w:rPr>
          <w:b/>
          <w:bCs/>
        </w:rPr>
        <w:t>: Need Determination</w:t>
      </w:r>
      <w:r w:rsidRPr="00044531">
        <w:rPr>
          <w:b/>
          <w:bCs/>
        </w:rPr>
        <w:t>.</w:t>
      </w:r>
    </w:p>
    <w:p w14:paraId="4CE430E2" w14:textId="77777777" w:rsidR="003D1C00" w:rsidRDefault="003D1C00" w:rsidP="009647BF">
      <w:pPr>
        <w:pStyle w:val="ListParagraph"/>
        <w:numPr>
          <w:ilvl w:val="0"/>
          <w:numId w:val="32"/>
        </w:numPr>
      </w:pPr>
      <w:r w:rsidRPr="00044531">
        <w:t>Whether a 100% affordable project with a commercial component must complete Step #2 will be determined on a case-by-case basis.</w:t>
      </w:r>
    </w:p>
    <w:p w14:paraId="693431C1" w14:textId="77777777" w:rsidR="003D1C00" w:rsidRDefault="003D1C00" w:rsidP="009647BF">
      <w:pPr>
        <w:pStyle w:val="ListParagraph"/>
        <w:numPr>
          <w:ilvl w:val="0"/>
          <w:numId w:val="32"/>
        </w:numPr>
      </w:pPr>
      <w:r>
        <w:t>In deciding how early to submit the inclusionary review package, applicants are advised to take into consideration that the determination of eligibility for LIHTC is based on the information provided by the applicant. If an applicant fails to supply all relevant information to the Agency, or if substantive changes to the project occur after submission of the inclusionary review package (unit count, financing plans, project costs, PILOT status, etc.), the Agency reserves the right to require a new inclusionary review, borne at the applicant’s expense, which may result in a new determination of eligibility for LIHTC.</w:t>
      </w:r>
    </w:p>
    <w:p w14:paraId="1265A949" w14:textId="77777777" w:rsidR="003D1C00" w:rsidRDefault="003D1C00" w:rsidP="009647BF">
      <w:pPr>
        <w:pStyle w:val="ListParagraph"/>
        <w:numPr>
          <w:ilvl w:val="0"/>
          <w:numId w:val="32"/>
        </w:numPr>
      </w:pPr>
      <w:r>
        <w:t>The Agency estimates that, for complete submissions, Step #1 will take approximately six to eight weeks and Step #2 will take approximately eight to twelve weeks. However, complex projects may take longer. No review will begin until all required documents have been submitted to the Agency in satisfactory form. Applicants should note that any delay may impact the project’s targeted Board meeting date or jeopardize an award of 9% LIHTC.</w:t>
      </w:r>
    </w:p>
    <w:p w14:paraId="530EF2D3" w14:textId="16FC7BFF" w:rsidR="00761BEF" w:rsidRDefault="00761BEF" w:rsidP="003E76F3"/>
    <w:p w14:paraId="2D75232F" w14:textId="7666EA29" w:rsidR="00B22112" w:rsidRDefault="00B22112" w:rsidP="00B22112">
      <w:pPr>
        <w:pStyle w:val="Heading1"/>
      </w:pPr>
      <w:bookmarkStart w:id="45" w:name="_Toc230012674"/>
      <w:r>
        <w:lastRenderedPageBreak/>
        <w:t>Part III — Point System and Set-Asides</w:t>
      </w:r>
      <w:bookmarkEnd w:id="45"/>
    </w:p>
    <w:p w14:paraId="271125B2" w14:textId="0E1E7318" w:rsidR="000333E7" w:rsidRPr="00937A51" w:rsidRDefault="000333E7" w:rsidP="00937A51">
      <w:pPr>
        <w:rPr>
          <w:b/>
          <w:bCs/>
        </w:rPr>
      </w:pPr>
      <w:r w:rsidRPr="00937A51">
        <w:rPr>
          <w:b/>
          <w:bCs/>
        </w:rPr>
        <w:t>Checklist</w:t>
      </w:r>
      <w:r w:rsidR="00937A51">
        <w:rPr>
          <w:b/>
          <w:bCs/>
        </w:rPr>
        <w:t>:</w:t>
      </w:r>
    </w:p>
    <w:tbl>
      <w:tblPr>
        <w:tblStyle w:val="TableGrid"/>
        <w:tblW w:w="10800" w:type="dxa"/>
        <w:tblLook w:val="04A0" w:firstRow="1" w:lastRow="0" w:firstColumn="1" w:lastColumn="0" w:noHBand="0" w:noVBand="1"/>
      </w:tblPr>
      <w:tblGrid>
        <w:gridCol w:w="8640"/>
        <w:gridCol w:w="2160"/>
      </w:tblGrid>
      <w:tr w:rsidR="000333E7" w14:paraId="76331613" w14:textId="77777777" w:rsidTr="0091381C">
        <w:trPr>
          <w:trHeight w:val="432"/>
        </w:trPr>
        <w:tc>
          <w:tcPr>
            <w:tcW w:w="8640" w:type="dxa"/>
            <w:vAlign w:val="center"/>
          </w:tcPr>
          <w:p w14:paraId="0D559E46" w14:textId="1B543B4F" w:rsidR="000333E7" w:rsidRPr="000333E7" w:rsidRDefault="004B4E72" w:rsidP="004B4E72">
            <w:pPr>
              <w:jc w:val="center"/>
              <w:rPr>
                <w:b/>
                <w:bCs/>
              </w:rPr>
            </w:pPr>
            <w:r>
              <w:rPr>
                <w:b/>
                <w:bCs/>
              </w:rPr>
              <w:t xml:space="preserve">Section A. </w:t>
            </w:r>
            <w:r w:rsidR="000333E7">
              <w:rPr>
                <w:b/>
                <w:bCs/>
              </w:rPr>
              <w:t>Point Worksheets</w:t>
            </w:r>
          </w:p>
        </w:tc>
        <w:tc>
          <w:tcPr>
            <w:tcW w:w="2160" w:type="dxa"/>
            <w:vAlign w:val="center"/>
          </w:tcPr>
          <w:p w14:paraId="28A5A837" w14:textId="74BC01AD" w:rsidR="000333E7" w:rsidRDefault="000333E7" w:rsidP="004B4E72">
            <w:pPr>
              <w:jc w:val="center"/>
              <w:rPr>
                <w:b/>
                <w:bCs/>
              </w:rPr>
            </w:pPr>
            <w:r>
              <w:rPr>
                <w:b/>
                <w:bCs/>
              </w:rPr>
              <w:t>Check one.</w:t>
            </w:r>
          </w:p>
        </w:tc>
      </w:tr>
      <w:tr w:rsidR="000333E7" w14:paraId="0445A691" w14:textId="77777777" w:rsidTr="002F20EF">
        <w:trPr>
          <w:trHeight w:val="245"/>
        </w:trPr>
        <w:tc>
          <w:tcPr>
            <w:tcW w:w="8640" w:type="dxa"/>
          </w:tcPr>
          <w:p w14:paraId="7B4AA6DA" w14:textId="5AF9170C" w:rsidR="000333E7" w:rsidRPr="000333E7" w:rsidRDefault="000333E7" w:rsidP="000333E7">
            <w:r>
              <w:t>1. Family Cycle</w:t>
            </w:r>
          </w:p>
        </w:tc>
        <w:tc>
          <w:tcPr>
            <w:tcW w:w="2160" w:type="dxa"/>
          </w:tcPr>
          <w:p w14:paraId="79EFEC35" w14:textId="77777777" w:rsidR="000333E7" w:rsidRPr="000333E7" w:rsidRDefault="000333E7" w:rsidP="000333E7">
            <w:pPr>
              <w:jc w:val="center"/>
            </w:pPr>
          </w:p>
        </w:tc>
      </w:tr>
      <w:tr w:rsidR="000333E7" w14:paraId="7B270E06" w14:textId="77777777" w:rsidTr="002F20EF">
        <w:trPr>
          <w:trHeight w:val="245"/>
        </w:trPr>
        <w:tc>
          <w:tcPr>
            <w:tcW w:w="8640" w:type="dxa"/>
          </w:tcPr>
          <w:p w14:paraId="4D3DADC3" w14:textId="7B41FA6C" w:rsidR="000333E7" w:rsidRPr="000333E7" w:rsidRDefault="000333E7" w:rsidP="000333E7">
            <w:r>
              <w:t>2. Age-Friendly Senior Cycle</w:t>
            </w:r>
          </w:p>
        </w:tc>
        <w:tc>
          <w:tcPr>
            <w:tcW w:w="2160" w:type="dxa"/>
          </w:tcPr>
          <w:p w14:paraId="523FF857" w14:textId="77777777" w:rsidR="000333E7" w:rsidRPr="000333E7" w:rsidRDefault="000333E7" w:rsidP="000333E7">
            <w:pPr>
              <w:jc w:val="center"/>
            </w:pPr>
          </w:p>
        </w:tc>
      </w:tr>
      <w:tr w:rsidR="000333E7" w14:paraId="450FAA8E" w14:textId="77777777" w:rsidTr="002F20EF">
        <w:trPr>
          <w:trHeight w:val="245"/>
        </w:trPr>
        <w:tc>
          <w:tcPr>
            <w:tcW w:w="8640" w:type="dxa"/>
          </w:tcPr>
          <w:p w14:paraId="45CEB92B" w14:textId="6585182E" w:rsidR="000333E7" w:rsidRPr="000333E7" w:rsidRDefault="000333E7" w:rsidP="000333E7">
            <w:r>
              <w:t>3. Supportive Housing Cycle</w:t>
            </w:r>
          </w:p>
        </w:tc>
        <w:tc>
          <w:tcPr>
            <w:tcW w:w="2160" w:type="dxa"/>
          </w:tcPr>
          <w:p w14:paraId="26A28D33" w14:textId="77777777" w:rsidR="000333E7" w:rsidRPr="000333E7" w:rsidRDefault="000333E7" w:rsidP="000333E7">
            <w:pPr>
              <w:jc w:val="center"/>
            </w:pPr>
          </w:p>
        </w:tc>
      </w:tr>
      <w:tr w:rsidR="004B4E72" w14:paraId="75069332" w14:textId="77777777" w:rsidTr="002F20EF">
        <w:trPr>
          <w:trHeight w:val="245"/>
        </w:trPr>
        <w:tc>
          <w:tcPr>
            <w:tcW w:w="8640" w:type="dxa"/>
          </w:tcPr>
          <w:p w14:paraId="5B2EA2FF" w14:textId="3AF782A8" w:rsidR="004B4E72" w:rsidRDefault="004B4E72" w:rsidP="000333E7">
            <w:r>
              <w:t>4. Volume Cap Part III Requirements</w:t>
            </w:r>
          </w:p>
        </w:tc>
        <w:tc>
          <w:tcPr>
            <w:tcW w:w="2160" w:type="dxa"/>
          </w:tcPr>
          <w:p w14:paraId="272FEF93" w14:textId="77777777" w:rsidR="004B4E72" w:rsidRPr="000333E7" w:rsidRDefault="004B4E72" w:rsidP="000333E7">
            <w:pPr>
              <w:jc w:val="center"/>
            </w:pPr>
          </w:p>
        </w:tc>
      </w:tr>
      <w:tr w:rsidR="000333E7" w14:paraId="23596CD6" w14:textId="77777777" w:rsidTr="0091381C">
        <w:trPr>
          <w:trHeight w:val="432"/>
        </w:trPr>
        <w:tc>
          <w:tcPr>
            <w:tcW w:w="8640" w:type="dxa"/>
            <w:vAlign w:val="center"/>
          </w:tcPr>
          <w:p w14:paraId="0915ED34" w14:textId="74399955" w:rsidR="000333E7" w:rsidRPr="004B4E72" w:rsidRDefault="004B4E72" w:rsidP="004B4E72">
            <w:pPr>
              <w:jc w:val="center"/>
              <w:rPr>
                <w:b/>
                <w:bCs/>
              </w:rPr>
            </w:pPr>
            <w:r>
              <w:rPr>
                <w:b/>
                <w:bCs/>
              </w:rPr>
              <w:t xml:space="preserve">Section B. </w:t>
            </w:r>
            <w:r w:rsidRPr="004B4E72">
              <w:rPr>
                <w:b/>
                <w:bCs/>
              </w:rPr>
              <w:t>Set-Aside Documentation</w:t>
            </w:r>
          </w:p>
        </w:tc>
        <w:tc>
          <w:tcPr>
            <w:tcW w:w="2160" w:type="dxa"/>
            <w:vAlign w:val="center"/>
          </w:tcPr>
          <w:p w14:paraId="2939A41B" w14:textId="5FBA024C" w:rsidR="000333E7" w:rsidRPr="004B4E72" w:rsidRDefault="004B4E72" w:rsidP="004B4E72">
            <w:pPr>
              <w:jc w:val="center"/>
              <w:rPr>
                <w:b/>
                <w:bCs/>
              </w:rPr>
            </w:pPr>
            <w:r w:rsidRPr="004B4E72">
              <w:rPr>
                <w:b/>
                <w:bCs/>
              </w:rPr>
              <w:t>Check all that apply.</w:t>
            </w:r>
          </w:p>
        </w:tc>
      </w:tr>
      <w:tr w:rsidR="000333E7" w14:paraId="1B2A5821" w14:textId="77777777" w:rsidTr="002F20EF">
        <w:trPr>
          <w:trHeight w:val="245"/>
        </w:trPr>
        <w:tc>
          <w:tcPr>
            <w:tcW w:w="8640" w:type="dxa"/>
          </w:tcPr>
          <w:p w14:paraId="36F9A2DC" w14:textId="6CE51158" w:rsidR="000333E7" w:rsidRPr="000333E7" w:rsidRDefault="004B4E72" w:rsidP="000333E7">
            <w:r>
              <w:t>1. Mixed-Income Set-Aside</w:t>
            </w:r>
          </w:p>
        </w:tc>
        <w:tc>
          <w:tcPr>
            <w:tcW w:w="2160" w:type="dxa"/>
          </w:tcPr>
          <w:p w14:paraId="21E9A34C" w14:textId="77777777" w:rsidR="000333E7" w:rsidRPr="000333E7" w:rsidRDefault="000333E7" w:rsidP="000333E7">
            <w:pPr>
              <w:jc w:val="center"/>
            </w:pPr>
          </w:p>
        </w:tc>
      </w:tr>
      <w:tr w:rsidR="004B4E72" w14:paraId="60DBFBAF" w14:textId="77777777" w:rsidTr="002F20EF">
        <w:trPr>
          <w:trHeight w:val="245"/>
        </w:trPr>
        <w:tc>
          <w:tcPr>
            <w:tcW w:w="8640" w:type="dxa"/>
          </w:tcPr>
          <w:p w14:paraId="0C3D8EB5" w14:textId="2B0D0EE5" w:rsidR="004B4E72" w:rsidRPr="000333E7" w:rsidRDefault="004B4E72" w:rsidP="000333E7">
            <w:r>
              <w:t>2. Preservation Set-Aside</w:t>
            </w:r>
          </w:p>
        </w:tc>
        <w:tc>
          <w:tcPr>
            <w:tcW w:w="2160" w:type="dxa"/>
          </w:tcPr>
          <w:p w14:paraId="3098615D" w14:textId="77777777" w:rsidR="004B4E72" w:rsidRPr="000333E7" w:rsidRDefault="004B4E72" w:rsidP="000333E7">
            <w:pPr>
              <w:jc w:val="center"/>
            </w:pPr>
          </w:p>
        </w:tc>
      </w:tr>
      <w:tr w:rsidR="000333E7" w14:paraId="5742DA2E" w14:textId="77777777" w:rsidTr="002F20EF">
        <w:trPr>
          <w:trHeight w:val="245"/>
        </w:trPr>
        <w:tc>
          <w:tcPr>
            <w:tcW w:w="8640" w:type="dxa"/>
          </w:tcPr>
          <w:p w14:paraId="280B270B" w14:textId="2B65CA0C" w:rsidR="000333E7" w:rsidRPr="000333E7" w:rsidRDefault="004B4E72" w:rsidP="000333E7">
            <w:r>
              <w:t>3. Emerging Developer Set-Aside</w:t>
            </w:r>
          </w:p>
        </w:tc>
        <w:tc>
          <w:tcPr>
            <w:tcW w:w="2160" w:type="dxa"/>
          </w:tcPr>
          <w:p w14:paraId="4EE58C44" w14:textId="77777777" w:rsidR="000333E7" w:rsidRPr="000333E7" w:rsidRDefault="000333E7" w:rsidP="000333E7">
            <w:pPr>
              <w:jc w:val="center"/>
            </w:pPr>
          </w:p>
        </w:tc>
      </w:tr>
      <w:tr w:rsidR="000333E7" w14:paraId="66AF1C7F" w14:textId="77777777" w:rsidTr="0091381C">
        <w:trPr>
          <w:trHeight w:val="432"/>
        </w:trPr>
        <w:tc>
          <w:tcPr>
            <w:tcW w:w="8640" w:type="dxa"/>
            <w:vAlign w:val="center"/>
          </w:tcPr>
          <w:p w14:paraId="4B733FFF" w14:textId="05579B0A" w:rsidR="000333E7" w:rsidRPr="000333E7" w:rsidRDefault="004B4E72" w:rsidP="004B4E72">
            <w:pPr>
              <w:jc w:val="center"/>
              <w:rPr>
                <w:b/>
                <w:bCs/>
              </w:rPr>
            </w:pPr>
            <w:r>
              <w:rPr>
                <w:b/>
                <w:bCs/>
              </w:rPr>
              <w:t xml:space="preserve">Section C. </w:t>
            </w:r>
            <w:r w:rsidR="000333E7" w:rsidRPr="000333E7">
              <w:rPr>
                <w:b/>
                <w:bCs/>
              </w:rPr>
              <w:t>Point</w:t>
            </w:r>
            <w:r>
              <w:rPr>
                <w:b/>
                <w:bCs/>
              </w:rPr>
              <w:t>s Documentation</w:t>
            </w:r>
          </w:p>
        </w:tc>
        <w:tc>
          <w:tcPr>
            <w:tcW w:w="2160" w:type="dxa"/>
            <w:vAlign w:val="center"/>
          </w:tcPr>
          <w:p w14:paraId="1F6AFE6B" w14:textId="6B9952AA" w:rsidR="000333E7" w:rsidRPr="000333E7" w:rsidRDefault="000333E7" w:rsidP="004B4E72">
            <w:pPr>
              <w:jc w:val="center"/>
              <w:rPr>
                <w:b/>
                <w:bCs/>
              </w:rPr>
            </w:pPr>
            <w:r>
              <w:rPr>
                <w:b/>
                <w:bCs/>
              </w:rPr>
              <w:t>Check all that apply.</w:t>
            </w:r>
          </w:p>
        </w:tc>
      </w:tr>
      <w:tr w:rsidR="000333E7" w14:paraId="2BD2261B" w14:textId="77777777" w:rsidTr="002F20EF">
        <w:trPr>
          <w:trHeight w:val="245"/>
        </w:trPr>
        <w:tc>
          <w:tcPr>
            <w:tcW w:w="8640" w:type="dxa"/>
          </w:tcPr>
          <w:p w14:paraId="66E514DE" w14:textId="77777777" w:rsidR="000333E7" w:rsidRDefault="000333E7" w:rsidP="00B00D6C">
            <w:r w:rsidRPr="00903322">
              <w:t>1. Compliance Period/Tenant Ownership</w:t>
            </w:r>
          </w:p>
        </w:tc>
        <w:tc>
          <w:tcPr>
            <w:tcW w:w="2160" w:type="dxa"/>
          </w:tcPr>
          <w:p w14:paraId="7D5E7597" w14:textId="77777777" w:rsidR="000333E7" w:rsidRDefault="000333E7" w:rsidP="000333E7">
            <w:pPr>
              <w:jc w:val="center"/>
            </w:pPr>
          </w:p>
        </w:tc>
      </w:tr>
      <w:tr w:rsidR="000333E7" w14:paraId="429FF2BC" w14:textId="77777777" w:rsidTr="002F20EF">
        <w:trPr>
          <w:trHeight w:val="245"/>
        </w:trPr>
        <w:tc>
          <w:tcPr>
            <w:tcW w:w="8640" w:type="dxa"/>
          </w:tcPr>
          <w:p w14:paraId="380CA437" w14:textId="77777777" w:rsidR="000333E7" w:rsidRDefault="000333E7" w:rsidP="00B00D6C">
            <w:r w:rsidRPr="00903322">
              <w:t>2. Public Housing Waiting Lists</w:t>
            </w:r>
          </w:p>
        </w:tc>
        <w:tc>
          <w:tcPr>
            <w:tcW w:w="2160" w:type="dxa"/>
          </w:tcPr>
          <w:p w14:paraId="5804939E" w14:textId="77777777" w:rsidR="000333E7" w:rsidRDefault="000333E7" w:rsidP="000333E7">
            <w:pPr>
              <w:jc w:val="center"/>
            </w:pPr>
          </w:p>
        </w:tc>
      </w:tr>
      <w:tr w:rsidR="000333E7" w14:paraId="139656F6" w14:textId="77777777" w:rsidTr="002F20EF">
        <w:trPr>
          <w:trHeight w:val="245"/>
        </w:trPr>
        <w:tc>
          <w:tcPr>
            <w:tcW w:w="8640" w:type="dxa"/>
          </w:tcPr>
          <w:p w14:paraId="0D2FE413" w14:textId="77777777" w:rsidR="000333E7" w:rsidRDefault="000333E7" w:rsidP="00B00D6C">
            <w:r w:rsidRPr="00903322">
              <w:t>3. Large-Family Units (Family Cycle Only)</w:t>
            </w:r>
          </w:p>
        </w:tc>
        <w:tc>
          <w:tcPr>
            <w:tcW w:w="2160" w:type="dxa"/>
          </w:tcPr>
          <w:p w14:paraId="014D7536" w14:textId="77777777" w:rsidR="000333E7" w:rsidRDefault="000333E7" w:rsidP="000333E7">
            <w:pPr>
              <w:jc w:val="center"/>
            </w:pPr>
          </w:p>
        </w:tc>
      </w:tr>
      <w:tr w:rsidR="000333E7" w14:paraId="5B4A219E" w14:textId="77777777" w:rsidTr="002F20EF">
        <w:trPr>
          <w:trHeight w:val="245"/>
        </w:trPr>
        <w:tc>
          <w:tcPr>
            <w:tcW w:w="8640" w:type="dxa"/>
          </w:tcPr>
          <w:p w14:paraId="0992D3A5" w14:textId="77777777" w:rsidR="000333E7" w:rsidRDefault="000333E7" w:rsidP="00B00D6C">
            <w:r w:rsidRPr="00903322">
              <w:t>4. Municipal Support</w:t>
            </w:r>
          </w:p>
        </w:tc>
        <w:tc>
          <w:tcPr>
            <w:tcW w:w="2160" w:type="dxa"/>
          </w:tcPr>
          <w:p w14:paraId="60CE095D" w14:textId="77777777" w:rsidR="000333E7" w:rsidRDefault="000333E7" w:rsidP="000333E7">
            <w:pPr>
              <w:jc w:val="center"/>
            </w:pPr>
          </w:p>
        </w:tc>
      </w:tr>
      <w:tr w:rsidR="000333E7" w14:paraId="43212512" w14:textId="77777777" w:rsidTr="002F20EF">
        <w:trPr>
          <w:trHeight w:val="245"/>
        </w:trPr>
        <w:tc>
          <w:tcPr>
            <w:tcW w:w="8640" w:type="dxa"/>
          </w:tcPr>
          <w:p w14:paraId="45F8910D" w14:textId="77777777" w:rsidR="000333E7" w:rsidRDefault="000333E7" w:rsidP="00B00D6C">
            <w:r w:rsidRPr="00903322">
              <w:t>5. Social Services (Family Cycle Only)</w:t>
            </w:r>
          </w:p>
        </w:tc>
        <w:tc>
          <w:tcPr>
            <w:tcW w:w="2160" w:type="dxa"/>
          </w:tcPr>
          <w:p w14:paraId="6BE173B7" w14:textId="77777777" w:rsidR="000333E7" w:rsidRDefault="000333E7" w:rsidP="000333E7">
            <w:pPr>
              <w:jc w:val="center"/>
            </w:pPr>
          </w:p>
        </w:tc>
      </w:tr>
      <w:tr w:rsidR="000333E7" w14:paraId="604FDE7A" w14:textId="77777777" w:rsidTr="002F20EF">
        <w:trPr>
          <w:trHeight w:val="245"/>
        </w:trPr>
        <w:tc>
          <w:tcPr>
            <w:tcW w:w="8640" w:type="dxa"/>
          </w:tcPr>
          <w:p w14:paraId="69980B76" w14:textId="77777777" w:rsidR="000333E7" w:rsidRDefault="000333E7" w:rsidP="00B00D6C">
            <w:r w:rsidRPr="00903322">
              <w:t>6. Certified Minority and/or Women Business Enterprises (M/WBEs)</w:t>
            </w:r>
          </w:p>
        </w:tc>
        <w:tc>
          <w:tcPr>
            <w:tcW w:w="2160" w:type="dxa"/>
          </w:tcPr>
          <w:p w14:paraId="08FCAB9A" w14:textId="77777777" w:rsidR="000333E7" w:rsidRDefault="000333E7" w:rsidP="000333E7">
            <w:pPr>
              <w:jc w:val="center"/>
            </w:pPr>
          </w:p>
        </w:tc>
      </w:tr>
      <w:tr w:rsidR="000333E7" w14:paraId="412BE64B" w14:textId="77777777" w:rsidTr="002F20EF">
        <w:trPr>
          <w:trHeight w:val="245"/>
        </w:trPr>
        <w:tc>
          <w:tcPr>
            <w:tcW w:w="8640" w:type="dxa"/>
          </w:tcPr>
          <w:p w14:paraId="7316DC9D" w14:textId="77777777" w:rsidR="000333E7" w:rsidRDefault="000333E7" w:rsidP="00B00D6C">
            <w:r w:rsidRPr="00903322">
              <w:t>7. Ready to Grow Areas</w:t>
            </w:r>
          </w:p>
        </w:tc>
        <w:tc>
          <w:tcPr>
            <w:tcW w:w="2160" w:type="dxa"/>
          </w:tcPr>
          <w:p w14:paraId="4F1A5B43" w14:textId="77777777" w:rsidR="000333E7" w:rsidRDefault="000333E7" w:rsidP="000333E7">
            <w:pPr>
              <w:jc w:val="center"/>
            </w:pPr>
          </w:p>
        </w:tc>
      </w:tr>
      <w:tr w:rsidR="000333E7" w14:paraId="51A9089F" w14:textId="77777777" w:rsidTr="002F20EF">
        <w:trPr>
          <w:trHeight w:val="245"/>
        </w:trPr>
        <w:tc>
          <w:tcPr>
            <w:tcW w:w="8640" w:type="dxa"/>
          </w:tcPr>
          <w:p w14:paraId="4C2E93A0" w14:textId="77777777" w:rsidR="000333E7" w:rsidRDefault="000333E7" w:rsidP="00B00D6C">
            <w:r w:rsidRPr="00903322">
              <w:t>8. Unit Amenities</w:t>
            </w:r>
          </w:p>
        </w:tc>
        <w:tc>
          <w:tcPr>
            <w:tcW w:w="2160" w:type="dxa"/>
          </w:tcPr>
          <w:p w14:paraId="31E24CCC" w14:textId="77777777" w:rsidR="000333E7" w:rsidRDefault="000333E7" w:rsidP="000333E7">
            <w:pPr>
              <w:jc w:val="center"/>
            </w:pPr>
          </w:p>
        </w:tc>
      </w:tr>
      <w:tr w:rsidR="000333E7" w14:paraId="0BA80D2D" w14:textId="77777777" w:rsidTr="002F20EF">
        <w:trPr>
          <w:trHeight w:val="245"/>
        </w:trPr>
        <w:tc>
          <w:tcPr>
            <w:tcW w:w="8640" w:type="dxa"/>
          </w:tcPr>
          <w:p w14:paraId="5CBCA5C9" w14:textId="77777777" w:rsidR="000333E7" w:rsidRDefault="000333E7" w:rsidP="00B00D6C">
            <w:r w:rsidRPr="00903322">
              <w:t>9. Project Amenities</w:t>
            </w:r>
          </w:p>
        </w:tc>
        <w:tc>
          <w:tcPr>
            <w:tcW w:w="2160" w:type="dxa"/>
          </w:tcPr>
          <w:p w14:paraId="4C30EAAF" w14:textId="77777777" w:rsidR="000333E7" w:rsidRDefault="000333E7" w:rsidP="000333E7">
            <w:pPr>
              <w:jc w:val="center"/>
            </w:pPr>
          </w:p>
        </w:tc>
      </w:tr>
      <w:tr w:rsidR="000333E7" w14:paraId="14C4005E" w14:textId="77777777" w:rsidTr="002F20EF">
        <w:trPr>
          <w:trHeight w:val="245"/>
        </w:trPr>
        <w:tc>
          <w:tcPr>
            <w:tcW w:w="8640" w:type="dxa"/>
          </w:tcPr>
          <w:p w14:paraId="490E2368" w14:textId="77777777" w:rsidR="000333E7" w:rsidRDefault="000333E7" w:rsidP="00B00D6C">
            <w:r w:rsidRPr="00903322">
              <w:t>10. Community Policing/Public Safety Enhancements</w:t>
            </w:r>
          </w:p>
        </w:tc>
        <w:tc>
          <w:tcPr>
            <w:tcW w:w="2160" w:type="dxa"/>
          </w:tcPr>
          <w:p w14:paraId="3E711F21" w14:textId="77777777" w:rsidR="000333E7" w:rsidRDefault="000333E7" w:rsidP="000333E7">
            <w:pPr>
              <w:jc w:val="center"/>
            </w:pPr>
          </w:p>
        </w:tc>
      </w:tr>
      <w:tr w:rsidR="000333E7" w14:paraId="15CAAE9C" w14:textId="77777777" w:rsidTr="002F20EF">
        <w:trPr>
          <w:trHeight w:val="245"/>
        </w:trPr>
        <w:tc>
          <w:tcPr>
            <w:tcW w:w="8640" w:type="dxa"/>
          </w:tcPr>
          <w:p w14:paraId="3E4EE5A6" w14:textId="77777777" w:rsidR="000333E7" w:rsidRDefault="000333E7" w:rsidP="00B00D6C">
            <w:r w:rsidRPr="00903322">
              <w:t>11. Site Selection</w:t>
            </w:r>
          </w:p>
        </w:tc>
        <w:tc>
          <w:tcPr>
            <w:tcW w:w="2160" w:type="dxa"/>
          </w:tcPr>
          <w:p w14:paraId="73CCE06D" w14:textId="77777777" w:rsidR="000333E7" w:rsidRDefault="000333E7" w:rsidP="000333E7">
            <w:pPr>
              <w:jc w:val="center"/>
            </w:pPr>
          </w:p>
        </w:tc>
      </w:tr>
      <w:tr w:rsidR="000333E7" w14:paraId="46CA4707" w14:textId="77777777" w:rsidTr="002F20EF">
        <w:trPr>
          <w:trHeight w:val="245"/>
        </w:trPr>
        <w:tc>
          <w:tcPr>
            <w:tcW w:w="8640" w:type="dxa"/>
          </w:tcPr>
          <w:p w14:paraId="1B9957A3" w14:textId="77777777" w:rsidR="000333E7" w:rsidRDefault="000333E7" w:rsidP="00B00D6C">
            <w:r w:rsidRPr="00903322">
              <w:t>12. Syndicator/Investor Commitment</w:t>
            </w:r>
          </w:p>
        </w:tc>
        <w:tc>
          <w:tcPr>
            <w:tcW w:w="2160" w:type="dxa"/>
          </w:tcPr>
          <w:p w14:paraId="64C3CE32" w14:textId="77777777" w:rsidR="000333E7" w:rsidRDefault="000333E7" w:rsidP="000333E7">
            <w:pPr>
              <w:jc w:val="center"/>
            </w:pPr>
          </w:p>
        </w:tc>
      </w:tr>
      <w:tr w:rsidR="000333E7" w14:paraId="70748D57" w14:textId="77777777" w:rsidTr="002F20EF">
        <w:trPr>
          <w:trHeight w:val="245"/>
        </w:trPr>
        <w:tc>
          <w:tcPr>
            <w:tcW w:w="8640" w:type="dxa"/>
          </w:tcPr>
          <w:p w14:paraId="5913C2D7" w14:textId="77777777" w:rsidR="000333E7" w:rsidRDefault="000333E7" w:rsidP="00B00D6C">
            <w:r w:rsidRPr="00903322">
              <w:t>13. Future-Ready Design</w:t>
            </w:r>
          </w:p>
        </w:tc>
        <w:tc>
          <w:tcPr>
            <w:tcW w:w="2160" w:type="dxa"/>
          </w:tcPr>
          <w:p w14:paraId="66269023" w14:textId="77777777" w:rsidR="000333E7" w:rsidRDefault="000333E7" w:rsidP="000333E7">
            <w:pPr>
              <w:jc w:val="center"/>
            </w:pPr>
          </w:p>
        </w:tc>
      </w:tr>
      <w:tr w:rsidR="000333E7" w14:paraId="228CE9CE" w14:textId="77777777" w:rsidTr="002F20EF">
        <w:trPr>
          <w:trHeight w:val="245"/>
        </w:trPr>
        <w:tc>
          <w:tcPr>
            <w:tcW w:w="8640" w:type="dxa"/>
          </w:tcPr>
          <w:p w14:paraId="425F41C2" w14:textId="77777777" w:rsidR="000333E7" w:rsidRDefault="000333E7" w:rsidP="00B00D6C">
            <w:r w:rsidRPr="00903322">
              <w:t>14. High Opportunity Areas</w:t>
            </w:r>
          </w:p>
        </w:tc>
        <w:tc>
          <w:tcPr>
            <w:tcW w:w="2160" w:type="dxa"/>
          </w:tcPr>
          <w:p w14:paraId="5B6A92C1" w14:textId="77777777" w:rsidR="000333E7" w:rsidRDefault="000333E7" w:rsidP="000333E7">
            <w:pPr>
              <w:jc w:val="center"/>
            </w:pPr>
          </w:p>
        </w:tc>
      </w:tr>
      <w:tr w:rsidR="000333E7" w14:paraId="4D580152" w14:textId="77777777" w:rsidTr="002F20EF">
        <w:trPr>
          <w:trHeight w:val="245"/>
        </w:trPr>
        <w:tc>
          <w:tcPr>
            <w:tcW w:w="8640" w:type="dxa"/>
          </w:tcPr>
          <w:p w14:paraId="12F248B3" w14:textId="77777777" w:rsidR="000333E7" w:rsidRDefault="000333E7" w:rsidP="00B00D6C">
            <w:r w:rsidRPr="00903322">
              <w:t>15. Successful Development Experience</w:t>
            </w:r>
          </w:p>
        </w:tc>
        <w:tc>
          <w:tcPr>
            <w:tcW w:w="2160" w:type="dxa"/>
          </w:tcPr>
          <w:p w14:paraId="73DBABBA" w14:textId="77777777" w:rsidR="000333E7" w:rsidRDefault="000333E7" w:rsidP="000333E7">
            <w:pPr>
              <w:jc w:val="center"/>
            </w:pPr>
          </w:p>
        </w:tc>
      </w:tr>
      <w:tr w:rsidR="000333E7" w14:paraId="3B8AF641" w14:textId="77777777" w:rsidTr="002F20EF">
        <w:trPr>
          <w:trHeight w:val="245"/>
        </w:trPr>
        <w:tc>
          <w:tcPr>
            <w:tcW w:w="8640" w:type="dxa"/>
          </w:tcPr>
          <w:p w14:paraId="44377F48" w14:textId="77777777" w:rsidR="000333E7" w:rsidRDefault="000333E7" w:rsidP="00B00D6C">
            <w:r w:rsidRPr="00903322">
              <w:t>16. Units Reserved for Homeless/Disabled Individuals</w:t>
            </w:r>
          </w:p>
        </w:tc>
        <w:tc>
          <w:tcPr>
            <w:tcW w:w="2160" w:type="dxa"/>
          </w:tcPr>
          <w:p w14:paraId="201AB47E" w14:textId="77777777" w:rsidR="000333E7" w:rsidRDefault="000333E7" w:rsidP="000333E7">
            <w:pPr>
              <w:jc w:val="center"/>
            </w:pPr>
          </w:p>
        </w:tc>
      </w:tr>
      <w:tr w:rsidR="000333E7" w14:paraId="7E7191BC" w14:textId="77777777" w:rsidTr="002F20EF">
        <w:trPr>
          <w:trHeight w:val="245"/>
        </w:trPr>
        <w:tc>
          <w:tcPr>
            <w:tcW w:w="8640" w:type="dxa"/>
          </w:tcPr>
          <w:p w14:paraId="5D15E318" w14:textId="77777777" w:rsidR="000333E7" w:rsidRDefault="000333E7" w:rsidP="00B00D6C">
            <w:r w:rsidRPr="00903322">
              <w:t>17. Affordability</w:t>
            </w:r>
          </w:p>
        </w:tc>
        <w:tc>
          <w:tcPr>
            <w:tcW w:w="2160" w:type="dxa"/>
          </w:tcPr>
          <w:p w14:paraId="2BB5F480" w14:textId="77777777" w:rsidR="000333E7" w:rsidRDefault="000333E7" w:rsidP="000333E7">
            <w:pPr>
              <w:jc w:val="center"/>
            </w:pPr>
          </w:p>
        </w:tc>
      </w:tr>
      <w:tr w:rsidR="000333E7" w14:paraId="29EE3931" w14:textId="77777777" w:rsidTr="002F20EF">
        <w:trPr>
          <w:trHeight w:val="245"/>
        </w:trPr>
        <w:tc>
          <w:tcPr>
            <w:tcW w:w="8640" w:type="dxa"/>
          </w:tcPr>
          <w:p w14:paraId="65F0E530" w14:textId="77777777" w:rsidR="000333E7" w:rsidRDefault="000333E7" w:rsidP="00B00D6C">
            <w:r w:rsidRPr="00903322">
              <w:t>18. Age-Friendly Senior Cycle Points</w:t>
            </w:r>
          </w:p>
        </w:tc>
        <w:tc>
          <w:tcPr>
            <w:tcW w:w="2160" w:type="dxa"/>
          </w:tcPr>
          <w:p w14:paraId="65954112" w14:textId="77777777" w:rsidR="000333E7" w:rsidRDefault="000333E7" w:rsidP="000333E7">
            <w:pPr>
              <w:jc w:val="center"/>
            </w:pPr>
          </w:p>
        </w:tc>
      </w:tr>
      <w:tr w:rsidR="000333E7" w14:paraId="1700ED48" w14:textId="77777777" w:rsidTr="002F20EF">
        <w:trPr>
          <w:trHeight w:val="245"/>
        </w:trPr>
        <w:tc>
          <w:tcPr>
            <w:tcW w:w="8640" w:type="dxa"/>
          </w:tcPr>
          <w:p w14:paraId="3314C4A0" w14:textId="77777777" w:rsidR="000333E7" w:rsidRDefault="000333E7" w:rsidP="00B00D6C">
            <w:r w:rsidRPr="00903322">
              <w:t>19. Supportive Housing Cycle Points</w:t>
            </w:r>
          </w:p>
        </w:tc>
        <w:tc>
          <w:tcPr>
            <w:tcW w:w="2160" w:type="dxa"/>
          </w:tcPr>
          <w:p w14:paraId="3EC7EDF7" w14:textId="77777777" w:rsidR="000333E7" w:rsidRDefault="000333E7" w:rsidP="000333E7">
            <w:pPr>
              <w:jc w:val="center"/>
            </w:pPr>
          </w:p>
        </w:tc>
      </w:tr>
      <w:tr w:rsidR="000333E7" w14:paraId="03334350" w14:textId="77777777" w:rsidTr="002F20EF">
        <w:trPr>
          <w:trHeight w:val="245"/>
        </w:trPr>
        <w:tc>
          <w:tcPr>
            <w:tcW w:w="8640" w:type="dxa"/>
          </w:tcPr>
          <w:p w14:paraId="199BA0C0" w14:textId="0A559121" w:rsidR="000333E7" w:rsidRDefault="000333E7" w:rsidP="00B00D6C">
            <w:r w:rsidRPr="00903322">
              <w:t xml:space="preserve">20. </w:t>
            </w:r>
            <w:r w:rsidR="003E76F3">
              <w:t>Qualified Nonprofit Sponsor</w:t>
            </w:r>
          </w:p>
        </w:tc>
        <w:tc>
          <w:tcPr>
            <w:tcW w:w="2160" w:type="dxa"/>
          </w:tcPr>
          <w:p w14:paraId="0272A512" w14:textId="77777777" w:rsidR="000333E7" w:rsidRDefault="000333E7" w:rsidP="000333E7">
            <w:pPr>
              <w:jc w:val="center"/>
            </w:pPr>
          </w:p>
        </w:tc>
      </w:tr>
      <w:tr w:rsidR="003E76F3" w14:paraId="0DAE82F6" w14:textId="77777777" w:rsidTr="002F20EF">
        <w:trPr>
          <w:trHeight w:val="245"/>
        </w:trPr>
        <w:tc>
          <w:tcPr>
            <w:tcW w:w="8640" w:type="dxa"/>
          </w:tcPr>
          <w:p w14:paraId="1601D0F2" w14:textId="33820E24" w:rsidR="003E76F3" w:rsidRPr="00903322" w:rsidRDefault="003E76F3" w:rsidP="00B00D6C">
            <w:r>
              <w:t>21. Bonus Point</w:t>
            </w:r>
          </w:p>
        </w:tc>
        <w:tc>
          <w:tcPr>
            <w:tcW w:w="2160" w:type="dxa"/>
          </w:tcPr>
          <w:p w14:paraId="5EB9819E" w14:textId="77777777" w:rsidR="003E76F3" w:rsidRDefault="003E76F3" w:rsidP="000333E7">
            <w:pPr>
              <w:jc w:val="center"/>
            </w:pPr>
          </w:p>
        </w:tc>
      </w:tr>
      <w:tr w:rsidR="000333E7" w14:paraId="0A80F3A5" w14:textId="77777777" w:rsidTr="002F20EF">
        <w:trPr>
          <w:trHeight w:val="245"/>
        </w:trPr>
        <w:tc>
          <w:tcPr>
            <w:tcW w:w="8640" w:type="dxa"/>
          </w:tcPr>
          <w:p w14:paraId="60AA0823" w14:textId="6B0AE0F0" w:rsidR="000333E7" w:rsidRDefault="000333E7" w:rsidP="00B00D6C">
            <w:r w:rsidRPr="00903322">
              <w:t>2</w:t>
            </w:r>
            <w:r w:rsidR="003E76F3">
              <w:t>2</w:t>
            </w:r>
            <w:r w:rsidRPr="00903322">
              <w:t>. Negative Points</w:t>
            </w:r>
          </w:p>
        </w:tc>
        <w:tc>
          <w:tcPr>
            <w:tcW w:w="2160" w:type="dxa"/>
          </w:tcPr>
          <w:p w14:paraId="760720C4" w14:textId="77777777" w:rsidR="000333E7" w:rsidRDefault="000333E7" w:rsidP="000333E7">
            <w:pPr>
              <w:jc w:val="center"/>
            </w:pPr>
          </w:p>
        </w:tc>
      </w:tr>
    </w:tbl>
    <w:p w14:paraId="27B71C8B" w14:textId="3DE15A7E" w:rsidR="0091381C" w:rsidRDefault="0091381C" w:rsidP="000333E7"/>
    <w:p w14:paraId="09596659" w14:textId="77777777" w:rsidR="0091381C" w:rsidRDefault="0091381C">
      <w:r>
        <w:br w:type="page"/>
      </w:r>
    </w:p>
    <w:p w14:paraId="4F3E0566" w14:textId="6ED2C65F" w:rsidR="00B22112" w:rsidRDefault="00B22112" w:rsidP="00C17BFE">
      <w:pPr>
        <w:pStyle w:val="Heading2"/>
        <w:numPr>
          <w:ilvl w:val="0"/>
          <w:numId w:val="0"/>
        </w:numPr>
        <w:ind w:left="360" w:hanging="360"/>
        <w:jc w:val="center"/>
      </w:pPr>
      <w:bookmarkStart w:id="46" w:name="_Toc230012675"/>
      <w:r>
        <w:lastRenderedPageBreak/>
        <w:t>Section A. Point Worksheets</w:t>
      </w:r>
      <w:bookmarkEnd w:id="46"/>
    </w:p>
    <w:p w14:paraId="187BBA73" w14:textId="076BCD0B" w:rsidR="0084583D" w:rsidRPr="0084583D" w:rsidRDefault="0084583D" w:rsidP="0084583D">
      <w:r>
        <w:t>See UNIAP Part III — Points</w:t>
      </w:r>
      <w:r w:rsidR="0091381C">
        <w:t xml:space="preserve"> to complete the applicable self-scoring point worksheet. Include it in your submission.</w:t>
      </w:r>
    </w:p>
    <w:p w14:paraId="4A536D3F" w14:textId="45B81E40" w:rsidR="00187272" w:rsidRDefault="00187272"/>
    <w:p w14:paraId="4ABB0411" w14:textId="2B8C7506" w:rsidR="00B22112" w:rsidRDefault="00B22112" w:rsidP="00C17BFE">
      <w:pPr>
        <w:pStyle w:val="Heading2"/>
        <w:numPr>
          <w:ilvl w:val="0"/>
          <w:numId w:val="0"/>
        </w:numPr>
        <w:ind w:left="360" w:hanging="360"/>
        <w:jc w:val="center"/>
      </w:pPr>
      <w:bookmarkStart w:id="47" w:name="_Toc230012676"/>
      <w:r>
        <w:t>Section B. Set-Aside Documentation</w:t>
      </w:r>
      <w:bookmarkEnd w:id="47"/>
    </w:p>
    <w:p w14:paraId="29EB3583" w14:textId="3FB71272" w:rsidR="004B1BEA" w:rsidRPr="004B1BEA" w:rsidRDefault="004B1BEA" w:rsidP="004B1BEA">
      <w:r w:rsidRPr="004B1BEA">
        <w:t xml:space="preserve">Projects </w:t>
      </w:r>
      <w:r>
        <w:t>with</w:t>
      </w:r>
      <w:r w:rsidRPr="004B1BEA">
        <w:t xml:space="preserve"> negative points pursuant to N.J.A.C. 5:80-33.15(a)15, 17, 18, or 19 </w:t>
      </w:r>
      <w:r>
        <w:t>are</w:t>
      </w:r>
      <w:r w:rsidRPr="004B1BEA">
        <w:t xml:space="preserve"> </w:t>
      </w:r>
      <w:r>
        <w:t>in</w:t>
      </w:r>
      <w:r w:rsidRPr="004B1BEA">
        <w:t>eligible to compete in any set-aside.</w:t>
      </w:r>
    </w:p>
    <w:p w14:paraId="38B4C025" w14:textId="3E769512" w:rsidR="00B22112" w:rsidRDefault="00B22112" w:rsidP="009647BF">
      <w:pPr>
        <w:pStyle w:val="Heading3"/>
        <w:numPr>
          <w:ilvl w:val="0"/>
          <w:numId w:val="5"/>
        </w:numPr>
        <w:ind w:left="360"/>
      </w:pPr>
      <w:bookmarkStart w:id="48" w:name="_Toc230012677"/>
      <w:r>
        <w:t>Mixed-Income Set-Aside</w:t>
      </w:r>
      <w:bookmarkEnd w:id="48"/>
    </w:p>
    <w:p w14:paraId="5328DB99" w14:textId="78127F9F" w:rsidR="004B1BEA" w:rsidRDefault="004B1BEA" w:rsidP="00187272">
      <w:r>
        <w:t>As per N.J.A.C. 5:80-33.4(a)1, the first reservation of credits from the Family Cycle will be awarded to one mixed-income project located outside of a Targeted Urban Municipality (TUM). The second reservation of credits from the Family Cycle will be awarded to one mixed-income project located within a TUM. Mixed-Income Set-Aside projects must adhere to the following requirements:</w:t>
      </w:r>
    </w:p>
    <w:p w14:paraId="1E1354B8" w14:textId="450B3635" w:rsidR="004B1BEA" w:rsidRDefault="004B1BEA" w:rsidP="009647BF">
      <w:pPr>
        <w:pStyle w:val="ListParagraph"/>
        <w:numPr>
          <w:ilvl w:val="0"/>
          <w:numId w:val="34"/>
        </w:numPr>
      </w:pPr>
      <w:r>
        <w:t>Up to 55% affordable units.</w:t>
      </w:r>
    </w:p>
    <w:p w14:paraId="26C73F67" w14:textId="5A2B70BC" w:rsidR="004B1BEA" w:rsidRDefault="004B1BEA" w:rsidP="009647BF">
      <w:pPr>
        <w:pStyle w:val="ListParagraph"/>
        <w:numPr>
          <w:ilvl w:val="0"/>
          <w:numId w:val="34"/>
        </w:numPr>
      </w:pPr>
      <w:r>
        <w:t>Maximum annual allocation — $2,000,000.</w:t>
      </w:r>
    </w:p>
    <w:p w14:paraId="17CDF8BF" w14:textId="4F90C233" w:rsidR="004B1BEA" w:rsidRDefault="004B1BEA" w:rsidP="009647BF">
      <w:pPr>
        <w:pStyle w:val="ListParagraph"/>
        <w:numPr>
          <w:ilvl w:val="0"/>
          <w:numId w:val="34"/>
        </w:numPr>
      </w:pPr>
      <w:r>
        <w:t>Maximum allocation per LIHTC unit — $34,300.</w:t>
      </w:r>
    </w:p>
    <w:p w14:paraId="04675869" w14:textId="3596D2DC" w:rsidR="004B1BEA" w:rsidRDefault="004B1BEA" w:rsidP="009647BF">
      <w:pPr>
        <w:pStyle w:val="ListParagraph"/>
        <w:numPr>
          <w:ilvl w:val="0"/>
          <w:numId w:val="34"/>
        </w:numPr>
      </w:pPr>
      <w:r>
        <w:t xml:space="preserve">Total development cost limits do </w:t>
      </w:r>
      <w:r w:rsidR="00F9253C">
        <w:t>NOT</w:t>
      </w:r>
      <w:r>
        <w:t xml:space="preserve"> apply.</w:t>
      </w:r>
    </w:p>
    <w:p w14:paraId="6A5B20EE" w14:textId="7F76F990" w:rsidR="004B1BEA" w:rsidRDefault="004B1BEA" w:rsidP="009647BF">
      <w:pPr>
        <w:pStyle w:val="ListParagraph"/>
        <w:numPr>
          <w:ilvl w:val="0"/>
          <w:numId w:val="34"/>
        </w:numPr>
      </w:pPr>
      <w:r>
        <w:t>Minimum market advantage of 20% for LIHTC units compared to market-rate units.</w:t>
      </w:r>
    </w:p>
    <w:p w14:paraId="0A4D7F96" w14:textId="77777777" w:rsidR="002600A8" w:rsidRDefault="004B1BEA" w:rsidP="009647BF">
      <w:pPr>
        <w:pStyle w:val="ListParagraph"/>
        <w:numPr>
          <w:ilvl w:val="0"/>
          <w:numId w:val="34"/>
        </w:numPr>
      </w:pPr>
      <w:r>
        <w:t>Minimum application score of 63, i.e., 65% of the maximum Family Cycle point score</w:t>
      </w:r>
      <w:r w:rsidR="002600A8">
        <w:t>.</w:t>
      </w:r>
    </w:p>
    <w:p w14:paraId="368368E0" w14:textId="0DCA9A6F" w:rsidR="004B1BEA" w:rsidRDefault="002600A8" w:rsidP="009647BF">
      <w:pPr>
        <w:pStyle w:val="ListParagraph"/>
        <w:numPr>
          <w:ilvl w:val="0"/>
          <w:numId w:val="34"/>
        </w:numPr>
      </w:pPr>
      <w:r>
        <w:t>Minimum point thresholds for the following Family Cycle point categories:</w:t>
      </w:r>
    </w:p>
    <w:p w14:paraId="3B34688A" w14:textId="2EBDBDD6" w:rsidR="004B1BEA" w:rsidRDefault="002600A8" w:rsidP="009647BF">
      <w:pPr>
        <w:pStyle w:val="ListParagraph"/>
        <w:numPr>
          <w:ilvl w:val="1"/>
          <w:numId w:val="34"/>
        </w:numPr>
      </w:pPr>
      <w:r>
        <w:t>Extended affordability (20 points for non-TUM; 15 points for TUM)</w:t>
      </w:r>
    </w:p>
    <w:p w14:paraId="40867BCA" w14:textId="074009E4" w:rsidR="002600A8" w:rsidRDefault="002600A8" w:rsidP="009647BF">
      <w:pPr>
        <w:pStyle w:val="ListParagraph"/>
        <w:numPr>
          <w:ilvl w:val="1"/>
          <w:numId w:val="34"/>
        </w:numPr>
      </w:pPr>
      <w:r>
        <w:t>Site selection (6 points)</w:t>
      </w:r>
    </w:p>
    <w:p w14:paraId="391C3871" w14:textId="1E1275AD" w:rsidR="002600A8" w:rsidRDefault="002600A8" w:rsidP="009647BF">
      <w:pPr>
        <w:pStyle w:val="ListParagraph"/>
        <w:numPr>
          <w:ilvl w:val="1"/>
          <w:numId w:val="34"/>
        </w:numPr>
      </w:pPr>
      <w:r>
        <w:t>Public transportation/jobs (3 points for non-TUM; N/A for TUM)</w:t>
      </w:r>
    </w:p>
    <w:p w14:paraId="7DFA0FE9" w14:textId="7C290456" w:rsidR="002600A8" w:rsidRDefault="002600A8" w:rsidP="009647BF">
      <w:pPr>
        <w:pStyle w:val="ListParagraph"/>
        <w:numPr>
          <w:ilvl w:val="1"/>
          <w:numId w:val="34"/>
        </w:numPr>
      </w:pPr>
      <w:r>
        <w:t>High-performing schools (2 points for non-TUM; N/A for TUM)</w:t>
      </w:r>
    </w:p>
    <w:p w14:paraId="0C007AEC" w14:textId="431CEC5B" w:rsidR="002600A8" w:rsidRDefault="002600A8" w:rsidP="009647BF">
      <w:pPr>
        <w:pStyle w:val="ListParagraph"/>
        <w:numPr>
          <w:ilvl w:val="0"/>
          <w:numId w:val="34"/>
        </w:numPr>
      </w:pPr>
      <w:r>
        <w:t>If multiple projects are deemed eligible, credits will be awarded in accordance with the tiebreaker.</w:t>
      </w:r>
    </w:p>
    <w:p w14:paraId="0E7ABE8C" w14:textId="1F612AA8" w:rsidR="00921A5F" w:rsidRDefault="00921A5F">
      <w:r>
        <w:br w:type="page"/>
      </w:r>
    </w:p>
    <w:p w14:paraId="44D5CD99" w14:textId="737A600D" w:rsidR="00B22112" w:rsidRDefault="00B22112" w:rsidP="00713F77">
      <w:pPr>
        <w:pStyle w:val="Heading3"/>
      </w:pPr>
      <w:bookmarkStart w:id="49" w:name="_Toc230012678"/>
      <w:r>
        <w:lastRenderedPageBreak/>
        <w:t>Preservation Set-Aside</w:t>
      </w:r>
      <w:bookmarkEnd w:id="49"/>
    </w:p>
    <w:p w14:paraId="51AA3110" w14:textId="0CBFD4E8" w:rsidR="00292BAA" w:rsidRDefault="002600A8" w:rsidP="00187272">
      <w:r>
        <w:t>As per N.J.A.C. 5:80-33.4(a)2, the third and fourth reservations of credits from the Family Cycle will be awarded to the two highest-ranking eligible applications from preservation set-aside projects.</w:t>
      </w:r>
      <w:r w:rsidR="007F79FA">
        <w:t xml:space="preserve"> The maximum annual allocation per project is $1,400,000. </w:t>
      </w:r>
      <w:r w:rsidR="00F9253C">
        <w:t>Total development cost limits apply.</w:t>
      </w:r>
      <w:r w:rsidR="00E7415C">
        <w:t xml:space="preserve"> To be eligible for the Preservation Set-Aside, the following must be true:</w:t>
      </w:r>
    </w:p>
    <w:p w14:paraId="3076EEED" w14:textId="22CCD835" w:rsidR="00E7415C" w:rsidRDefault="00E7415C" w:rsidP="009647BF">
      <w:pPr>
        <w:pStyle w:val="ListParagraph"/>
        <w:numPr>
          <w:ilvl w:val="0"/>
          <w:numId w:val="36"/>
        </w:numPr>
      </w:pPr>
      <w:r>
        <w:t>The project is an existing housing project that is at least 50% occupied and is either at risk of losing its affordability controls or at risk of losing its level of affordability;</w:t>
      </w:r>
    </w:p>
    <w:p w14:paraId="4E5156D1" w14:textId="139DCB88" w:rsidR="00E7415C" w:rsidRDefault="00E7415C" w:rsidP="009647BF">
      <w:pPr>
        <w:pStyle w:val="ListParagraph"/>
        <w:numPr>
          <w:ilvl w:val="0"/>
          <w:numId w:val="36"/>
        </w:numPr>
      </w:pPr>
      <w:r>
        <w:t>The proposal is for rehabilitation of at least 75% of the affordable units in the project, without new construction; and</w:t>
      </w:r>
    </w:p>
    <w:p w14:paraId="6BDB00D3" w14:textId="1FC02CBD" w:rsidR="00E7415C" w:rsidRDefault="00E7415C" w:rsidP="009647BF">
      <w:pPr>
        <w:pStyle w:val="ListParagraph"/>
        <w:numPr>
          <w:ilvl w:val="0"/>
          <w:numId w:val="36"/>
        </w:numPr>
      </w:pPr>
      <w:r>
        <w:t>The project is NOT a minimum rehab project.</w:t>
      </w:r>
    </w:p>
    <w:p w14:paraId="7E20BF6D" w14:textId="0FED1E48" w:rsidR="00187272" w:rsidRDefault="00292BAA" w:rsidP="00187272">
      <w:r>
        <w:t>If applying for the Preservation Set-Aside, i</w:t>
      </w:r>
      <w:r w:rsidR="007F79FA">
        <w:t>nclude the following documents:</w:t>
      </w:r>
    </w:p>
    <w:p w14:paraId="22828902" w14:textId="1154385C" w:rsidR="007F79FA" w:rsidRDefault="007F79FA" w:rsidP="009647BF">
      <w:pPr>
        <w:pStyle w:val="ListParagraph"/>
        <w:numPr>
          <w:ilvl w:val="0"/>
          <w:numId w:val="35"/>
        </w:numPr>
      </w:pPr>
      <w:r>
        <w:t>EITHER:</w:t>
      </w:r>
    </w:p>
    <w:p w14:paraId="75464F59" w14:textId="104323D4" w:rsidR="007F79FA" w:rsidRDefault="007F79FA" w:rsidP="009647BF">
      <w:pPr>
        <w:pStyle w:val="ListParagraph"/>
        <w:numPr>
          <w:ilvl w:val="1"/>
          <w:numId w:val="35"/>
        </w:numPr>
      </w:pPr>
      <w:r>
        <w:t>Evidence that the project is at risk of losing its affordability controls:</w:t>
      </w:r>
    </w:p>
    <w:p w14:paraId="570AD2BB" w14:textId="7E485B30" w:rsidR="007F79FA" w:rsidRDefault="007F79FA" w:rsidP="009647BF">
      <w:pPr>
        <w:pStyle w:val="ListParagraph"/>
        <w:numPr>
          <w:ilvl w:val="2"/>
          <w:numId w:val="35"/>
        </w:numPr>
      </w:pPr>
      <w:r>
        <w:t>Copies of all deed restrictions on the property showing imminent expiration (i.e., within five years of the date of the new LIHTC allocation)</w:t>
      </w:r>
      <w:r w:rsidR="00D8136B">
        <w:t>, supported by data from the market analysis showing that the property is likely to convert to market-rate</w:t>
      </w:r>
      <w:r>
        <w:t>;</w:t>
      </w:r>
    </w:p>
    <w:p w14:paraId="19A309DC" w14:textId="4157735C" w:rsidR="007F79FA" w:rsidRDefault="007F79FA" w:rsidP="009647BF">
      <w:pPr>
        <w:pStyle w:val="ListParagraph"/>
        <w:numPr>
          <w:ilvl w:val="2"/>
          <w:numId w:val="35"/>
        </w:numPr>
      </w:pPr>
      <w:r>
        <w:t xml:space="preserve">Documentation that project-based assistance expires within five years of the date of the new LIHTC allocation; </w:t>
      </w:r>
      <w:r w:rsidR="00EF2FB8">
        <w:t>OR</w:t>
      </w:r>
    </w:p>
    <w:p w14:paraId="032A90CD" w14:textId="53965DDD" w:rsidR="007F79FA" w:rsidRDefault="007F79FA" w:rsidP="009647BF">
      <w:pPr>
        <w:pStyle w:val="ListParagraph"/>
        <w:numPr>
          <w:ilvl w:val="2"/>
          <w:numId w:val="35"/>
        </w:numPr>
      </w:pPr>
      <w:r>
        <w:t>Documentation of condemnation or foreclosure</w:t>
      </w:r>
      <w:r w:rsidR="00E7415C">
        <w:t>;</w:t>
      </w:r>
    </w:p>
    <w:p w14:paraId="7004833D" w14:textId="750B8C1B" w:rsidR="007F79FA" w:rsidRDefault="007F79FA" w:rsidP="007F79FA">
      <w:pPr>
        <w:ind w:left="360"/>
      </w:pPr>
      <w:r>
        <w:t>OR</w:t>
      </w:r>
    </w:p>
    <w:p w14:paraId="088D7077" w14:textId="706C2E93" w:rsidR="007F79FA" w:rsidRDefault="007F79FA" w:rsidP="009647BF">
      <w:pPr>
        <w:pStyle w:val="ListParagraph"/>
        <w:numPr>
          <w:ilvl w:val="1"/>
          <w:numId w:val="35"/>
        </w:numPr>
      </w:pPr>
      <w:r>
        <w:t>Evidence that the project is at risk of losing its affordability level:</w:t>
      </w:r>
    </w:p>
    <w:p w14:paraId="1DB6E1AD" w14:textId="389BBFFB" w:rsidR="007F79FA" w:rsidRDefault="00D8136B" w:rsidP="009647BF">
      <w:pPr>
        <w:pStyle w:val="ListParagraph"/>
        <w:numPr>
          <w:ilvl w:val="2"/>
          <w:numId w:val="35"/>
        </w:numPr>
      </w:pPr>
      <w:r>
        <w:t xml:space="preserve">Documentation showing that operating expenses or capital repair needs are so high that, without an award of LIHTC, only very high rent increases will keep the project in acceptable condition and financially feasible; </w:t>
      </w:r>
      <w:r w:rsidR="00EF2FB8">
        <w:t>AND</w:t>
      </w:r>
    </w:p>
    <w:p w14:paraId="7AACC5B3" w14:textId="507DDB3C" w:rsidR="00D8136B" w:rsidRDefault="00D8136B" w:rsidP="009647BF">
      <w:pPr>
        <w:pStyle w:val="ListParagraph"/>
        <w:numPr>
          <w:ilvl w:val="2"/>
          <w:numId w:val="35"/>
        </w:numPr>
      </w:pPr>
      <w:r>
        <w:t>If the current owner or a related party of the current owner will retain an ownership interest in the project post-rehabilitation, documentation demonstrating that the owner did not materially contribute to the decline of the property that created the high operating expenses or capital repair needs;</w:t>
      </w:r>
    </w:p>
    <w:p w14:paraId="4E3FA45F" w14:textId="79267654" w:rsidR="00E7415C" w:rsidRDefault="00E7415C" w:rsidP="009647BF">
      <w:pPr>
        <w:pStyle w:val="ListParagraph"/>
        <w:numPr>
          <w:ilvl w:val="0"/>
          <w:numId w:val="35"/>
        </w:numPr>
      </w:pPr>
      <w:r>
        <w:t>A</w:t>
      </w:r>
      <w:r w:rsidRPr="00E7415C">
        <w:t>greement precluding the involuntary displacement of any existing resident (other than for good cause) and, in the case of scattered site projects, a copy of the relocation plan for over-income residents;</w:t>
      </w:r>
    </w:p>
    <w:p w14:paraId="568BA06E" w14:textId="08B4324C" w:rsidR="00E7415C" w:rsidRDefault="00E7415C" w:rsidP="009647BF">
      <w:pPr>
        <w:pStyle w:val="ListParagraph"/>
        <w:numPr>
          <w:ilvl w:val="0"/>
          <w:numId w:val="35"/>
        </w:numPr>
      </w:pPr>
      <w:r w:rsidRPr="00E7415C">
        <w:t>Current rent roll indicat</w:t>
      </w:r>
      <w:r>
        <w:t>ing that</w:t>
      </w:r>
      <w:r w:rsidRPr="00E7415C">
        <w:t xml:space="preserve"> the project is at least 50</w:t>
      </w:r>
      <w:r>
        <w:t>%</w:t>
      </w:r>
      <w:r w:rsidRPr="00E7415C">
        <w:t xml:space="preserve"> occupied</w:t>
      </w:r>
      <w:r>
        <w:t>,</w:t>
      </w:r>
      <w:r w:rsidRPr="00E7415C">
        <w:t xml:space="preserve"> </w:t>
      </w:r>
      <w:r>
        <w:t>which wi</w:t>
      </w:r>
      <w:r w:rsidRPr="00E7415C">
        <w:t>ll be compared to the Rent Qualification Chart to ensure rents remain at or near existing levels;</w:t>
      </w:r>
    </w:p>
    <w:p w14:paraId="35B3573B" w14:textId="225D05D1" w:rsidR="00E7415C" w:rsidRDefault="00E7415C" w:rsidP="009647BF">
      <w:pPr>
        <w:pStyle w:val="ListParagraph"/>
        <w:numPr>
          <w:ilvl w:val="0"/>
          <w:numId w:val="35"/>
        </w:numPr>
      </w:pPr>
      <w:r>
        <w:t>If the applicable fraction used in the application differs from the applicable fraction based on existing residents, an explanation of the applicable fraction used in the application;</w:t>
      </w:r>
    </w:p>
    <w:p w14:paraId="682A0137" w14:textId="0483438D" w:rsidR="00E7415C" w:rsidRDefault="00E7415C" w:rsidP="009647BF">
      <w:pPr>
        <w:pStyle w:val="ListParagraph"/>
        <w:numPr>
          <w:ilvl w:val="0"/>
          <w:numId w:val="35"/>
        </w:numPr>
      </w:pPr>
      <w:r>
        <w:t>Owner certification that the proposal is for rehabilitation of at least 75% of the affordable units and that there will be no new construction of units; and</w:t>
      </w:r>
    </w:p>
    <w:p w14:paraId="6A25DE14" w14:textId="6132745A" w:rsidR="00E7415C" w:rsidRDefault="00E7415C" w:rsidP="009647BF">
      <w:pPr>
        <w:pStyle w:val="ListParagraph"/>
        <w:numPr>
          <w:ilvl w:val="0"/>
          <w:numId w:val="35"/>
        </w:numPr>
      </w:pPr>
      <w:r>
        <w:t>Capital Needs Assessment certified by the project architect, which illustrates that the proposed rehabilitation meets identified critical repair items and 12-month physical needs.</w:t>
      </w:r>
    </w:p>
    <w:p w14:paraId="26F706C5" w14:textId="4D5A5C4B" w:rsidR="00921A5F" w:rsidRDefault="00921A5F">
      <w:r>
        <w:br w:type="page"/>
      </w:r>
    </w:p>
    <w:p w14:paraId="4B20C430" w14:textId="78D1B586" w:rsidR="00B22112" w:rsidRDefault="00B22112" w:rsidP="00713F77">
      <w:pPr>
        <w:pStyle w:val="Heading3"/>
      </w:pPr>
      <w:bookmarkStart w:id="50" w:name="_Toc230012679"/>
      <w:r>
        <w:lastRenderedPageBreak/>
        <w:t>Emerging Developer Set-Aside</w:t>
      </w:r>
      <w:bookmarkEnd w:id="50"/>
    </w:p>
    <w:p w14:paraId="07B2C2AF" w14:textId="7A97627B" w:rsidR="00187272" w:rsidRDefault="00EF2FB8" w:rsidP="00187272">
      <w:r w:rsidRPr="00EF2FB8">
        <w:t>As per N.J.A.C. 5:80-33.4(a)</w:t>
      </w:r>
      <w:r>
        <w:t>3</w:t>
      </w:r>
      <w:r w:rsidRPr="00EF2FB8">
        <w:t>,</w:t>
      </w:r>
      <w:r>
        <w:t xml:space="preserve"> </w:t>
      </w:r>
      <w:r w:rsidR="00B30104">
        <w:t>the fifth reservation of credits from the Family Cycle will be awarded to the highest-ranking eligible application that is developed by an Emerging Developer with at least a 70% interest in the project’s general partner/managing member. The maximum annual allocation per project is $2,000,000.</w:t>
      </w:r>
      <w:r w:rsidR="008976D8">
        <w:t xml:space="preserve"> Total development cost limits apply. To be eligible for the Emerging Developer Set-Aside, the following must be true:</w:t>
      </w:r>
    </w:p>
    <w:p w14:paraId="5387107C" w14:textId="3D5944FC" w:rsidR="00C13D51" w:rsidRDefault="00C13D51" w:rsidP="009647BF">
      <w:pPr>
        <w:pStyle w:val="ListParagraph"/>
        <w:numPr>
          <w:ilvl w:val="0"/>
          <w:numId w:val="37"/>
        </w:numPr>
      </w:pPr>
      <w:r>
        <w:t>The developer is an emerging developer, i.e.:</w:t>
      </w:r>
    </w:p>
    <w:p w14:paraId="4C792742" w14:textId="016A7F1D" w:rsidR="00C13D51" w:rsidRDefault="00C13D51" w:rsidP="009647BF">
      <w:pPr>
        <w:pStyle w:val="ListParagraph"/>
        <w:numPr>
          <w:ilvl w:val="1"/>
          <w:numId w:val="37"/>
        </w:numPr>
      </w:pPr>
      <w:r>
        <w:t>They have had equity participation in no fewer than two multifamily residential and/or mixed-use projects, with at least one of the projects having 25 or more units;</w:t>
      </w:r>
    </w:p>
    <w:p w14:paraId="753679F5" w14:textId="7DABA2FD" w:rsidR="00C13D51" w:rsidRDefault="00C13D51" w:rsidP="009647BF">
      <w:pPr>
        <w:pStyle w:val="ListParagraph"/>
        <w:numPr>
          <w:ilvl w:val="1"/>
          <w:numId w:val="37"/>
        </w:numPr>
      </w:pPr>
      <w:r>
        <w:t>They qualify for fewer than three points for development experience pursuant to N.J.A.C. 5:80-33.15(a)20; and</w:t>
      </w:r>
    </w:p>
    <w:p w14:paraId="2DC1C4E7" w14:textId="6FE0885A" w:rsidR="00C13D51" w:rsidRDefault="00C13D51" w:rsidP="009647BF">
      <w:pPr>
        <w:pStyle w:val="ListParagraph"/>
        <w:numPr>
          <w:ilvl w:val="1"/>
          <w:numId w:val="37"/>
        </w:numPr>
      </w:pPr>
      <w:r>
        <w:t>They do not have any active LIHTC awards, allocations, or reservations for projects in development that, once all completed, would qualify the developer for three points pursuant to N.J.A.C. 5:80-33.15(a)20.</w:t>
      </w:r>
    </w:p>
    <w:p w14:paraId="395902F4" w14:textId="182160B0" w:rsidR="008976D8" w:rsidRDefault="008976D8" w:rsidP="009647BF">
      <w:pPr>
        <w:pStyle w:val="ListParagraph"/>
        <w:numPr>
          <w:ilvl w:val="0"/>
          <w:numId w:val="37"/>
        </w:numPr>
      </w:pPr>
      <w:r>
        <w:t>The application scores at least 63 points, i.e., 65% of the maximum Family Cycle point score.</w:t>
      </w:r>
    </w:p>
    <w:p w14:paraId="2AC4C453" w14:textId="3D78FDD7" w:rsidR="00553672" w:rsidRDefault="008976D8" w:rsidP="009647BF">
      <w:pPr>
        <w:pStyle w:val="ListParagraph"/>
        <w:numPr>
          <w:ilvl w:val="0"/>
          <w:numId w:val="37"/>
        </w:numPr>
      </w:pPr>
      <w:r>
        <w:t xml:space="preserve">The </w:t>
      </w:r>
      <w:r w:rsidR="00553672">
        <w:t>application scores the maximum points available for</w:t>
      </w:r>
      <w:r w:rsidR="00143ACE">
        <w:t xml:space="preserve"> e</w:t>
      </w:r>
      <w:r w:rsidR="00553672">
        <w:t>xtended affordability (20 points for non-TUM; 15 points for TUM)</w:t>
      </w:r>
      <w:r w:rsidR="00C13D51">
        <w:t xml:space="preserve"> and</w:t>
      </w:r>
      <w:r w:rsidR="00143ACE">
        <w:t xml:space="preserve"> for s</w:t>
      </w:r>
      <w:r w:rsidR="00553672">
        <w:t>ite selection (6 points)</w:t>
      </w:r>
      <w:r w:rsidR="00C13D51">
        <w:t>.</w:t>
      </w:r>
    </w:p>
    <w:p w14:paraId="321DCA7D" w14:textId="7761BA1D" w:rsidR="00553672" w:rsidRDefault="00553672" w:rsidP="009647BF">
      <w:pPr>
        <w:pStyle w:val="ListParagraph"/>
        <w:numPr>
          <w:ilvl w:val="0"/>
          <w:numId w:val="37"/>
        </w:numPr>
      </w:pPr>
      <w:r>
        <w:t>At least three members of the development team have previous experience with NJHMFA, including the architect, the general contractor, and another development team member that is not a project consultant.</w:t>
      </w:r>
    </w:p>
    <w:p w14:paraId="59530357" w14:textId="55C8D551" w:rsidR="00553672" w:rsidRDefault="00553672" w:rsidP="009647BF">
      <w:pPr>
        <w:pStyle w:val="ListParagraph"/>
        <w:numPr>
          <w:ilvl w:val="0"/>
          <w:numId w:val="37"/>
        </w:numPr>
      </w:pPr>
      <w:r>
        <w:t>The developer enters into a management agreement with a property management company that has at least five years of experience monitoring LIHTC projects and a tax credit portfolio of no fewer than 300 units.</w:t>
      </w:r>
    </w:p>
    <w:p w14:paraId="371717DC" w14:textId="77777777" w:rsidR="00553672" w:rsidRDefault="00553672" w:rsidP="009647BF">
      <w:pPr>
        <w:pStyle w:val="ListParagraph"/>
        <w:numPr>
          <w:ilvl w:val="0"/>
          <w:numId w:val="37"/>
        </w:numPr>
      </w:pPr>
      <w:r>
        <w:t>The developer is not related to or controlled by a non-emerging developer.</w:t>
      </w:r>
    </w:p>
    <w:p w14:paraId="33BA679A" w14:textId="14EC1E27" w:rsidR="00553672" w:rsidRDefault="00553672" w:rsidP="009647BF">
      <w:pPr>
        <w:pStyle w:val="ListParagraph"/>
        <w:numPr>
          <w:ilvl w:val="0"/>
          <w:numId w:val="37"/>
        </w:numPr>
      </w:pPr>
      <w:r>
        <w:t>The developer is not otherwise determined by NJHMFA to not meet the criteria established for an Emerging Developer.</w:t>
      </w:r>
    </w:p>
    <w:p w14:paraId="417FB14D" w14:textId="651B9A41" w:rsidR="00553672" w:rsidRDefault="00553672" w:rsidP="00553672">
      <w:r>
        <w:t>If applying for the Emerging Developer Set-Aside, include the following documents:</w:t>
      </w:r>
    </w:p>
    <w:p w14:paraId="32DCE78F" w14:textId="50003EBE" w:rsidR="00CA7F21" w:rsidRDefault="00CA7F21" w:rsidP="009647BF">
      <w:pPr>
        <w:pStyle w:val="ListParagraph"/>
        <w:numPr>
          <w:ilvl w:val="0"/>
          <w:numId w:val="38"/>
        </w:numPr>
      </w:pPr>
      <w:r>
        <w:t>Evidence of the developer’s equity participation in at least two multifamily residential and/or mixed-use projects</w:t>
      </w:r>
      <w:r w:rsidR="002F527D">
        <w:t xml:space="preserve"> (with at least one having 25 or more units)</w:t>
      </w:r>
      <w:r>
        <w:t>, including</w:t>
      </w:r>
      <w:r w:rsidR="005506AF">
        <w:t>, but not limited to,</w:t>
      </w:r>
      <w:r>
        <w:t xml:space="preserve"> </w:t>
      </w:r>
      <w:r w:rsidR="002F527D">
        <w:t>the names and locations of the projects, the unit counts of the projects, the developer’s ownership percentage in each project, and a summary of the developer’s participation in each project;</w:t>
      </w:r>
    </w:p>
    <w:p w14:paraId="78991C19" w14:textId="00616143" w:rsidR="00553672" w:rsidRDefault="00553672" w:rsidP="009647BF">
      <w:pPr>
        <w:pStyle w:val="ListParagraph"/>
        <w:numPr>
          <w:ilvl w:val="0"/>
          <w:numId w:val="38"/>
        </w:numPr>
      </w:pPr>
      <w:r>
        <w:t>Two letters of support/reference from investors, lenders, and/or housing finance agencies, that describe previous and/or current experiences with the developer. At least one of the letters of support/reference must be from an investor or lender participating in the project</w:t>
      </w:r>
      <w:r w:rsidR="00CA7F21">
        <w:t>;</w:t>
      </w:r>
    </w:p>
    <w:p w14:paraId="16071CF2" w14:textId="60AE1731" w:rsidR="00553672" w:rsidRDefault="00637030" w:rsidP="009647BF">
      <w:pPr>
        <w:pStyle w:val="ListParagraph"/>
        <w:numPr>
          <w:ilvl w:val="0"/>
          <w:numId w:val="38"/>
        </w:numPr>
      </w:pPr>
      <w:r>
        <w:t>R</w:t>
      </w:r>
      <w:r w:rsidRPr="00D47C36">
        <w:t>é</w:t>
      </w:r>
      <w:r>
        <w:t>sum</w:t>
      </w:r>
      <w:r w:rsidRPr="00D47C36">
        <w:t>é</w:t>
      </w:r>
      <w:r>
        <w:t>s/other evidence for the three members of the development team that have previous experience with NJHMFA:</w:t>
      </w:r>
    </w:p>
    <w:p w14:paraId="0CDEB98D" w14:textId="1EB2A935" w:rsidR="00637030" w:rsidRDefault="00637030" w:rsidP="009647BF">
      <w:pPr>
        <w:pStyle w:val="ListParagraph"/>
        <w:numPr>
          <w:ilvl w:val="1"/>
          <w:numId w:val="38"/>
        </w:numPr>
      </w:pPr>
      <w:r>
        <w:t>Architect;</w:t>
      </w:r>
    </w:p>
    <w:p w14:paraId="3EAEC2A8" w14:textId="7376C6A6" w:rsidR="00637030" w:rsidRDefault="00637030" w:rsidP="009647BF">
      <w:pPr>
        <w:pStyle w:val="ListParagraph"/>
        <w:numPr>
          <w:ilvl w:val="1"/>
          <w:numId w:val="38"/>
        </w:numPr>
      </w:pPr>
      <w:r>
        <w:t>General contractor; and</w:t>
      </w:r>
    </w:p>
    <w:p w14:paraId="29CD9921" w14:textId="6722D199" w:rsidR="00637030" w:rsidRDefault="00637030" w:rsidP="009647BF">
      <w:pPr>
        <w:pStyle w:val="ListParagraph"/>
        <w:numPr>
          <w:ilvl w:val="1"/>
          <w:numId w:val="38"/>
        </w:numPr>
      </w:pPr>
      <w:r>
        <w:t>Another development team member that is not a project consultant</w:t>
      </w:r>
      <w:r w:rsidR="00CA7F21">
        <w:t>;</w:t>
      </w:r>
    </w:p>
    <w:p w14:paraId="258FF138" w14:textId="314D5862" w:rsidR="00637030" w:rsidRDefault="00637030" w:rsidP="009647BF">
      <w:pPr>
        <w:pStyle w:val="ListParagraph"/>
        <w:numPr>
          <w:ilvl w:val="0"/>
          <w:numId w:val="38"/>
        </w:numPr>
      </w:pPr>
      <w:r>
        <w:t>A copy of the management agreement with a property management company that has at least five years of experience monitoring LIHTC projects and a tax credit portfolio of no fewer than 300 units</w:t>
      </w:r>
      <w:r w:rsidR="00CA7F21">
        <w:t>; and</w:t>
      </w:r>
    </w:p>
    <w:p w14:paraId="027FEF1E" w14:textId="5498AE3E" w:rsidR="006C26ED" w:rsidRDefault="00637030" w:rsidP="009647BF">
      <w:pPr>
        <w:pStyle w:val="ListParagraph"/>
        <w:numPr>
          <w:ilvl w:val="0"/>
          <w:numId w:val="38"/>
        </w:numPr>
      </w:pPr>
      <w:r>
        <w:t>A</w:t>
      </w:r>
      <w:r w:rsidRPr="00637030">
        <w:t xml:space="preserve"> certificate of completion for a housing development training course, as well as a description of the course.</w:t>
      </w:r>
    </w:p>
    <w:p w14:paraId="4301142E" w14:textId="65AF0761" w:rsidR="00143ACE" w:rsidRDefault="00143ACE">
      <w:r>
        <w:br w:type="page"/>
      </w:r>
    </w:p>
    <w:p w14:paraId="76578CBD" w14:textId="74AF4404" w:rsidR="00B22112" w:rsidRDefault="00B22112" w:rsidP="00C17BFE">
      <w:pPr>
        <w:pStyle w:val="Heading2"/>
        <w:numPr>
          <w:ilvl w:val="0"/>
          <w:numId w:val="0"/>
        </w:numPr>
        <w:ind w:left="360" w:hanging="360"/>
        <w:jc w:val="center"/>
      </w:pPr>
      <w:bookmarkStart w:id="51" w:name="_Toc230012680"/>
      <w:r>
        <w:lastRenderedPageBreak/>
        <w:t>Section C. Points Documentation</w:t>
      </w:r>
      <w:bookmarkEnd w:id="51"/>
    </w:p>
    <w:p w14:paraId="6547005C" w14:textId="42058273" w:rsidR="00334840" w:rsidRDefault="008C1407" w:rsidP="00334840">
      <w:r>
        <w:t xml:space="preserve">In this section, for each category in which you are claiming points, provide the required information and insert all required attachments. </w:t>
      </w:r>
      <w:r w:rsidR="009F5B84">
        <w:t>For some categories, no additional information</w:t>
      </w:r>
      <w:r w:rsidR="00836180">
        <w:t xml:space="preserve"> and attachments</w:t>
      </w:r>
      <w:r w:rsidR="009F5B84">
        <w:t xml:space="preserve"> </w:t>
      </w:r>
      <w:r w:rsidR="00836180">
        <w:t>are</w:t>
      </w:r>
      <w:r w:rsidR="009F5B84">
        <w:t xml:space="preserve"> required beyond what is in your submitted score sheet. </w:t>
      </w:r>
      <w:r>
        <w:t xml:space="preserve">The information and attachments provided for this section must match </w:t>
      </w:r>
      <w:r w:rsidR="009F5B84">
        <w:t>your</w:t>
      </w:r>
      <w:r>
        <w:t xml:space="preserve"> submitted score sheet.</w:t>
      </w:r>
    </w:p>
    <w:p w14:paraId="0F121A92" w14:textId="619ECF21" w:rsidR="00B22112" w:rsidRDefault="00713F77" w:rsidP="009647BF">
      <w:pPr>
        <w:pStyle w:val="Heading3"/>
        <w:numPr>
          <w:ilvl w:val="0"/>
          <w:numId w:val="3"/>
        </w:numPr>
        <w:ind w:left="360"/>
      </w:pPr>
      <w:bookmarkStart w:id="52" w:name="_Toc230012681"/>
      <w:r>
        <w:t>Compliance Period/Tenant Ownership</w:t>
      </w:r>
      <w:bookmarkEnd w:id="52"/>
    </w:p>
    <w:p w14:paraId="06DBF0D2" w14:textId="3EB24EA7" w:rsidR="00834741" w:rsidRPr="00834741" w:rsidRDefault="00834741" w:rsidP="00834741">
      <w:r>
        <w:t>The minimum term of the low-income occupancy commitment required by the Code is 30 years: a 15-year compliance period plus a 15-year extended use period. This restriction will be enforceable by NJHMFA and future tenants via a Deed of Easement and Restrictive Covenant which will be recorded by NJHMFA pursuant to State law.</w:t>
      </w:r>
    </w:p>
    <w:p w14:paraId="16CEEE54" w14:textId="73C78D9E" w:rsidR="008C1407" w:rsidRPr="008C1407" w:rsidRDefault="008C1407" w:rsidP="008C1407">
      <w:pPr>
        <w:rPr>
          <w:b/>
          <w:bCs/>
        </w:rPr>
      </w:pPr>
      <w:r w:rsidRPr="008C1407">
        <w:rPr>
          <w:b/>
          <w:bCs/>
        </w:rPr>
        <w:t>Point Options:</w:t>
      </w:r>
    </w:p>
    <w:p w14:paraId="55BAC166" w14:textId="47647B03" w:rsidR="008C1407" w:rsidRDefault="008C1407" w:rsidP="009647BF">
      <w:pPr>
        <w:pStyle w:val="ListParagraph"/>
        <w:numPr>
          <w:ilvl w:val="0"/>
          <w:numId w:val="39"/>
        </w:numPr>
      </w:pPr>
      <w:r w:rsidRPr="00E84F60">
        <w:rPr>
          <w:b/>
          <w:bCs/>
        </w:rPr>
        <w:t>Increase in compliance period</w:t>
      </w:r>
      <w:r w:rsidR="00834741">
        <w:rPr>
          <w:b/>
          <w:bCs/>
        </w:rPr>
        <w:t xml:space="preserve"> by 15 years</w:t>
      </w:r>
      <w:r w:rsidRPr="00E84F60">
        <w:rPr>
          <w:b/>
          <w:bCs/>
        </w:rPr>
        <w:t xml:space="preserve"> (non-TUM projects) — 20 points</w:t>
      </w:r>
      <w:r w:rsidR="00E84F60">
        <w:br/>
      </w:r>
      <w:r w:rsidR="00E84F60">
        <w:br/>
        <w:t>A sponsor electing to extend the compliance period for 15 years will be restricting its property for 45 years—a 30-year compliance period and a 15-year extended use period.</w:t>
      </w:r>
      <w:r w:rsidR="00E84F60">
        <w:br/>
      </w:r>
      <w:r w:rsidR="00E84F60">
        <w:br/>
        <w:t>NOTE: Extension of the compliance period bars the utilization of section 42(h)(6)(I) of the Code until the beginning of the last year of the extended compliance period (i.e.</w:t>
      </w:r>
      <w:r w:rsidR="00834741">
        <w:t>,</w:t>
      </w:r>
      <w:r w:rsidR="00E84F60">
        <w:t xml:space="preserve"> until year 30 in the preceding example).</w:t>
      </w:r>
    </w:p>
    <w:p w14:paraId="58696165" w14:textId="74D00F55" w:rsidR="008C1407" w:rsidRPr="00E84F60" w:rsidRDefault="008C1407" w:rsidP="009647BF">
      <w:pPr>
        <w:pStyle w:val="ListParagraph"/>
        <w:numPr>
          <w:ilvl w:val="0"/>
          <w:numId w:val="39"/>
        </w:numPr>
        <w:rPr>
          <w:b/>
          <w:bCs/>
        </w:rPr>
      </w:pPr>
      <w:r w:rsidRPr="00E84F60">
        <w:rPr>
          <w:b/>
          <w:bCs/>
        </w:rPr>
        <w:t xml:space="preserve">Increase in compliance period </w:t>
      </w:r>
      <w:r w:rsidR="00834741">
        <w:rPr>
          <w:b/>
          <w:bCs/>
        </w:rPr>
        <w:t xml:space="preserve">by 15 years </w:t>
      </w:r>
      <w:r w:rsidRPr="00E84F60">
        <w:rPr>
          <w:b/>
          <w:bCs/>
        </w:rPr>
        <w:t>(TUM projects) — 15 points</w:t>
      </w:r>
      <w:r w:rsidR="00E84F60" w:rsidRPr="00E84F60">
        <w:rPr>
          <w:b/>
          <w:bCs/>
        </w:rPr>
        <w:br/>
      </w:r>
      <w:r w:rsidR="00E84F60" w:rsidRPr="00E84F60">
        <w:br/>
        <w:t>Refer to the 202</w:t>
      </w:r>
      <w:r w:rsidR="00E84F60">
        <w:t>6</w:t>
      </w:r>
      <w:r w:rsidR="00E84F60" w:rsidRPr="00E84F60">
        <w:t xml:space="preserve"> TUM list for municipalities that are eligible.</w:t>
      </w:r>
    </w:p>
    <w:p w14:paraId="1C6004F6" w14:textId="325D9818" w:rsidR="008C1407" w:rsidRPr="00E84F60" w:rsidRDefault="008C1407" w:rsidP="009647BF">
      <w:pPr>
        <w:pStyle w:val="ListParagraph"/>
        <w:numPr>
          <w:ilvl w:val="0"/>
          <w:numId w:val="39"/>
        </w:numPr>
        <w:rPr>
          <w:b/>
          <w:bCs/>
        </w:rPr>
      </w:pPr>
      <w:r w:rsidRPr="00E84F60">
        <w:rPr>
          <w:b/>
          <w:bCs/>
        </w:rPr>
        <w:t>Conversion to tenant ownership (</w:t>
      </w:r>
      <w:r w:rsidR="00E84F60" w:rsidRPr="00E84F60">
        <w:rPr>
          <w:b/>
          <w:bCs/>
        </w:rPr>
        <w:t>single-family/duplex housing only) — 10 points</w:t>
      </w:r>
      <w:r w:rsidR="00E84F60" w:rsidRPr="00E84F60">
        <w:rPr>
          <w:b/>
          <w:bCs/>
        </w:rPr>
        <w:br/>
      </w:r>
      <w:r w:rsidR="00E84F60" w:rsidRPr="00E84F60">
        <w:br/>
      </w:r>
      <w:r w:rsidR="00E84F60">
        <w:t xml:space="preserve">Single-family and duplex projects which are structured to convert to home ownership at the expiration of the compliance period will earn 10 points. The anticipated conversion must be reflected in the syndication documents. The Deed of Easement and Restrictive Covenant filed by NJHMFA </w:t>
      </w:r>
      <w:r w:rsidR="00834741">
        <w:t>sha</w:t>
      </w:r>
      <w:r w:rsidR="00E84F60">
        <w:t>ll reflect a right of first refusal by the owner to the tenants.</w:t>
      </w:r>
    </w:p>
    <w:p w14:paraId="5C770221" w14:textId="16784F26" w:rsidR="00C65B69" w:rsidRPr="008C1407" w:rsidRDefault="00334840" w:rsidP="00C65B69">
      <w:pPr>
        <w:rPr>
          <w:b/>
          <w:bCs/>
        </w:rPr>
      </w:pPr>
      <w:r w:rsidRPr="008C1407">
        <w:rPr>
          <w:b/>
          <w:bCs/>
        </w:rPr>
        <w:t>Required Information</w:t>
      </w:r>
      <w:r w:rsidR="008C1407">
        <w:rPr>
          <w:b/>
          <w:bCs/>
        </w:rPr>
        <w:t>:</w:t>
      </w:r>
    </w:p>
    <w:p w14:paraId="05BF60C1" w14:textId="18B1B099" w:rsidR="00334840" w:rsidRDefault="00334840" w:rsidP="00334840">
      <w:pPr>
        <w:tabs>
          <w:tab w:val="left" w:pos="720"/>
          <w:tab w:val="left" w:pos="5040"/>
          <w:tab w:val="left" w:pos="5760"/>
          <w:tab w:val="left" w:pos="6480"/>
        </w:tabs>
      </w:pPr>
      <w:r>
        <w:tab/>
        <w:t>Length of Compliance Period (min. 15):</w:t>
      </w:r>
      <w:r>
        <w:tab/>
      </w:r>
      <w:r>
        <w:tab/>
        <w:t>_____</w:t>
      </w:r>
      <w:r>
        <w:tab/>
        <w:t>years</w:t>
      </w:r>
      <w:r>
        <w:br/>
        <w:t xml:space="preserve">plus </w:t>
      </w:r>
      <w:r>
        <w:tab/>
        <w:t>Length of Extended Use Period:</w:t>
      </w:r>
      <w:r>
        <w:tab/>
        <w:t>+</w:t>
      </w:r>
      <w:r>
        <w:tab/>
        <w:t>15</w:t>
      </w:r>
      <w:r>
        <w:tab/>
        <w:t>years</w:t>
      </w:r>
    </w:p>
    <w:p w14:paraId="25426823" w14:textId="6F84E403" w:rsidR="00334840" w:rsidRDefault="00334840" w:rsidP="00334840">
      <w:pPr>
        <w:tabs>
          <w:tab w:val="left" w:pos="720"/>
          <w:tab w:val="left" w:pos="5040"/>
          <w:tab w:val="left" w:pos="5760"/>
          <w:tab w:val="left" w:pos="6480"/>
        </w:tabs>
      </w:pPr>
      <w:r>
        <w:t>equals</w:t>
      </w:r>
      <w:r>
        <w:tab/>
        <w:t>Total Term of Low-Income Occupancy:</w:t>
      </w:r>
      <w:r>
        <w:tab/>
        <w:t>=</w:t>
      </w:r>
      <w:r>
        <w:tab/>
        <w:t>_____</w:t>
      </w:r>
      <w:r>
        <w:tab/>
        <w:t>years</w:t>
      </w:r>
    </w:p>
    <w:p w14:paraId="5CB9F934" w14:textId="562C97D3" w:rsidR="00334840" w:rsidRDefault="00334840" w:rsidP="00C65B69">
      <w:r w:rsidRPr="00334840">
        <w:rPr>
          <w:b/>
          <w:bCs/>
        </w:rPr>
        <w:t>Required Attachments:</w:t>
      </w:r>
      <w:r>
        <w:t xml:space="preserve"> None</w:t>
      </w:r>
    </w:p>
    <w:p w14:paraId="0DCBF501" w14:textId="19B76334" w:rsidR="00834741" w:rsidRDefault="00834741">
      <w:r>
        <w:br w:type="page"/>
      </w:r>
    </w:p>
    <w:p w14:paraId="6B0C53E4" w14:textId="79D2AA6A" w:rsidR="00713F77" w:rsidRDefault="00713F77" w:rsidP="00713F77">
      <w:pPr>
        <w:pStyle w:val="Heading3"/>
      </w:pPr>
      <w:bookmarkStart w:id="53" w:name="_Toc230012682"/>
      <w:r>
        <w:lastRenderedPageBreak/>
        <w:t>Public Housing Waiting Lists</w:t>
      </w:r>
      <w:bookmarkEnd w:id="53"/>
    </w:p>
    <w:p w14:paraId="4489E24F" w14:textId="5F324B52" w:rsidR="00E84F60" w:rsidRDefault="00E84F60" w:rsidP="00C65B69">
      <w:r w:rsidRPr="00E84F60">
        <w:rPr>
          <w:b/>
          <w:bCs/>
        </w:rPr>
        <w:t>Point Option:</w:t>
      </w:r>
      <w:r>
        <w:t xml:space="preserve"> Project utilizes public housing waiting lists — 2 points</w:t>
      </w:r>
    </w:p>
    <w:p w14:paraId="46B5B18B" w14:textId="05950BED" w:rsidR="00E84F60" w:rsidRDefault="00E84F60" w:rsidP="00C65B69">
      <w:r w:rsidRPr="00E84F60">
        <w:rPr>
          <w:b/>
          <w:bCs/>
        </w:rPr>
        <w:t>Required Information:</w:t>
      </w:r>
      <w:r>
        <w:t xml:space="preserve"> None</w:t>
      </w:r>
    </w:p>
    <w:p w14:paraId="33714EF1" w14:textId="43B60F80" w:rsidR="00E84F60" w:rsidRDefault="00E84F60" w:rsidP="00E84F60">
      <w:r w:rsidRPr="00E84F60">
        <w:rPr>
          <w:b/>
          <w:bCs/>
        </w:rPr>
        <w:t>Required Attachment:</w:t>
      </w:r>
      <w:r>
        <w:t xml:space="preserve"> A</w:t>
      </w:r>
      <w:r w:rsidRPr="00E84F60">
        <w:t xml:space="preserve"> letter from the local Public Housing Authority (“PHA”) stating that prospective tenants will be referred to the project </w:t>
      </w:r>
      <w:r>
        <w:t>OR</w:t>
      </w:r>
      <w:r w:rsidRPr="00E84F60">
        <w:t xml:space="preserve"> that the PHA will notify its waiting list of vacancies in the subject development</w:t>
      </w:r>
      <w:r>
        <w:t>.</w:t>
      </w:r>
    </w:p>
    <w:p w14:paraId="47EF327F" w14:textId="48F69AE7" w:rsidR="00834741" w:rsidRDefault="00834741"/>
    <w:p w14:paraId="40E25A09" w14:textId="0847D762" w:rsidR="00713F77" w:rsidRDefault="00713F77" w:rsidP="00713F77">
      <w:pPr>
        <w:pStyle w:val="Heading3"/>
      </w:pPr>
      <w:bookmarkStart w:id="54" w:name="_Toc230012683"/>
      <w:r>
        <w:t>Large-Family Units</w:t>
      </w:r>
      <w:r w:rsidR="00334840">
        <w:t xml:space="preserve"> (Family Cycle Only)</w:t>
      </w:r>
      <w:bookmarkEnd w:id="54"/>
    </w:p>
    <w:p w14:paraId="01EF349D" w14:textId="611737F3" w:rsidR="00E84F60" w:rsidRDefault="00E84F60" w:rsidP="00E84F60">
      <w:r w:rsidRPr="00E84F60">
        <w:rPr>
          <w:b/>
          <w:bCs/>
        </w:rPr>
        <w:t>Point Option:</w:t>
      </w:r>
      <w:r>
        <w:t xml:space="preserve"> Project consists of low-density buildings where large-family units (i.e., </w:t>
      </w:r>
      <w:r w:rsidR="00277681">
        <w:t>3BR or larger) compose at least 25% of the LIHTC units (based on unit count, not on square footage) — 5 points</w:t>
      </w:r>
    </w:p>
    <w:p w14:paraId="367F1591" w14:textId="446B3810" w:rsidR="00277681" w:rsidRDefault="00E84F60" w:rsidP="00E84F60">
      <w:r w:rsidRPr="00E84F60">
        <w:rPr>
          <w:b/>
          <w:bCs/>
        </w:rPr>
        <w:t>Required Information:</w:t>
      </w:r>
    </w:p>
    <w:p w14:paraId="50C2124C" w14:textId="5395AFF7" w:rsidR="00E84F60" w:rsidRDefault="00277681" w:rsidP="00277681">
      <w:pPr>
        <w:tabs>
          <w:tab w:val="left" w:pos="1440"/>
          <w:tab w:val="left" w:pos="4320"/>
          <w:tab w:val="left" w:pos="5040"/>
          <w:tab w:val="left" w:pos="5760"/>
        </w:tabs>
      </w:pPr>
      <w:r>
        <w:tab/>
        <w:t>Large-Family Units:</w:t>
      </w:r>
      <w:r>
        <w:tab/>
      </w:r>
      <w:r>
        <w:tab/>
        <w:t>_____</w:t>
      </w:r>
      <w:r>
        <w:tab/>
        <w:t>units</w:t>
      </w:r>
      <w:r>
        <w:br/>
        <w:t>divided by</w:t>
      </w:r>
      <w:r>
        <w:tab/>
        <w:t>Total Units:</w:t>
      </w:r>
      <w:r>
        <w:tab/>
        <w:t>÷</w:t>
      </w:r>
      <w:r>
        <w:tab/>
        <w:t>_____</w:t>
      </w:r>
      <w:r>
        <w:tab/>
        <w:t>units</w:t>
      </w:r>
    </w:p>
    <w:p w14:paraId="19384F21" w14:textId="18A76D1E" w:rsidR="00277681" w:rsidRDefault="00277681" w:rsidP="00277681">
      <w:pPr>
        <w:tabs>
          <w:tab w:val="left" w:pos="1440"/>
          <w:tab w:val="left" w:pos="4320"/>
          <w:tab w:val="left" w:pos="5040"/>
          <w:tab w:val="left" w:pos="5760"/>
        </w:tabs>
      </w:pPr>
      <w:r>
        <w:t>Equals</w:t>
      </w:r>
      <w:r>
        <w:tab/>
        <w:t>Large-Family Unit Percentage:</w:t>
      </w:r>
      <w:r>
        <w:tab/>
        <w:t>=</w:t>
      </w:r>
      <w:r>
        <w:tab/>
        <w:t>_____</w:t>
      </w:r>
      <w:r>
        <w:tab/>
        <w:t>%</w:t>
      </w:r>
    </w:p>
    <w:p w14:paraId="42A5A43F" w14:textId="06C8BB9E" w:rsidR="00C65B69" w:rsidRDefault="00E84F60" w:rsidP="00E84F60">
      <w:r w:rsidRPr="00E84F60">
        <w:rPr>
          <w:b/>
          <w:bCs/>
        </w:rPr>
        <w:t>Required Attachments:</w:t>
      </w:r>
      <w:r>
        <w:t xml:space="preserve"> </w:t>
      </w:r>
      <w:r w:rsidR="00277681">
        <w:t>None</w:t>
      </w:r>
    </w:p>
    <w:p w14:paraId="15875ACF" w14:textId="72A15749" w:rsidR="00834741" w:rsidRDefault="00834741">
      <w:r>
        <w:br w:type="page"/>
      </w:r>
    </w:p>
    <w:p w14:paraId="7CBFE266" w14:textId="4823AC80" w:rsidR="00713F77" w:rsidRDefault="00713F77" w:rsidP="00713F77">
      <w:pPr>
        <w:pStyle w:val="Heading3"/>
      </w:pPr>
      <w:bookmarkStart w:id="55" w:name="_Toc230012684"/>
      <w:r>
        <w:lastRenderedPageBreak/>
        <w:t>Municipal Support</w:t>
      </w:r>
      <w:bookmarkEnd w:id="55"/>
    </w:p>
    <w:p w14:paraId="52CDB896" w14:textId="392F41C3" w:rsidR="00277681" w:rsidRDefault="00E84F60" w:rsidP="00E84F60">
      <w:r w:rsidRPr="00E84F60">
        <w:rPr>
          <w:b/>
          <w:bCs/>
        </w:rPr>
        <w:t>Point Options:</w:t>
      </w:r>
    </w:p>
    <w:p w14:paraId="2AACE38E" w14:textId="76AC237D" w:rsidR="00E84F60" w:rsidRPr="00666CD2" w:rsidRDefault="00666CD2" w:rsidP="009647BF">
      <w:pPr>
        <w:pStyle w:val="ListParagraph"/>
        <w:numPr>
          <w:ilvl w:val="0"/>
          <w:numId w:val="40"/>
        </w:numPr>
      </w:pPr>
      <w:r>
        <w:t>F</w:t>
      </w:r>
      <w:r w:rsidR="00277681" w:rsidRPr="00666CD2">
        <w:t xml:space="preserve">ixed-rate tax abatement </w:t>
      </w:r>
      <w:r>
        <w:t xml:space="preserve">for a 15-year term </w:t>
      </w:r>
      <w:r w:rsidR="00277681" w:rsidRPr="00666CD2">
        <w:t xml:space="preserve">with </w:t>
      </w:r>
      <w:r w:rsidRPr="00666CD2">
        <w:t xml:space="preserve">a </w:t>
      </w:r>
      <w:r w:rsidR="00277681" w:rsidRPr="00666CD2">
        <w:t xml:space="preserve">rate of 6.28% or less on the residential component </w:t>
      </w:r>
      <w:r>
        <w:t xml:space="preserve">(inclusive of all fees) </w:t>
      </w:r>
      <w:r w:rsidR="00277681" w:rsidRPr="00666CD2">
        <w:t>— 5 points</w:t>
      </w:r>
    </w:p>
    <w:p w14:paraId="17EF6984" w14:textId="323C0000" w:rsidR="00666CD2" w:rsidRDefault="00666CD2" w:rsidP="009647BF">
      <w:pPr>
        <w:pStyle w:val="ListParagraph"/>
        <w:numPr>
          <w:ilvl w:val="0"/>
          <w:numId w:val="40"/>
        </w:numPr>
      </w:pPr>
      <w:r>
        <w:t>F</w:t>
      </w:r>
      <w:r w:rsidR="00277681" w:rsidRPr="00666CD2">
        <w:t xml:space="preserve">ixed-rate tax abatement </w:t>
      </w:r>
      <w:r>
        <w:t xml:space="preserve">for a 15-year term </w:t>
      </w:r>
      <w:r w:rsidR="00277681" w:rsidRPr="00666CD2">
        <w:t xml:space="preserve">with a rate </w:t>
      </w:r>
      <w:r w:rsidRPr="00666CD2">
        <w:t xml:space="preserve">of more than 6.28% </w:t>
      </w:r>
      <w:r w:rsidR="00277681" w:rsidRPr="00666CD2">
        <w:t>on the residential component — 3 points</w:t>
      </w:r>
    </w:p>
    <w:p w14:paraId="1207B75A" w14:textId="4D11BA75" w:rsidR="00666CD2" w:rsidRDefault="00E84F60" w:rsidP="00E84F60">
      <w:r w:rsidRPr="00E84F60">
        <w:rPr>
          <w:b/>
          <w:bCs/>
        </w:rPr>
        <w:t>Required Information:</w:t>
      </w:r>
    </w:p>
    <w:p w14:paraId="45A29368" w14:textId="277FCBAD" w:rsidR="00E84F60" w:rsidRDefault="00666CD2" w:rsidP="00F863C2">
      <w:pPr>
        <w:tabs>
          <w:tab w:val="left" w:pos="720"/>
          <w:tab w:val="left" w:pos="5040"/>
          <w:tab w:val="left" w:pos="5760"/>
        </w:tabs>
      </w:pPr>
      <w:r>
        <w:t xml:space="preserve">For tax abatements granted </w:t>
      </w:r>
      <w:r w:rsidR="00F863C2">
        <w:t>pursuant to the</w:t>
      </w:r>
      <w:r>
        <w:t xml:space="preserve"> NJHMFA statute at N.J.S.A. 55:14K-37(b)</w:t>
      </w:r>
      <w:r w:rsidR="00BC0AF7">
        <w:t xml:space="preserve"> or pursuant to the New Jersey Fair Housing Act</w:t>
      </w:r>
      <w:r w:rsidR="001A1119">
        <w:t xml:space="preserve"> </w:t>
      </w:r>
      <w:r w:rsidR="00BC0AF7">
        <w:t>at N.J.S.A. 52:27D-329.2(a)(5)</w:t>
      </w:r>
      <w:r>
        <w:t>:</w:t>
      </w:r>
    </w:p>
    <w:p w14:paraId="7EEFBD15" w14:textId="0D28D56F" w:rsidR="00666CD2" w:rsidRDefault="00F863C2" w:rsidP="00F863C2">
      <w:pPr>
        <w:tabs>
          <w:tab w:val="left" w:pos="720"/>
          <w:tab w:val="left" w:pos="5040"/>
          <w:tab w:val="left" w:pos="5760"/>
        </w:tabs>
      </w:pPr>
      <w:r>
        <w:tab/>
      </w:r>
      <w:r w:rsidR="00666CD2">
        <w:t>Term of the Fixed Portion of the Tax Abatement:</w:t>
      </w:r>
      <w:r w:rsidR="00666CD2">
        <w:tab/>
        <w:t>_____</w:t>
      </w:r>
      <w:r w:rsidR="00666CD2">
        <w:tab/>
        <w:t>years</w:t>
      </w:r>
    </w:p>
    <w:p w14:paraId="34D00780" w14:textId="1DACEB82" w:rsidR="00F863C2" w:rsidRDefault="00F863C2" w:rsidP="00F863C2">
      <w:pPr>
        <w:tabs>
          <w:tab w:val="left" w:pos="720"/>
          <w:tab w:val="left" w:pos="5040"/>
          <w:tab w:val="left" w:pos="5760"/>
        </w:tabs>
      </w:pPr>
      <w:r>
        <w:tab/>
        <w:t>Fixed Rate on the Residential Component:</w:t>
      </w:r>
      <w:r>
        <w:tab/>
        <w:t>_____</w:t>
      </w:r>
      <w:r>
        <w:tab/>
        <w:t>%</w:t>
      </w:r>
    </w:p>
    <w:p w14:paraId="61FCFC2B" w14:textId="0621EA87" w:rsidR="00666CD2" w:rsidRPr="00B47A08" w:rsidRDefault="00B47A08" w:rsidP="00F863C2">
      <w:pPr>
        <w:tabs>
          <w:tab w:val="left" w:pos="720"/>
          <w:tab w:val="left" w:pos="5040"/>
          <w:tab w:val="left" w:pos="5760"/>
        </w:tabs>
        <w:rPr>
          <w:b/>
          <w:bCs/>
        </w:rPr>
      </w:pPr>
      <w:r w:rsidRPr="00B47A08">
        <w:rPr>
          <w:b/>
          <w:bCs/>
        </w:rPr>
        <w:t>OR</w:t>
      </w:r>
    </w:p>
    <w:p w14:paraId="4AA5864A" w14:textId="29E8F425" w:rsidR="00B47A08" w:rsidRDefault="00B47A08" w:rsidP="00F863C2">
      <w:pPr>
        <w:tabs>
          <w:tab w:val="left" w:pos="720"/>
          <w:tab w:val="left" w:pos="5040"/>
          <w:tab w:val="left" w:pos="5760"/>
        </w:tabs>
      </w:pPr>
      <w:r>
        <w:t>For tax abatements granted pursuant to the New Jersey Long Term Tax Exemption Law</w:t>
      </w:r>
      <w:r w:rsidR="001A1119">
        <w:t xml:space="preserve"> (LTTE)</w:t>
      </w:r>
      <w:r>
        <w:t>, N.J.S.A. 40A:20-1 et seq.:</w:t>
      </w:r>
    </w:p>
    <w:p w14:paraId="041C6808" w14:textId="585D9D03" w:rsidR="00B47A08" w:rsidRDefault="00F863C2" w:rsidP="00F863C2">
      <w:pPr>
        <w:tabs>
          <w:tab w:val="left" w:pos="720"/>
          <w:tab w:val="left" w:pos="5040"/>
          <w:tab w:val="left" w:pos="5760"/>
        </w:tabs>
      </w:pPr>
      <w:r>
        <w:tab/>
      </w:r>
      <w:r w:rsidR="00B47A08">
        <w:t>Term of the First Stage of the Exemption Period:</w:t>
      </w:r>
      <w:r w:rsidR="00B47A08">
        <w:tab/>
        <w:t>_____</w:t>
      </w:r>
      <w:r w:rsidR="00B47A08">
        <w:tab/>
        <w:t>years</w:t>
      </w:r>
    </w:p>
    <w:p w14:paraId="4FCC51BD" w14:textId="1A5D6CEF" w:rsidR="00B47A08" w:rsidRDefault="00F863C2" w:rsidP="00F863C2">
      <w:pPr>
        <w:tabs>
          <w:tab w:val="left" w:pos="720"/>
          <w:tab w:val="left" w:pos="5040"/>
          <w:tab w:val="left" w:pos="5760"/>
        </w:tabs>
      </w:pPr>
      <w:r>
        <w:tab/>
      </w:r>
      <w:r w:rsidR="00B47A08">
        <w:t>Fixed Rate on the Residential Component:</w:t>
      </w:r>
      <w:r w:rsidR="00B47A08">
        <w:tab/>
        <w:t>_____</w:t>
      </w:r>
      <w:r w:rsidR="00B47A08">
        <w:tab/>
        <w:t>%</w:t>
      </w:r>
    </w:p>
    <w:p w14:paraId="06FA9027" w14:textId="5578EF80" w:rsidR="00B47A08" w:rsidRDefault="00E84F60" w:rsidP="00E84F60">
      <w:r w:rsidRPr="00E84F60">
        <w:rPr>
          <w:b/>
          <w:bCs/>
        </w:rPr>
        <w:t>Required Attachments:</w:t>
      </w:r>
    </w:p>
    <w:p w14:paraId="41191C17" w14:textId="77777777" w:rsidR="00833D59" w:rsidRDefault="00BC0AF7" w:rsidP="009647BF">
      <w:pPr>
        <w:pStyle w:val="ListParagraph"/>
        <w:numPr>
          <w:ilvl w:val="0"/>
          <w:numId w:val="41"/>
        </w:numPr>
      </w:pPr>
      <w:r>
        <w:t>A</w:t>
      </w:r>
      <w:r w:rsidRPr="00BC0AF7">
        <w:t xml:space="preserve"> copy of the municipal </w:t>
      </w:r>
      <w:r w:rsidR="002C59A1">
        <w:t xml:space="preserve">resolution or </w:t>
      </w:r>
      <w:r w:rsidRPr="00BC0AF7">
        <w:t>ordinance</w:t>
      </w:r>
      <w:r w:rsidR="001A1119">
        <w:t xml:space="preserve"> </w:t>
      </w:r>
      <w:r w:rsidRPr="00BC0AF7">
        <w:t>authorizing the tax abatement</w:t>
      </w:r>
      <w:r>
        <w:t xml:space="preserve">, which </w:t>
      </w:r>
      <w:r w:rsidRPr="00BC0AF7">
        <w:t xml:space="preserve">must cite the proper statutory authority, and </w:t>
      </w:r>
      <w:r>
        <w:t xml:space="preserve">which must </w:t>
      </w:r>
      <w:r w:rsidR="003465EB">
        <w:t>have</w:t>
      </w:r>
      <w:r>
        <w:t xml:space="preserve"> completed </w:t>
      </w:r>
      <w:r w:rsidRPr="00BC0AF7">
        <w:t xml:space="preserve">all steps necessary to make the </w:t>
      </w:r>
      <w:r w:rsidR="002C59A1">
        <w:t>r</w:t>
      </w:r>
      <w:r w:rsidR="001A1119">
        <w:t>esolution</w:t>
      </w:r>
      <w:r w:rsidR="002C59A1">
        <w:t>/ordinance</w:t>
      </w:r>
      <w:r w:rsidRPr="00BC0AF7">
        <w:t xml:space="preserve"> legally binding</w:t>
      </w:r>
      <w:r>
        <w:t>.</w:t>
      </w:r>
    </w:p>
    <w:p w14:paraId="47D707D2" w14:textId="1D6B86A5" w:rsidR="003465EB" w:rsidRDefault="001A1119" w:rsidP="009647BF">
      <w:pPr>
        <w:pStyle w:val="ListParagraph"/>
        <w:numPr>
          <w:ilvl w:val="0"/>
          <w:numId w:val="41"/>
        </w:numPr>
      </w:pPr>
      <w:r>
        <w:t>If available, the financial agreement to the tax abatement</w:t>
      </w:r>
      <w:r w:rsidR="002C59A1">
        <w:t>; however, you must submit the financial agreement if the specifics of the tax abatement (e.g., percentage of rent roll, term) are not recited in the resolution/ordinance.</w:t>
      </w:r>
    </w:p>
    <w:p w14:paraId="7E60C8D6" w14:textId="4BB7E3E5" w:rsidR="002C59A1" w:rsidRDefault="004C2AA4" w:rsidP="009647BF">
      <w:pPr>
        <w:pStyle w:val="ListParagraph"/>
        <w:numPr>
          <w:ilvl w:val="0"/>
          <w:numId w:val="41"/>
        </w:numPr>
      </w:pPr>
      <w:r>
        <w:t>If available, a letter of municipal support (form available in the LIHTC Appendix).</w:t>
      </w:r>
    </w:p>
    <w:p w14:paraId="7377905A" w14:textId="03033316" w:rsidR="00E84F60" w:rsidRPr="004C2AA4" w:rsidRDefault="004C2AA4" w:rsidP="00E84F60">
      <w:pPr>
        <w:rPr>
          <w:b/>
          <w:bCs/>
        </w:rPr>
      </w:pPr>
      <w:r w:rsidRPr="004C2AA4">
        <w:rPr>
          <w:b/>
          <w:bCs/>
        </w:rPr>
        <w:t>Notes:</w:t>
      </w:r>
    </w:p>
    <w:p w14:paraId="658C1114" w14:textId="36E94074" w:rsidR="004C2AA4" w:rsidRDefault="004C2AA4" w:rsidP="009647BF">
      <w:pPr>
        <w:pStyle w:val="ListParagraph"/>
        <w:numPr>
          <w:ilvl w:val="0"/>
          <w:numId w:val="42"/>
        </w:numPr>
      </w:pPr>
      <w:r>
        <w:t xml:space="preserve">Projects that do not receive any tax abatement must </w:t>
      </w:r>
      <w:r w:rsidRPr="00BC0AF7">
        <w:t>capitalize an escrow in an amount equal to two years’ worth of taxes and have a 1.20 debt coverage ratio with a minimum of $3,000 per unit core operating expenses.</w:t>
      </w:r>
      <w:r>
        <w:t xml:space="preserve"> In the application, the escrow amount indicated on the Breakdown of Costs &amp; Basis must equal the 2-year tax estimate indicated on the 15-Year Operating Pro Forma. Documentation of the tax escrow must be submitted to NJHMFA prior to issuance of the IRS Form 8609.</w:t>
      </w:r>
    </w:p>
    <w:p w14:paraId="73F62EA9" w14:textId="77777777" w:rsidR="00833D59" w:rsidRDefault="00833D59" w:rsidP="009647BF">
      <w:pPr>
        <w:pStyle w:val="ListParagraph"/>
        <w:numPr>
          <w:ilvl w:val="0"/>
          <w:numId w:val="42"/>
        </w:numPr>
      </w:pPr>
      <w:r>
        <w:t>Only NJHMFA tax abatements may be authorized by municipal resolution. LTTE and New Jersey Fair Housing Act tax abatements must be authorized by municipal ordinance.</w:t>
      </w:r>
    </w:p>
    <w:p w14:paraId="0B77FEF8" w14:textId="6E00F262" w:rsidR="00833D59" w:rsidRDefault="00833D59" w:rsidP="009647BF">
      <w:pPr>
        <w:pStyle w:val="ListParagraph"/>
        <w:numPr>
          <w:ilvl w:val="0"/>
          <w:numId w:val="42"/>
        </w:numPr>
      </w:pPr>
      <w:r>
        <w:t>Developers/sponsors of projects receiving LTTE tax abatements must have “Urban Renewal” in their name</w:t>
      </w:r>
      <w:r w:rsidR="00D046BC">
        <w:t>s</w:t>
      </w:r>
      <w:r>
        <w:t>.</w:t>
      </w:r>
    </w:p>
    <w:p w14:paraId="193CE0E3" w14:textId="525A7D35" w:rsidR="004C2AA4" w:rsidRDefault="00833D59" w:rsidP="009647BF">
      <w:pPr>
        <w:pStyle w:val="ListParagraph"/>
        <w:numPr>
          <w:ilvl w:val="0"/>
          <w:numId w:val="42"/>
        </w:numPr>
      </w:pPr>
      <w:r>
        <w:t>Projects receiving New Jersey Fair Housing Act tax abatements must demonstrate in Part II that the project is being funded, in whole or in part, through affordable housing development fees.</w:t>
      </w:r>
    </w:p>
    <w:p w14:paraId="3B949C89" w14:textId="067FF419" w:rsidR="00834741" w:rsidRDefault="00834741">
      <w:r>
        <w:br w:type="page"/>
      </w:r>
    </w:p>
    <w:p w14:paraId="059187C8" w14:textId="304AEAF0" w:rsidR="00713F77" w:rsidRDefault="00713F77" w:rsidP="00713F77">
      <w:pPr>
        <w:pStyle w:val="Heading3"/>
      </w:pPr>
      <w:bookmarkStart w:id="56" w:name="_Toc230012685"/>
      <w:r>
        <w:lastRenderedPageBreak/>
        <w:t>Social Services</w:t>
      </w:r>
      <w:r w:rsidR="00334840">
        <w:t xml:space="preserve"> (Family Cycle Only)</w:t>
      </w:r>
      <w:bookmarkEnd w:id="56"/>
    </w:p>
    <w:p w14:paraId="2D53D0FF" w14:textId="4DC7B5EC" w:rsidR="00277681" w:rsidRDefault="00277681" w:rsidP="00277681">
      <w:r w:rsidRPr="00E84F60">
        <w:rPr>
          <w:b/>
          <w:bCs/>
        </w:rPr>
        <w:t>Point Options:</w:t>
      </w:r>
      <w:r>
        <w:t xml:space="preserve"> </w:t>
      </w:r>
      <w:r w:rsidR="0029245A">
        <w:t>Social services — 2 points each, up to 6 points total</w:t>
      </w:r>
    </w:p>
    <w:p w14:paraId="038598D6" w14:textId="1B8BC0F3" w:rsidR="00277681" w:rsidRDefault="00277681" w:rsidP="00277681">
      <w:r w:rsidRPr="00E84F60">
        <w:rPr>
          <w:b/>
          <w:bCs/>
        </w:rPr>
        <w:t>Required Information:</w:t>
      </w:r>
      <w:r>
        <w:t xml:space="preserve"> </w:t>
      </w:r>
      <w:r w:rsidR="0029245A">
        <w:t>None</w:t>
      </w:r>
    </w:p>
    <w:p w14:paraId="57413ED3" w14:textId="7D13F69F" w:rsidR="0029245A" w:rsidRDefault="00277681" w:rsidP="00277681">
      <w:r w:rsidRPr="00E84F60">
        <w:rPr>
          <w:b/>
          <w:bCs/>
        </w:rPr>
        <w:t>Required Attachments:</w:t>
      </w:r>
    </w:p>
    <w:p w14:paraId="54751D17" w14:textId="69A22B80" w:rsidR="0029245A" w:rsidRDefault="0029245A" w:rsidP="0029245A">
      <w:r>
        <w:t>For each service:</w:t>
      </w:r>
    </w:p>
    <w:p w14:paraId="3745072F" w14:textId="0D2B35AF" w:rsidR="00277681" w:rsidRDefault="0029245A" w:rsidP="009647BF">
      <w:pPr>
        <w:pStyle w:val="ListParagraph"/>
        <w:numPr>
          <w:ilvl w:val="0"/>
          <w:numId w:val="44"/>
        </w:numPr>
      </w:pPr>
      <w:r>
        <w:t>Completed Social Services Summary Worksheet which summarizes those points more fully described in the firm agreement required below.</w:t>
      </w:r>
    </w:p>
    <w:p w14:paraId="07999875" w14:textId="4EB545C0" w:rsidR="0029245A" w:rsidRDefault="0029245A" w:rsidP="009647BF">
      <w:pPr>
        <w:pStyle w:val="ListParagraph"/>
        <w:numPr>
          <w:ilvl w:val="0"/>
          <w:numId w:val="44"/>
        </w:numPr>
      </w:pPr>
      <w:r>
        <w:t xml:space="preserve">Evidence of </w:t>
      </w:r>
      <w:r w:rsidRPr="0029245A">
        <w:t>funding sources or documentation of how or by whom the service will be paid</w:t>
      </w:r>
      <w:r>
        <w:t xml:space="preserve"> for</w:t>
      </w:r>
      <w:r w:rsidRPr="0029245A">
        <w:t>, as well as documentation of how the costs of the service were determined</w:t>
      </w:r>
      <w:r>
        <w:t>.</w:t>
      </w:r>
    </w:p>
    <w:p w14:paraId="417DFB8E" w14:textId="2F2C4AE0" w:rsidR="0029245A" w:rsidRDefault="0029245A" w:rsidP="009647BF">
      <w:pPr>
        <w:pStyle w:val="ListParagraph"/>
        <w:numPr>
          <w:ilvl w:val="0"/>
          <w:numId w:val="44"/>
        </w:numPr>
      </w:pPr>
      <w:r w:rsidRPr="0029245A">
        <w:t>Evidence of experience of the service provider for both provision of social services and fulfillment of prior private or governmental contracts</w:t>
      </w:r>
      <w:r>
        <w:t>.</w:t>
      </w:r>
    </w:p>
    <w:p w14:paraId="475B3275" w14:textId="2831E7ED" w:rsidR="0029245A" w:rsidRDefault="0029245A" w:rsidP="009647BF">
      <w:pPr>
        <w:pStyle w:val="ListParagraph"/>
        <w:numPr>
          <w:ilvl w:val="0"/>
          <w:numId w:val="44"/>
        </w:numPr>
      </w:pPr>
      <w:r w:rsidRPr="0029245A">
        <w:t xml:space="preserve">Firm agreement </w:t>
      </w:r>
      <w:r>
        <w:t xml:space="preserve">(executed contract) </w:t>
      </w:r>
      <w:r w:rsidRPr="0029245A">
        <w:t xml:space="preserve">with </w:t>
      </w:r>
      <w:r>
        <w:t xml:space="preserve">the </w:t>
      </w:r>
      <w:r w:rsidRPr="0029245A">
        <w:t>service provider for the service</w:t>
      </w:r>
      <w:r>
        <w:t>.</w:t>
      </w:r>
    </w:p>
    <w:p w14:paraId="78143DCC" w14:textId="6BD20F59" w:rsidR="0029245A" w:rsidRDefault="0029245A" w:rsidP="009647BF">
      <w:pPr>
        <w:pStyle w:val="ListParagraph"/>
        <w:numPr>
          <w:ilvl w:val="0"/>
          <w:numId w:val="44"/>
        </w:numPr>
      </w:pPr>
      <w:r>
        <w:t xml:space="preserve">Evidence </w:t>
      </w:r>
      <w:r w:rsidRPr="0029245A">
        <w:t>of availability, appropriateness, accessibility and affordability to tenants</w:t>
      </w:r>
      <w:r>
        <w:t>.</w:t>
      </w:r>
    </w:p>
    <w:p w14:paraId="00AD087C" w14:textId="70C14697" w:rsidR="00C65B69" w:rsidRPr="000349BD" w:rsidRDefault="0029245A" w:rsidP="00C65B69">
      <w:pPr>
        <w:rPr>
          <w:b/>
          <w:bCs/>
        </w:rPr>
      </w:pPr>
      <w:r w:rsidRPr="000349BD">
        <w:rPr>
          <w:b/>
          <w:bCs/>
        </w:rPr>
        <w:t>Notes:</w:t>
      </w:r>
    </w:p>
    <w:p w14:paraId="4757A9D6" w14:textId="32E11A7B" w:rsidR="00D20F50" w:rsidRDefault="00D20F50" w:rsidP="009647BF">
      <w:pPr>
        <w:pStyle w:val="ListParagraph"/>
        <w:numPr>
          <w:ilvl w:val="0"/>
          <w:numId w:val="43"/>
        </w:numPr>
      </w:pPr>
      <w:r w:rsidRPr="00D20F50">
        <w:t>Examples of services include, but are not limited to: social service coordinator; financial literary services; food insecurity/nutrition services; health promotion programs and screenings; job training and job search assistance; and computer literacy/lab programs</w:t>
      </w:r>
      <w:r>
        <w:t>.</w:t>
      </w:r>
    </w:p>
    <w:p w14:paraId="2EF376A2" w14:textId="2E95E3FA" w:rsidR="0029245A" w:rsidRDefault="009647BF" w:rsidP="009647BF">
      <w:pPr>
        <w:pStyle w:val="ListParagraph"/>
        <w:numPr>
          <w:ilvl w:val="0"/>
          <w:numId w:val="43"/>
        </w:numPr>
      </w:pPr>
      <w:r w:rsidRPr="009647BF">
        <w:t>If a social service coordinator is being provided as one of the social services, the coordinator must be dedicated to the tax credit project for a minimum of 20 hours a week. A social service coordinator, case manager, and linkages coordinator/provider are not counted as separate and distinct services. NJHMFA shall view these services as all being part of the same service.</w:t>
      </w:r>
    </w:p>
    <w:p w14:paraId="41A3358F" w14:textId="6A8D924F" w:rsidR="009647BF" w:rsidRDefault="009647BF" w:rsidP="009647BF">
      <w:pPr>
        <w:pStyle w:val="ListParagraph"/>
        <w:numPr>
          <w:ilvl w:val="0"/>
          <w:numId w:val="43"/>
        </w:numPr>
      </w:pPr>
      <w:r w:rsidRPr="009647BF">
        <w:t xml:space="preserve">Services provided free of charge to all residents/seniors of a county or municipality based solely on residency status </w:t>
      </w:r>
      <w:r>
        <w:t>do</w:t>
      </w:r>
      <w:r w:rsidRPr="009647BF">
        <w:t xml:space="preserve"> not qualify for points in this category.</w:t>
      </w:r>
    </w:p>
    <w:p w14:paraId="2607643D" w14:textId="00C1BFD9" w:rsidR="00D20F50" w:rsidRDefault="00D20F50">
      <w:r>
        <w:br w:type="page"/>
      </w:r>
    </w:p>
    <w:p w14:paraId="3FE3C65A" w14:textId="001A1166" w:rsidR="00713F77" w:rsidRDefault="00713F77" w:rsidP="00713F77">
      <w:pPr>
        <w:pStyle w:val="Heading3"/>
      </w:pPr>
      <w:bookmarkStart w:id="57" w:name="_Toc230012686"/>
      <w:r>
        <w:lastRenderedPageBreak/>
        <w:t>Certified Minority and/or Women Business Enterprises</w:t>
      </w:r>
      <w:r w:rsidR="00A45C01">
        <w:t xml:space="preserve"> (M/WBEs)</w:t>
      </w:r>
      <w:bookmarkEnd w:id="57"/>
    </w:p>
    <w:p w14:paraId="1E3D682B" w14:textId="624AE724" w:rsidR="00596A0E" w:rsidRDefault="00277681" w:rsidP="00277681">
      <w:r w:rsidRPr="00E84F60">
        <w:rPr>
          <w:b/>
          <w:bCs/>
        </w:rPr>
        <w:t>Point Options:</w:t>
      </w:r>
    </w:p>
    <w:p w14:paraId="226F73E2" w14:textId="6D0F3C72" w:rsidR="00A45C01" w:rsidRDefault="0091381C" w:rsidP="00A45C01">
      <w:r>
        <w:t>U</w:t>
      </w:r>
      <w:r w:rsidR="00A45C01">
        <w:t xml:space="preserve">p to 5 points </w:t>
      </w:r>
      <w:r>
        <w:t>for:</w:t>
      </w:r>
    </w:p>
    <w:p w14:paraId="6E316DD0" w14:textId="029728CF" w:rsidR="00277681" w:rsidRDefault="00596A0E" w:rsidP="00596A0E">
      <w:pPr>
        <w:pStyle w:val="ListParagraph"/>
        <w:numPr>
          <w:ilvl w:val="0"/>
          <w:numId w:val="45"/>
        </w:numPr>
      </w:pPr>
      <w:r>
        <w:t>Ownership</w:t>
      </w:r>
      <w:r w:rsidR="00A45C01">
        <w:t xml:space="preserve"> Interest — up to 5 points:</w:t>
      </w:r>
    </w:p>
    <w:p w14:paraId="4E0503D8" w14:textId="701A125A" w:rsidR="00596A0E" w:rsidRDefault="00A45C01" w:rsidP="00596A0E">
      <w:pPr>
        <w:pStyle w:val="ListParagraph"/>
        <w:numPr>
          <w:ilvl w:val="1"/>
          <w:numId w:val="45"/>
        </w:numPr>
      </w:pPr>
      <w:r>
        <w:t xml:space="preserve">Certified M/WBE has </w:t>
      </w:r>
      <w:r w:rsidR="004503F0">
        <w:t xml:space="preserve">a </w:t>
      </w:r>
      <w:r>
        <w:t>100% interest in general partner/managing member — 5 points</w:t>
      </w:r>
    </w:p>
    <w:p w14:paraId="4E80D7A9" w14:textId="38C73141" w:rsidR="00A45C01" w:rsidRDefault="00A45C01" w:rsidP="00596A0E">
      <w:pPr>
        <w:pStyle w:val="ListParagraph"/>
        <w:numPr>
          <w:ilvl w:val="1"/>
          <w:numId w:val="45"/>
        </w:numPr>
      </w:pPr>
      <w:r>
        <w:t>Certified M/WBE has a</w:t>
      </w:r>
      <w:r w:rsidR="004503F0">
        <w:t xml:space="preserve"> </w:t>
      </w:r>
      <w:r>
        <w:t>50%</w:t>
      </w:r>
      <w:r w:rsidR="004503F0">
        <w:t xml:space="preserve"> or greater</w:t>
      </w:r>
      <w:r>
        <w:t xml:space="preserve">, but less than 100% interest in </w:t>
      </w:r>
      <w:r w:rsidR="004503F0">
        <w:t>the general partner</w:t>
      </w:r>
      <w:r>
        <w:t>/managing member — 3 points</w:t>
      </w:r>
    </w:p>
    <w:p w14:paraId="115F325D" w14:textId="283462B4" w:rsidR="00A45C01" w:rsidRDefault="00A45C01" w:rsidP="00596A0E">
      <w:pPr>
        <w:pStyle w:val="ListParagraph"/>
        <w:numPr>
          <w:ilvl w:val="1"/>
          <w:numId w:val="45"/>
        </w:numPr>
      </w:pPr>
      <w:r>
        <w:t xml:space="preserve">Certified M/WBE has </w:t>
      </w:r>
      <w:r w:rsidR="004503F0">
        <w:t xml:space="preserve">a </w:t>
      </w:r>
      <w:r>
        <w:t>20%</w:t>
      </w:r>
      <w:r w:rsidR="004503F0">
        <w:t xml:space="preserve"> or greater</w:t>
      </w:r>
      <w:r>
        <w:t xml:space="preserve">, but less than 50% interest in </w:t>
      </w:r>
      <w:r w:rsidR="004503F0">
        <w:t>the general partner</w:t>
      </w:r>
      <w:r>
        <w:t>/managing member — 1 point</w:t>
      </w:r>
    </w:p>
    <w:p w14:paraId="7A6FD63E" w14:textId="0B84C069" w:rsidR="00596A0E" w:rsidRDefault="00596A0E" w:rsidP="00596A0E">
      <w:pPr>
        <w:pStyle w:val="ListParagraph"/>
        <w:numPr>
          <w:ilvl w:val="0"/>
          <w:numId w:val="45"/>
        </w:numPr>
      </w:pPr>
      <w:r>
        <w:t xml:space="preserve">Construction </w:t>
      </w:r>
      <w:r w:rsidR="00A45C01">
        <w:t>C</w:t>
      </w:r>
      <w:r>
        <w:t>osts</w:t>
      </w:r>
      <w:r w:rsidR="00A45C01">
        <w:t xml:space="preserve"> — up to 5 points:</w:t>
      </w:r>
    </w:p>
    <w:p w14:paraId="661E574A" w14:textId="0AA01B26" w:rsidR="00596A0E" w:rsidRDefault="00A45C01" w:rsidP="00596A0E">
      <w:pPr>
        <w:pStyle w:val="ListParagraph"/>
        <w:numPr>
          <w:ilvl w:val="1"/>
          <w:numId w:val="45"/>
        </w:numPr>
      </w:pPr>
      <w:r>
        <w:t>Applicant pledges to expend at least 20% of construction costs on certified M/WBE contractors, subcontractors, and material suppliers</w:t>
      </w:r>
      <w:r w:rsidR="004503F0">
        <w:t xml:space="preserve"> that are not related to or controlled by any entity with an interest in the general partner/managing member</w:t>
      </w:r>
      <w:r>
        <w:t xml:space="preserve"> — 5 points</w:t>
      </w:r>
    </w:p>
    <w:p w14:paraId="37D55F89" w14:textId="2425A0EB" w:rsidR="00A45C01" w:rsidRDefault="00A45C01" w:rsidP="00596A0E">
      <w:pPr>
        <w:pStyle w:val="ListParagraph"/>
        <w:numPr>
          <w:ilvl w:val="1"/>
          <w:numId w:val="45"/>
        </w:numPr>
      </w:pPr>
      <w:r>
        <w:t>Applicant pledges to expend at least 15%, but less than 20% of construction costs on certified M/WBE contractors, subcontractors, and material suppliers</w:t>
      </w:r>
      <w:r w:rsidR="004503F0">
        <w:t xml:space="preserve"> that are not related to or controlled by any entity with an interest in the general partner/managing member</w:t>
      </w:r>
      <w:r>
        <w:t xml:space="preserve"> — 3 points</w:t>
      </w:r>
    </w:p>
    <w:p w14:paraId="509D9D0F" w14:textId="499F371E" w:rsidR="00A45C01" w:rsidRDefault="00277681" w:rsidP="00277681">
      <w:r w:rsidRPr="00E84F60">
        <w:rPr>
          <w:b/>
          <w:bCs/>
        </w:rPr>
        <w:t>Required Information:</w:t>
      </w:r>
    </w:p>
    <w:p w14:paraId="794EB94C" w14:textId="4CBED135" w:rsidR="00277681" w:rsidRDefault="00A45C01" w:rsidP="00A45C01">
      <w:r>
        <w:t>Ownership Interest:</w:t>
      </w:r>
    </w:p>
    <w:p w14:paraId="192CDEE7" w14:textId="2B9416FA" w:rsidR="00A45C01" w:rsidRDefault="00A45C01" w:rsidP="00A45C01">
      <w:pPr>
        <w:ind w:left="720" w:hanging="720"/>
      </w:pPr>
      <w:r>
        <w:fldChar w:fldCharType="begin">
          <w:ffData>
            <w:name w:val="Check12"/>
            <w:enabled/>
            <w:calcOnExit w:val="0"/>
            <w:checkBox>
              <w:sizeAuto/>
              <w:default w:val="0"/>
            </w:checkBox>
          </w:ffData>
        </w:fldChar>
      </w:r>
      <w:bookmarkStart w:id="58" w:name="Check12"/>
      <w:r>
        <w:instrText xml:space="preserve"> FORMCHECKBOX </w:instrText>
      </w:r>
      <w:r w:rsidR="00FB3676">
        <w:fldChar w:fldCharType="separate"/>
      </w:r>
      <w:r>
        <w:fldChar w:fldCharType="end"/>
      </w:r>
      <w:bookmarkEnd w:id="58"/>
      <w:r>
        <w:tab/>
        <w:t>By checking this section, the applicant verifies their certification as a</w:t>
      </w:r>
      <w:r w:rsidR="006D6DE4" w:rsidRPr="006D6DE4">
        <w:t xml:space="preserve"> </w:t>
      </w:r>
      <w:r w:rsidR="006D6DE4" w:rsidRPr="00A45C01">
        <w:t>minority business enterprise (MBE) and/or woman business enterprise (WBE)</w:t>
      </w:r>
      <w:r w:rsidR="006D6DE4">
        <w:t xml:space="preserve"> and that they hold at least a 20% interest in the general partner/managing member.</w:t>
      </w:r>
    </w:p>
    <w:p w14:paraId="651371A4" w14:textId="33B935D4" w:rsidR="006D6DE4" w:rsidRDefault="006D6DE4" w:rsidP="006D6DE4">
      <w:pPr>
        <w:tabs>
          <w:tab w:val="left" w:pos="5040"/>
        </w:tabs>
        <w:ind w:left="720" w:hanging="720"/>
      </w:pPr>
      <w:r>
        <w:tab/>
        <w:t>Applicant Ownership Interest Percentage:</w:t>
      </w:r>
      <w:r>
        <w:tab/>
        <w:t>_____ %</w:t>
      </w:r>
    </w:p>
    <w:p w14:paraId="649003EB" w14:textId="17002ACC" w:rsidR="00A45C01" w:rsidRDefault="00A45C01" w:rsidP="00A45C01">
      <w:r>
        <w:t>Construction Costs:</w:t>
      </w:r>
    </w:p>
    <w:p w14:paraId="6CAEFAF8" w14:textId="2A7865A5" w:rsidR="00A45C01" w:rsidRDefault="00A45C01" w:rsidP="00A45C01">
      <w:pPr>
        <w:ind w:left="720" w:hanging="720"/>
      </w:pPr>
      <w:r>
        <w:fldChar w:fldCharType="begin">
          <w:ffData>
            <w:name w:val="Check10"/>
            <w:enabled/>
            <w:calcOnExit w:val="0"/>
            <w:checkBox>
              <w:sizeAuto/>
              <w:default w:val="0"/>
            </w:checkBox>
          </w:ffData>
        </w:fldChar>
      </w:r>
      <w:bookmarkStart w:id="59" w:name="Check10"/>
      <w:r>
        <w:instrText xml:space="preserve"> FORMCHECKBOX </w:instrText>
      </w:r>
      <w:r w:rsidR="00FB3676">
        <w:fldChar w:fldCharType="separate"/>
      </w:r>
      <w:r>
        <w:fldChar w:fldCharType="end"/>
      </w:r>
      <w:bookmarkEnd w:id="59"/>
      <w:r>
        <w:t xml:space="preserve"> </w:t>
      </w:r>
      <w:r>
        <w:tab/>
      </w:r>
      <w:r w:rsidRPr="00A45C01">
        <w:t>By checking this section, the applicant pledges to expend a sum equaling at least 20% of the construction cost (unadjusted for change orders) on services performed by contractors, subcontractors</w:t>
      </w:r>
      <w:r>
        <w:t>,</w:t>
      </w:r>
      <w:r w:rsidRPr="00A45C01">
        <w:t xml:space="preserve"> and material suppliers which are certified as minority business enterprises (MBE) and/or woman business enterprises (WBE) by the NJ Department of Treasury, Division of Minority and Woman Business Development (“certified”).</w:t>
      </w:r>
    </w:p>
    <w:p w14:paraId="1D6169FB" w14:textId="4A5B82E4" w:rsidR="006D6DE4" w:rsidRPr="00FF77F0" w:rsidRDefault="006D6DE4" w:rsidP="00A45C01">
      <w:pPr>
        <w:ind w:left="720" w:hanging="720"/>
      </w:pPr>
      <w:r w:rsidRPr="00FF77F0">
        <w:t>OR</w:t>
      </w:r>
    </w:p>
    <w:p w14:paraId="1E2F2733" w14:textId="06196D82" w:rsidR="00A45C01" w:rsidRDefault="00A45C01" w:rsidP="00A45C01">
      <w:pPr>
        <w:ind w:left="720" w:hanging="720"/>
      </w:pPr>
      <w:r>
        <w:fldChar w:fldCharType="begin">
          <w:ffData>
            <w:name w:val="Check11"/>
            <w:enabled/>
            <w:calcOnExit w:val="0"/>
            <w:checkBox>
              <w:sizeAuto/>
              <w:default w:val="0"/>
            </w:checkBox>
          </w:ffData>
        </w:fldChar>
      </w:r>
      <w:bookmarkStart w:id="60" w:name="Check11"/>
      <w:r>
        <w:instrText xml:space="preserve"> FORMCHECKBOX </w:instrText>
      </w:r>
      <w:r w:rsidR="00FB3676">
        <w:fldChar w:fldCharType="separate"/>
      </w:r>
      <w:r>
        <w:fldChar w:fldCharType="end"/>
      </w:r>
      <w:bookmarkEnd w:id="60"/>
      <w:r>
        <w:tab/>
        <w:t xml:space="preserve">By checking this section, the applicant </w:t>
      </w:r>
      <w:r w:rsidR="006D6DE4">
        <w:t xml:space="preserve">pledges </w:t>
      </w:r>
      <w:r w:rsidR="006D6DE4" w:rsidRPr="00A45C01">
        <w:t xml:space="preserve">to expend a sum equaling at least </w:t>
      </w:r>
      <w:r w:rsidR="006D6DE4">
        <w:t>15</w:t>
      </w:r>
      <w:r w:rsidR="006D6DE4" w:rsidRPr="00A45C01">
        <w:t>% of the construction cost (unadjusted for change orders) on services performed by contractors, subcontractors</w:t>
      </w:r>
      <w:r w:rsidR="006D6DE4">
        <w:t>,</w:t>
      </w:r>
      <w:r w:rsidR="006D6DE4" w:rsidRPr="00A45C01">
        <w:t xml:space="preserve"> and material suppliers which are certified as minority business enterprises (MBE) and/or woman business enterprises (WBE) by the NJ Department of Treasury, Division of Minority and Woman Business Development (“certified”).</w:t>
      </w:r>
    </w:p>
    <w:p w14:paraId="47890DEA" w14:textId="6FE79216" w:rsidR="00A45C01" w:rsidRDefault="00277681" w:rsidP="00277681">
      <w:r w:rsidRPr="00E84F60">
        <w:rPr>
          <w:b/>
          <w:bCs/>
        </w:rPr>
        <w:t>Required Attachments:</w:t>
      </w:r>
    </w:p>
    <w:p w14:paraId="1927B94B" w14:textId="6139B2DE" w:rsidR="00A45C01" w:rsidRDefault="00A45C01" w:rsidP="00A45C01">
      <w:pPr>
        <w:pStyle w:val="ListParagraph"/>
        <w:numPr>
          <w:ilvl w:val="0"/>
          <w:numId w:val="46"/>
        </w:numPr>
      </w:pPr>
      <w:r>
        <w:t>Ownership Interest:</w:t>
      </w:r>
      <w:r w:rsidR="00747077">
        <w:t xml:space="preserve"> A fully executed agreement between each of the entities with an interest in the general partner/managing member, </w:t>
      </w:r>
      <w:r w:rsidR="006F2F48">
        <w:t>which contains language granting NJHMFA the right to approve any changes to the ownership entity of the project, as well as language specifying:</w:t>
      </w:r>
    </w:p>
    <w:p w14:paraId="5C2798CF" w14:textId="3C365DD2" w:rsidR="00277681" w:rsidRDefault="006F2F48" w:rsidP="00A45C01">
      <w:pPr>
        <w:pStyle w:val="ListParagraph"/>
        <w:numPr>
          <w:ilvl w:val="1"/>
          <w:numId w:val="46"/>
        </w:numPr>
      </w:pPr>
      <w:r>
        <w:t>The percentage of the paid and deferred developer fee that will be earned by the certified M/WBE, which must be at least equal to their percentage of the ownership;</w:t>
      </w:r>
    </w:p>
    <w:p w14:paraId="1FCF1760" w14:textId="5E1D21EB" w:rsidR="006F2F48" w:rsidRDefault="006F2F48" w:rsidP="00A45C01">
      <w:pPr>
        <w:pStyle w:val="ListParagraph"/>
        <w:numPr>
          <w:ilvl w:val="1"/>
          <w:numId w:val="46"/>
        </w:numPr>
      </w:pPr>
      <w:r>
        <w:lastRenderedPageBreak/>
        <w:t>The share of deferred developer fee for the certified M/WBE, which must not be a disproportionately larger share than their ownership interest;</w:t>
      </w:r>
    </w:p>
    <w:p w14:paraId="72C936F4" w14:textId="655574DC" w:rsidR="006F2F48" w:rsidRDefault="006F2F48" w:rsidP="00A45C01">
      <w:pPr>
        <w:pStyle w:val="ListParagraph"/>
        <w:numPr>
          <w:ilvl w:val="1"/>
          <w:numId w:val="46"/>
        </w:numPr>
      </w:pPr>
      <w:r>
        <w:t>That the certified M/WBE is not related to or controlled by any other entity with an interest in the general partner/managing member;</w:t>
      </w:r>
    </w:p>
    <w:p w14:paraId="72C76BE4" w14:textId="2B24B95F" w:rsidR="006F2F48" w:rsidRDefault="006F2F48" w:rsidP="00A45C01">
      <w:pPr>
        <w:pStyle w:val="ListParagraph"/>
        <w:numPr>
          <w:ilvl w:val="1"/>
          <w:numId w:val="46"/>
        </w:numPr>
      </w:pPr>
      <w:r>
        <w:t>The period of time that the certified M/WBE will remain part of the ownership entity, which must last at least through the 15-year compliance period; and</w:t>
      </w:r>
    </w:p>
    <w:p w14:paraId="0CF83E70" w14:textId="1EECEE7E" w:rsidR="006F2F48" w:rsidRDefault="006F2F48" w:rsidP="00A45C01">
      <w:pPr>
        <w:pStyle w:val="ListParagraph"/>
        <w:numPr>
          <w:ilvl w:val="1"/>
          <w:numId w:val="46"/>
        </w:numPr>
      </w:pPr>
      <w:r>
        <w:t>The roles and responsibilities of the certified M/WBE during development and compliance, which must be significant.</w:t>
      </w:r>
    </w:p>
    <w:p w14:paraId="1C4B4FDB" w14:textId="3C761A8F" w:rsidR="00A45C01" w:rsidRDefault="00A45C01" w:rsidP="00A45C01">
      <w:pPr>
        <w:pStyle w:val="ListParagraph"/>
        <w:numPr>
          <w:ilvl w:val="0"/>
          <w:numId w:val="46"/>
        </w:numPr>
      </w:pPr>
      <w:r>
        <w:t xml:space="preserve">Construction Costs: </w:t>
      </w:r>
      <w:r w:rsidR="004503F0">
        <w:t>None</w:t>
      </w:r>
    </w:p>
    <w:p w14:paraId="1A636B18" w14:textId="33185A15" w:rsidR="004503F0" w:rsidRPr="000349BD" w:rsidRDefault="004503F0" w:rsidP="004503F0">
      <w:pPr>
        <w:rPr>
          <w:b/>
          <w:bCs/>
        </w:rPr>
      </w:pPr>
      <w:r w:rsidRPr="000349BD">
        <w:rPr>
          <w:b/>
          <w:bCs/>
        </w:rPr>
        <w:t>Notes:</w:t>
      </w:r>
    </w:p>
    <w:p w14:paraId="0EFE62D5" w14:textId="3061B76C" w:rsidR="004503F0" w:rsidRDefault="004503F0" w:rsidP="00101909">
      <w:pPr>
        <w:pStyle w:val="ListParagraph"/>
        <w:numPr>
          <w:ilvl w:val="0"/>
          <w:numId w:val="47"/>
        </w:numPr>
      </w:pPr>
      <w:r>
        <w:t>For construction costs, w</w:t>
      </w:r>
      <w:r w:rsidRPr="004503F0">
        <w:t xml:space="preserve">hen the project is placed in service, the applicant will certify that </w:t>
      </w:r>
      <w:r>
        <w:t>they</w:t>
      </w:r>
      <w:r w:rsidRPr="004503F0">
        <w:t xml:space="preserve"> ha</w:t>
      </w:r>
      <w:r>
        <w:t>ve</w:t>
      </w:r>
      <w:r w:rsidRPr="004503F0">
        <w:t xml:space="preserve"> expended a sum equaling at least </w:t>
      </w:r>
      <w:r>
        <w:t>the pledged percentage</w:t>
      </w:r>
      <w:r w:rsidRPr="004503F0">
        <w:t xml:space="preserve"> of the construction cost on certified minority and women business enterprises. This certification will require confirmation by a CPA in the cost certification (Schedule H).</w:t>
      </w:r>
    </w:p>
    <w:p w14:paraId="03F3E8C5" w14:textId="700FE0AD" w:rsidR="009F5B84" w:rsidRDefault="009F5B84" w:rsidP="00101909">
      <w:pPr>
        <w:pStyle w:val="ListParagraph"/>
        <w:numPr>
          <w:ilvl w:val="0"/>
          <w:numId w:val="47"/>
        </w:numPr>
      </w:pPr>
      <w:r w:rsidRPr="009F5B84">
        <w:t>Utilization of minority and women business enterprises is not a requirement of the Qualified Allocation Plan, but rather an optional, irrevocable election made by the applicant at the time of application.</w:t>
      </w:r>
    </w:p>
    <w:p w14:paraId="03AD3232" w14:textId="2C2B2F74" w:rsidR="009F5B84" w:rsidRDefault="009F5B84">
      <w:r>
        <w:br w:type="page"/>
      </w:r>
    </w:p>
    <w:p w14:paraId="4882AAA7" w14:textId="19D97839" w:rsidR="00713F77" w:rsidRDefault="00713F77" w:rsidP="00713F77">
      <w:pPr>
        <w:pStyle w:val="Heading3"/>
      </w:pPr>
      <w:bookmarkStart w:id="61" w:name="_Toc230012687"/>
      <w:r>
        <w:lastRenderedPageBreak/>
        <w:t>Ready to Grow Areas</w:t>
      </w:r>
      <w:bookmarkEnd w:id="61"/>
    </w:p>
    <w:p w14:paraId="5D03FE8B" w14:textId="12E5D402" w:rsidR="009852BD" w:rsidRPr="009852BD" w:rsidRDefault="00277681" w:rsidP="00277681">
      <w:r w:rsidRPr="00E84F60">
        <w:rPr>
          <w:b/>
          <w:bCs/>
        </w:rPr>
        <w:t>Point Option:</w:t>
      </w:r>
      <w:r w:rsidR="009852BD">
        <w:t xml:space="preserve"> Project is located in a ready to grow area — 2 points</w:t>
      </w:r>
    </w:p>
    <w:p w14:paraId="7FEFF80E" w14:textId="3FB44D98" w:rsidR="00277681" w:rsidRDefault="00277681" w:rsidP="00277681">
      <w:r w:rsidRPr="00E84F60">
        <w:rPr>
          <w:b/>
          <w:bCs/>
        </w:rPr>
        <w:t>Required Information:</w:t>
      </w:r>
      <w:r>
        <w:t xml:space="preserve"> </w:t>
      </w:r>
      <w:r w:rsidR="009852BD">
        <w:t>None</w:t>
      </w:r>
    </w:p>
    <w:p w14:paraId="340C21B4" w14:textId="7E343792" w:rsidR="00277681" w:rsidRDefault="00277681" w:rsidP="00277681">
      <w:r w:rsidRPr="00E84F60">
        <w:rPr>
          <w:b/>
          <w:bCs/>
        </w:rPr>
        <w:t>Required Attachments:</w:t>
      </w:r>
    </w:p>
    <w:p w14:paraId="6521DFE6" w14:textId="4A0F2491" w:rsidR="009852BD" w:rsidRDefault="004B7F62" w:rsidP="004B7F62">
      <w:r>
        <w:t>S</w:t>
      </w:r>
      <w:r w:rsidR="009852BD">
        <w:t>mart growth area or area suitable for growth as may be defined by the State Planning Commission</w:t>
      </w:r>
      <w:r>
        <w:t>:</w:t>
      </w:r>
      <w:r w:rsidR="009852BD">
        <w:t xml:space="preserve"> </w:t>
      </w:r>
      <w:r>
        <w:t>A</w:t>
      </w:r>
      <w:r w:rsidR="009852BD">
        <w:t xml:space="preserve"> printout from the NJHMFA Multifamily Site Evaluator showing the result of an address search of your property: </w:t>
      </w:r>
      <w:hyperlink r:id="rId20" w:history="1">
        <w:r w:rsidR="009852BD" w:rsidRPr="00465671">
          <w:rPr>
            <w:rStyle w:val="Hyperlink"/>
          </w:rPr>
          <w:t>https://experience.arcgis.com/experience/9126281ecd5e4c1e83d42c14199709e0/</w:t>
        </w:r>
      </w:hyperlink>
    </w:p>
    <w:p w14:paraId="470BAE0A" w14:textId="4BE792B6" w:rsidR="004B7F62" w:rsidRPr="000349BD" w:rsidRDefault="004B7F62" w:rsidP="004B7F62">
      <w:pPr>
        <w:rPr>
          <w:b/>
          <w:bCs/>
        </w:rPr>
      </w:pPr>
      <w:r w:rsidRPr="000349BD">
        <w:rPr>
          <w:b/>
          <w:bCs/>
        </w:rPr>
        <w:t>OR</w:t>
      </w:r>
    </w:p>
    <w:p w14:paraId="3C862CDC" w14:textId="77777777" w:rsidR="009852BD" w:rsidRDefault="009852BD" w:rsidP="004B7F62">
      <w:r>
        <w:t>For another ready to grow area:</w:t>
      </w:r>
    </w:p>
    <w:p w14:paraId="677A77C7" w14:textId="6BA3073F" w:rsidR="009852BD" w:rsidRDefault="009852BD" w:rsidP="00101909">
      <w:pPr>
        <w:pStyle w:val="ListParagraph"/>
        <w:numPr>
          <w:ilvl w:val="0"/>
          <w:numId w:val="48"/>
        </w:numPr>
      </w:pPr>
      <w:r>
        <w:t>Proof that the area has the water and wastewater capacity and infrastructure to serve the project, consisting of ALL of the following:</w:t>
      </w:r>
    </w:p>
    <w:p w14:paraId="41448DC6" w14:textId="16650A14" w:rsidR="009852BD" w:rsidRDefault="009852BD" w:rsidP="00101909">
      <w:pPr>
        <w:pStyle w:val="ListParagraph"/>
        <w:numPr>
          <w:ilvl w:val="1"/>
          <w:numId w:val="48"/>
        </w:numPr>
      </w:pPr>
      <w:r>
        <w:t>A letter from the water purveyor indicating that they have adequate capacity and allocation to accommodate your project at full build-out. If your project is not in a water purveyor service area, provide an Engineer Survey Map of the nearest Water Mains and a State Plan X/Y Coordinate of the nearest Water Main connection point in relationship to the project site regarding the franchise area in which your project is located, as well as a Safe Drinking Water main extension permit.</w:t>
      </w:r>
    </w:p>
    <w:p w14:paraId="7DFFB420" w14:textId="082AAEBF" w:rsidR="009852BD" w:rsidRDefault="009852BD" w:rsidP="00101909">
      <w:pPr>
        <w:pStyle w:val="ListParagraph"/>
        <w:numPr>
          <w:ilvl w:val="1"/>
          <w:numId w:val="48"/>
        </w:numPr>
      </w:pPr>
      <w:r>
        <w:t>If your project is seeking a new groundwater allocation, copies of necessary well, allocation, and safe drinking water permits.</w:t>
      </w:r>
    </w:p>
    <w:p w14:paraId="5C57507D" w14:textId="779BC4A2" w:rsidR="009852BD" w:rsidRDefault="009852BD" w:rsidP="00101909">
      <w:pPr>
        <w:pStyle w:val="ListParagraph"/>
        <w:numPr>
          <w:ilvl w:val="1"/>
          <w:numId w:val="48"/>
        </w:numPr>
      </w:pPr>
      <w:r>
        <w:t>To demonstrate wastewater capacity and infrastructure, a letter from the MUA regarding the name of the sewer service area in which your project is located and whether wastewater pipes currently extend to the project location. If wastewater pipes do not exist, provide an Engineer Survey Map of the nearest Water Mains and a State Plan X/Y Coordinate of the nearest Water Main connection point in relationship to the project site.</w:t>
      </w:r>
    </w:p>
    <w:p w14:paraId="265DEBAA" w14:textId="1ADF01BA" w:rsidR="009852BD" w:rsidRDefault="009852BD" w:rsidP="00101909">
      <w:pPr>
        <w:pStyle w:val="ListParagraph"/>
        <w:numPr>
          <w:ilvl w:val="0"/>
          <w:numId w:val="48"/>
        </w:numPr>
      </w:pPr>
      <w:r>
        <w:t xml:space="preserve">Proof that the </w:t>
      </w:r>
      <w:r w:rsidR="004B7F62">
        <w:t>area</w:t>
      </w:r>
      <w:r>
        <w:t xml:space="preserve"> is at least ONE of the following:</w:t>
      </w:r>
    </w:p>
    <w:p w14:paraId="5E99D62F" w14:textId="0993C9C1" w:rsidR="009852BD" w:rsidRDefault="009852BD" w:rsidP="00101909">
      <w:pPr>
        <w:pStyle w:val="ListParagraph"/>
        <w:numPr>
          <w:ilvl w:val="1"/>
          <w:numId w:val="48"/>
        </w:numPr>
      </w:pPr>
      <w:r w:rsidRPr="004B7F62">
        <w:rPr>
          <w:u w:val="single"/>
        </w:rPr>
        <w:t>A redevelopment project</w:t>
      </w:r>
      <w:r w:rsidR="004B7F62">
        <w:t xml:space="preserve">—Provide a copy </w:t>
      </w:r>
      <w:r w:rsidR="004B7F62" w:rsidRPr="004B7F62">
        <w:t>of the municipal resolution designating the area in need of redevelopment, a copy of the adopted redevelopment plan</w:t>
      </w:r>
      <w:r w:rsidR="004B7F62">
        <w:t xml:space="preserve"> (which the project must be consistent with)</w:t>
      </w:r>
      <w:r w:rsidR="004B7F62" w:rsidRPr="004B7F62">
        <w:t xml:space="preserve">, a parcel map showing the boundary of the Area in Need of Redevelopment, identification of this project within the boundary, including block and lot information, </w:t>
      </w:r>
      <w:r w:rsidR="004B7F62">
        <w:t>AND</w:t>
      </w:r>
      <w:r w:rsidR="004B7F62" w:rsidRPr="004B7F62">
        <w:t xml:space="preserve"> a letter from the municipality stating that the project is consistent with and further the goals and objectives of the adopted redevelopment plan.</w:t>
      </w:r>
    </w:p>
    <w:p w14:paraId="1AD0F25E" w14:textId="26AEA1C5" w:rsidR="004B7F62" w:rsidRDefault="004B7F62" w:rsidP="00101909">
      <w:pPr>
        <w:pStyle w:val="ListParagraph"/>
        <w:numPr>
          <w:ilvl w:val="1"/>
          <w:numId w:val="48"/>
        </w:numPr>
      </w:pPr>
      <w:r>
        <w:rPr>
          <w:u w:val="single"/>
        </w:rPr>
        <w:t>Located within a previously Designated Center on the State Plan Policy Map</w:t>
      </w:r>
      <w:r>
        <w:t>—Contact the Office for Planning Advocacy for confirmation.</w:t>
      </w:r>
    </w:p>
    <w:p w14:paraId="2958CFB8" w14:textId="6EECA498" w:rsidR="004B7F62" w:rsidRDefault="004B7F62" w:rsidP="00101909">
      <w:pPr>
        <w:pStyle w:val="ListParagraph"/>
        <w:numPr>
          <w:ilvl w:val="1"/>
          <w:numId w:val="48"/>
        </w:numPr>
      </w:pPr>
      <w:r w:rsidRPr="004B7F62">
        <w:rPr>
          <w:u w:val="single"/>
        </w:rPr>
        <w:t>Located within a municipality whose master plan has received Plan Endorsement</w:t>
      </w:r>
      <w:r>
        <w:rPr>
          <w:u w:val="single"/>
        </w:rPr>
        <w:t xml:space="preserve"> </w:t>
      </w:r>
      <w:r w:rsidRPr="004B7F62">
        <w:rPr>
          <w:u w:val="single"/>
        </w:rPr>
        <w:t>from the State Planning Commission and consistent with the housing element within the endorsed master plan</w:t>
      </w:r>
      <w:r>
        <w:t>—</w:t>
      </w:r>
      <w:r w:rsidRPr="004B7F62">
        <w:t xml:space="preserve"> </w:t>
      </w:r>
      <w:r>
        <w:t>Contact the Office for Planning Advocacy for confirmation.</w:t>
      </w:r>
    </w:p>
    <w:p w14:paraId="6ACA068E" w14:textId="26166F8B" w:rsidR="004B7F62" w:rsidRDefault="004B7F62" w:rsidP="00101909">
      <w:pPr>
        <w:pStyle w:val="ListParagraph"/>
        <w:numPr>
          <w:ilvl w:val="1"/>
          <w:numId w:val="48"/>
        </w:numPr>
      </w:pPr>
      <w:r w:rsidRPr="004B7F62">
        <w:rPr>
          <w:u w:val="single"/>
        </w:rPr>
        <w:t>Containing a site with an existing building footprint within which the project will be built</w:t>
      </w:r>
      <w:r>
        <w:t>—Provide a survey of existing conditions and an approved site plan.</w:t>
      </w:r>
    </w:p>
    <w:p w14:paraId="7CBEDC7F" w14:textId="50E96D64" w:rsidR="004B7F62" w:rsidRDefault="004B7F62" w:rsidP="00101909">
      <w:pPr>
        <w:pStyle w:val="ListParagraph"/>
        <w:numPr>
          <w:ilvl w:val="1"/>
          <w:numId w:val="48"/>
        </w:numPr>
      </w:pPr>
      <w:r w:rsidRPr="004B7F62">
        <w:rPr>
          <w:u w:val="single"/>
        </w:rPr>
        <w:t>Located within a designated Highlands Redevelopment Area, a Designated Highlands Center, or a Highlands Development Credit Receiving Area</w:t>
      </w:r>
      <w:r>
        <w:t>—</w:t>
      </w:r>
      <w:r w:rsidRPr="004B7F62">
        <w:t>Provide a letter from the Executive Director of the Highlands Council to this regard.</w:t>
      </w:r>
    </w:p>
    <w:p w14:paraId="0614395E" w14:textId="52FA5592" w:rsidR="004B7F62" w:rsidRDefault="004B7F62" w:rsidP="00101909">
      <w:pPr>
        <w:pStyle w:val="ListParagraph"/>
        <w:numPr>
          <w:ilvl w:val="1"/>
          <w:numId w:val="48"/>
        </w:numPr>
      </w:pPr>
      <w:r w:rsidRPr="00CB454E">
        <w:rPr>
          <w:u w:val="single"/>
        </w:rPr>
        <w:lastRenderedPageBreak/>
        <w:t>Located within an area identified for development and/or redevelopment within the Hackensack Meadowlands District as shown on the Hackensack Meadowlands District Official Zoning Map, as amended and supplemented by the New Jersey Sports and Exposition Authority (NJSEA)</w:t>
      </w:r>
      <w:r w:rsidR="008E1D71">
        <w:t>—</w:t>
      </w:r>
      <w:r w:rsidR="00CB454E" w:rsidRPr="00CB454E">
        <w:t xml:space="preserve"> Provide a letter from the NJ Meadowlands Commission to this regard.</w:t>
      </w:r>
    </w:p>
    <w:p w14:paraId="55703A9D" w14:textId="2812E578" w:rsidR="00C3040D" w:rsidRDefault="00C3040D" w:rsidP="00C3040D">
      <w:r w:rsidRPr="00C3040D">
        <w:rPr>
          <w:b/>
          <w:bCs/>
        </w:rPr>
        <w:t>Note:</w:t>
      </w:r>
      <w:r>
        <w:t xml:space="preserve"> P</w:t>
      </w:r>
      <w:r w:rsidRPr="00C3040D">
        <w:t xml:space="preserve">roject must be located within a </w:t>
      </w:r>
      <w:r>
        <w:t>ready to grow area</w:t>
      </w:r>
      <w:r w:rsidRPr="00C3040D">
        <w:t xml:space="preserve"> by the tax credit application deadline</w:t>
      </w:r>
      <w:r>
        <w:t xml:space="preserve"> to receive points</w:t>
      </w:r>
      <w:r w:rsidRPr="00C3040D">
        <w:t>.</w:t>
      </w:r>
    </w:p>
    <w:p w14:paraId="3BF0FE2A" w14:textId="77F9F499" w:rsidR="00C3040D" w:rsidRDefault="00C3040D">
      <w:r>
        <w:br w:type="page"/>
      </w:r>
    </w:p>
    <w:p w14:paraId="7DAF3434" w14:textId="5F8FFE9D" w:rsidR="00713F77" w:rsidRDefault="00713F77" w:rsidP="00713F77">
      <w:pPr>
        <w:pStyle w:val="Heading3"/>
      </w:pPr>
      <w:bookmarkStart w:id="62" w:name="_Toc230012688"/>
      <w:r>
        <w:lastRenderedPageBreak/>
        <w:t>Unit Amenities</w:t>
      </w:r>
      <w:bookmarkEnd w:id="62"/>
    </w:p>
    <w:p w14:paraId="22B62764" w14:textId="13CA9038" w:rsidR="00EC66DA" w:rsidRDefault="00EC66DA" w:rsidP="00EC66DA">
      <w:r w:rsidRPr="00E84F60">
        <w:rPr>
          <w:b/>
          <w:bCs/>
        </w:rPr>
        <w:t>Point Option</w:t>
      </w:r>
      <w:r>
        <w:rPr>
          <w:b/>
          <w:bCs/>
        </w:rPr>
        <w:t>s</w:t>
      </w:r>
      <w:r w:rsidRPr="00E84F60">
        <w:rPr>
          <w:b/>
          <w:bCs/>
        </w:rPr>
        <w:t>:</w:t>
      </w:r>
      <w:r>
        <w:t xml:space="preserve"> </w:t>
      </w:r>
      <w:r w:rsidR="000349BD">
        <w:t>Unit amenities — 2 points each, up to 6 points total</w:t>
      </w:r>
    </w:p>
    <w:p w14:paraId="1B0141BF" w14:textId="77777777" w:rsidR="00771C08" w:rsidRDefault="00771C08" w:rsidP="00101909">
      <w:pPr>
        <w:pStyle w:val="ListParagraph"/>
        <w:numPr>
          <w:ilvl w:val="0"/>
          <w:numId w:val="49"/>
        </w:numPr>
      </w:pPr>
      <w:r>
        <w:t>Security alarm</w:t>
      </w:r>
    </w:p>
    <w:p w14:paraId="1A440D76" w14:textId="77777777" w:rsidR="00771C08" w:rsidRDefault="00771C08" w:rsidP="00101909">
      <w:pPr>
        <w:pStyle w:val="ListParagraph"/>
        <w:numPr>
          <w:ilvl w:val="0"/>
          <w:numId w:val="49"/>
        </w:numPr>
      </w:pPr>
      <w:r>
        <w:t>All-electric cooking appliances</w:t>
      </w:r>
    </w:p>
    <w:p w14:paraId="3FC52FE0" w14:textId="0AA9E121" w:rsidR="00771C08" w:rsidRDefault="00771C08" w:rsidP="00101909">
      <w:pPr>
        <w:pStyle w:val="ListParagraph"/>
        <w:numPr>
          <w:ilvl w:val="0"/>
          <w:numId w:val="49"/>
        </w:numPr>
      </w:pPr>
      <w:r>
        <w:t>Energy Star-labeled frost-free refrigerators in all units (14 cubic ft. for 0BRs and 1BRs; 16 cubic ft. for 2BRs; 18 cubic ft. for 3BRs; 20 cubic ft. for 4BRs)</w:t>
      </w:r>
    </w:p>
    <w:p w14:paraId="0ACA6D35" w14:textId="4160847D" w:rsidR="00771C08" w:rsidRDefault="00771C08" w:rsidP="00101909">
      <w:pPr>
        <w:pStyle w:val="ListParagraph"/>
        <w:numPr>
          <w:ilvl w:val="0"/>
          <w:numId w:val="49"/>
        </w:numPr>
      </w:pPr>
      <w:r>
        <w:t>Energy Star-labeled washers and dryers in all units</w:t>
      </w:r>
    </w:p>
    <w:p w14:paraId="12CC5303" w14:textId="77777777" w:rsidR="00771C08" w:rsidRDefault="00771C08" w:rsidP="00101909">
      <w:pPr>
        <w:pStyle w:val="ListParagraph"/>
        <w:numPr>
          <w:ilvl w:val="0"/>
          <w:numId w:val="49"/>
        </w:numPr>
      </w:pPr>
      <w:r>
        <w:t>Energy Star-labeled dishwashers in all units</w:t>
      </w:r>
    </w:p>
    <w:p w14:paraId="43995BE1" w14:textId="480C4D48" w:rsidR="00771C08" w:rsidRDefault="00771C08" w:rsidP="00101909">
      <w:pPr>
        <w:pStyle w:val="ListParagraph"/>
        <w:numPr>
          <w:ilvl w:val="0"/>
          <w:numId w:val="49"/>
        </w:numPr>
      </w:pPr>
      <w:r w:rsidRPr="00771C08">
        <w:t>Air filtration of Minimum Efficiency Reporting Value (MERV) 13 or higher on all ventilation systems, including through-the-wall units (or, if a system cannot accommodate a MERV 13 filter, the highest possible MERV rating achievable by the system)</w:t>
      </w:r>
    </w:p>
    <w:p w14:paraId="6D668CA5" w14:textId="77777777" w:rsidR="00771C08" w:rsidRDefault="00771C08" w:rsidP="00101909">
      <w:pPr>
        <w:pStyle w:val="ListParagraph"/>
        <w:numPr>
          <w:ilvl w:val="0"/>
          <w:numId w:val="49"/>
        </w:numPr>
      </w:pPr>
      <w:r>
        <w:t>All bedrooms at least 100 sq. ft.</w:t>
      </w:r>
    </w:p>
    <w:p w14:paraId="122E81D7" w14:textId="5E75E01E" w:rsidR="00771C08" w:rsidRDefault="00771C08" w:rsidP="00101909">
      <w:pPr>
        <w:pStyle w:val="ListParagraph"/>
        <w:numPr>
          <w:ilvl w:val="0"/>
          <w:numId w:val="49"/>
        </w:numPr>
      </w:pPr>
      <w:r>
        <w:t>All units have kitchen cabinet space of at least 14 linear ft. (0BR/1BR/2BR) or 16 linear ft. (3BR or more)</w:t>
      </w:r>
    </w:p>
    <w:p w14:paraId="1D37DE2A" w14:textId="7B6B9AD5" w:rsidR="00771C08" w:rsidRDefault="00771C08" w:rsidP="00101909">
      <w:pPr>
        <w:pStyle w:val="ListParagraph"/>
        <w:numPr>
          <w:ilvl w:val="0"/>
          <w:numId w:val="49"/>
        </w:numPr>
      </w:pPr>
      <w:r>
        <w:t>All units have closet space of at least 14 linear ft. (0BR/1BR), 24 linear ft. (2BR), 30 linear ft. (3BR), or 35 linear ft. (4BR)</w:t>
      </w:r>
    </w:p>
    <w:p w14:paraId="0352A88F" w14:textId="49705822" w:rsidR="00771C08" w:rsidRDefault="00771C08" w:rsidP="00101909">
      <w:pPr>
        <w:pStyle w:val="ListParagraph"/>
        <w:numPr>
          <w:ilvl w:val="0"/>
          <w:numId w:val="49"/>
        </w:numPr>
      </w:pPr>
      <w:r>
        <w:t>Emergency panic/call buttons/necklaces/bracelets for all residents (senior projects only)</w:t>
      </w:r>
    </w:p>
    <w:p w14:paraId="15192B60" w14:textId="77777777" w:rsidR="00771C08" w:rsidRDefault="00771C08" w:rsidP="00101909">
      <w:pPr>
        <w:pStyle w:val="ListParagraph"/>
        <w:numPr>
          <w:ilvl w:val="0"/>
          <w:numId w:val="49"/>
        </w:numPr>
      </w:pPr>
      <w:r>
        <w:t>Garages</w:t>
      </w:r>
    </w:p>
    <w:p w14:paraId="01A1C8EA" w14:textId="77777777" w:rsidR="00771C08" w:rsidRDefault="00771C08" w:rsidP="00101909">
      <w:pPr>
        <w:pStyle w:val="ListParagraph"/>
        <w:numPr>
          <w:ilvl w:val="0"/>
          <w:numId w:val="49"/>
        </w:numPr>
      </w:pPr>
      <w:r>
        <w:t>Patios</w:t>
      </w:r>
    </w:p>
    <w:p w14:paraId="11E12179" w14:textId="3C8DC14F" w:rsidR="00771C08" w:rsidRPr="009852BD" w:rsidRDefault="00771C08" w:rsidP="00101909">
      <w:pPr>
        <w:pStyle w:val="ListParagraph"/>
        <w:numPr>
          <w:ilvl w:val="0"/>
          <w:numId w:val="49"/>
        </w:numPr>
      </w:pPr>
      <w:r>
        <w:t>Free high-speed internet subscription service in all units, with all costs for providing high-speed internet shown in the operating budget</w:t>
      </w:r>
    </w:p>
    <w:p w14:paraId="4111FEB2" w14:textId="49C267C0" w:rsidR="00EC66DA" w:rsidRDefault="00EC66DA" w:rsidP="00EC66DA">
      <w:r w:rsidRPr="00E84F60">
        <w:rPr>
          <w:b/>
          <w:bCs/>
        </w:rPr>
        <w:t>Required Information:</w:t>
      </w:r>
      <w:r>
        <w:t xml:space="preserve"> </w:t>
      </w:r>
      <w:r w:rsidR="000349BD">
        <w:t>None</w:t>
      </w:r>
    </w:p>
    <w:p w14:paraId="6A64C48F" w14:textId="2904D668" w:rsidR="00EC66DA" w:rsidRPr="00EC66DA" w:rsidRDefault="00EC66DA" w:rsidP="00EC66DA">
      <w:r w:rsidRPr="00E84F60">
        <w:rPr>
          <w:b/>
          <w:bCs/>
        </w:rPr>
        <w:t>Required Attachments:</w:t>
      </w:r>
      <w:r>
        <w:t xml:space="preserve"> </w:t>
      </w:r>
      <w:r w:rsidR="00771C08">
        <w:t xml:space="preserve">If you </w:t>
      </w:r>
      <w:r w:rsidR="00DC3FA7">
        <w:t>received prior approval from NJHMFA for amenity substitution, for each substituted amenity, submit that prior approval as well as an explanation of how the substituted amenity provides a comparable benefit to the tenants of the project as the amenities listed above.</w:t>
      </w:r>
    </w:p>
    <w:p w14:paraId="7D9EAB40" w14:textId="13D23F9F" w:rsidR="00DC3FA7" w:rsidRDefault="00EC66DA" w:rsidP="00EC66DA">
      <w:r w:rsidRPr="00EC66DA">
        <w:rPr>
          <w:b/>
          <w:bCs/>
        </w:rPr>
        <w:t>Notes:</w:t>
      </w:r>
    </w:p>
    <w:p w14:paraId="7EE8D8CE" w14:textId="6DD6623E" w:rsidR="00DC3FA7" w:rsidRDefault="00DC3FA7" w:rsidP="00101909">
      <w:pPr>
        <w:pStyle w:val="ListParagraph"/>
        <w:numPr>
          <w:ilvl w:val="0"/>
          <w:numId w:val="50"/>
        </w:numPr>
      </w:pPr>
      <w:r w:rsidRPr="00DC3FA7">
        <w:t>The costs of the</w:t>
      </w:r>
      <w:r w:rsidR="00645B5D">
        <w:t xml:space="preserve"> unit</w:t>
      </w:r>
      <w:r w:rsidRPr="00DC3FA7">
        <w:t xml:space="preserve"> amenities must be shown in the capital and/or operating budgets, as appropriate.</w:t>
      </w:r>
    </w:p>
    <w:p w14:paraId="501128AC" w14:textId="73472A1E" w:rsidR="00DC3FA7" w:rsidRDefault="00645B5D" w:rsidP="00101909">
      <w:pPr>
        <w:pStyle w:val="ListParagraph"/>
        <w:numPr>
          <w:ilvl w:val="0"/>
          <w:numId w:val="50"/>
        </w:numPr>
      </w:pPr>
      <w:r>
        <w:t>Unit a</w:t>
      </w:r>
      <w:r w:rsidR="00DC3FA7" w:rsidRPr="00DC3FA7">
        <w:t>menities must be appropriate to the proposed tenant population.</w:t>
      </w:r>
    </w:p>
    <w:p w14:paraId="49161200" w14:textId="07E4FC2C" w:rsidR="00C65B69" w:rsidRDefault="00DC3FA7" w:rsidP="00101909">
      <w:pPr>
        <w:pStyle w:val="ListParagraph"/>
        <w:numPr>
          <w:ilvl w:val="0"/>
          <w:numId w:val="50"/>
        </w:numPr>
      </w:pPr>
      <w:r w:rsidRPr="00DC3FA7">
        <w:t xml:space="preserve">It is incumbent upon the applicant to demonstrate how each substitute amenity provides a comparable benefit to the tenants as those amenities listed </w:t>
      </w:r>
      <w:r w:rsidR="008F08FE">
        <w:t>above</w:t>
      </w:r>
      <w:r w:rsidRPr="00DC3FA7">
        <w:t>.</w:t>
      </w:r>
    </w:p>
    <w:p w14:paraId="4D5A77E3" w14:textId="52359A5C" w:rsidR="00645B5D" w:rsidRDefault="00645B5D">
      <w:r>
        <w:br w:type="page"/>
      </w:r>
    </w:p>
    <w:p w14:paraId="3B4A16B9" w14:textId="677DD9C7" w:rsidR="00713F77" w:rsidRDefault="00713F77" w:rsidP="00713F77">
      <w:pPr>
        <w:pStyle w:val="Heading3"/>
      </w:pPr>
      <w:bookmarkStart w:id="63" w:name="_Toc230012689"/>
      <w:r>
        <w:lastRenderedPageBreak/>
        <w:t>Project Amenities</w:t>
      </w:r>
      <w:bookmarkEnd w:id="63"/>
    </w:p>
    <w:p w14:paraId="758414D9" w14:textId="59515713" w:rsidR="00EC66DA" w:rsidRDefault="00EC66DA" w:rsidP="00EC66DA">
      <w:r w:rsidRPr="00E84F60">
        <w:rPr>
          <w:b/>
          <w:bCs/>
        </w:rPr>
        <w:t>Point Option</w:t>
      </w:r>
      <w:r>
        <w:rPr>
          <w:b/>
          <w:bCs/>
        </w:rPr>
        <w:t>s</w:t>
      </w:r>
      <w:r w:rsidRPr="00E84F60">
        <w:rPr>
          <w:b/>
          <w:bCs/>
        </w:rPr>
        <w:t>:</w:t>
      </w:r>
      <w:r>
        <w:t xml:space="preserve"> </w:t>
      </w:r>
      <w:r w:rsidR="00645B5D">
        <w:t>Project amenities — 2 points each, up to 4 points total</w:t>
      </w:r>
    </w:p>
    <w:p w14:paraId="2F467E32" w14:textId="77777777" w:rsidR="00645B5D" w:rsidRDefault="00645B5D" w:rsidP="00101909">
      <w:pPr>
        <w:pStyle w:val="ListParagraph"/>
        <w:numPr>
          <w:ilvl w:val="0"/>
          <w:numId w:val="51"/>
        </w:numPr>
      </w:pPr>
      <w:r>
        <w:t>Playground (family projects only)</w:t>
      </w:r>
    </w:p>
    <w:p w14:paraId="3E63FEE9" w14:textId="77777777" w:rsidR="00645B5D" w:rsidRDefault="00645B5D" w:rsidP="00101909">
      <w:pPr>
        <w:pStyle w:val="ListParagraph"/>
        <w:numPr>
          <w:ilvl w:val="0"/>
          <w:numId w:val="51"/>
        </w:numPr>
      </w:pPr>
      <w:r>
        <w:t>Community room/building of at least 1,600 sq. ft.</w:t>
      </w:r>
    </w:p>
    <w:p w14:paraId="1D36F3B5" w14:textId="79E7245C" w:rsidR="00645B5D" w:rsidRDefault="00645B5D" w:rsidP="00101909">
      <w:pPr>
        <w:pStyle w:val="ListParagraph"/>
        <w:numPr>
          <w:ilvl w:val="0"/>
          <w:numId w:val="51"/>
        </w:numPr>
      </w:pPr>
      <w:r>
        <w:t>On-site laundry facilities using Energy Star-labeled commercial equipment</w:t>
      </w:r>
    </w:p>
    <w:p w14:paraId="60303008" w14:textId="17401122" w:rsidR="00645B5D" w:rsidRDefault="00645B5D" w:rsidP="00101909">
      <w:pPr>
        <w:pStyle w:val="ListParagraph"/>
        <w:numPr>
          <w:ilvl w:val="0"/>
          <w:numId w:val="51"/>
        </w:numPr>
      </w:pPr>
      <w:r>
        <w:t>Open space set aside for use by all</w:t>
      </w:r>
      <w:r w:rsidRPr="00645B5D">
        <w:t xml:space="preserve"> residents, comprising at least 25 percent of the project’s permanent open space, of which at least 80 percent is unpaved (rooftop gardens can be included in open space calculations if the roof area is accessible to and can be used by all residents)</w:t>
      </w:r>
    </w:p>
    <w:p w14:paraId="33AF9579" w14:textId="19C8E7B6" w:rsidR="00645B5D" w:rsidRDefault="00645B5D" w:rsidP="00101909">
      <w:pPr>
        <w:pStyle w:val="ListParagraph"/>
        <w:numPr>
          <w:ilvl w:val="0"/>
          <w:numId w:val="51"/>
        </w:numPr>
      </w:pPr>
      <w:r w:rsidRPr="00645B5D">
        <w:t>Average interior unit sizes of 550 square ft</w:t>
      </w:r>
      <w:r w:rsidR="00444B3F">
        <w:t>.</w:t>
      </w:r>
      <w:r w:rsidRPr="00645B5D">
        <w:t xml:space="preserve"> for </w:t>
      </w:r>
      <w:r>
        <w:t>0BRs</w:t>
      </w:r>
      <w:r w:rsidRPr="00645B5D">
        <w:t>, 650 square ft</w:t>
      </w:r>
      <w:r w:rsidR="00444B3F">
        <w:t>.</w:t>
      </w:r>
      <w:r w:rsidRPr="00645B5D">
        <w:t xml:space="preserve"> for </w:t>
      </w:r>
      <w:r>
        <w:t>1BRs</w:t>
      </w:r>
      <w:r w:rsidRPr="00645B5D">
        <w:t>, 875 square ft</w:t>
      </w:r>
      <w:r w:rsidR="00444B3F">
        <w:t>.</w:t>
      </w:r>
      <w:r w:rsidRPr="00645B5D">
        <w:t xml:space="preserve"> for </w:t>
      </w:r>
      <w:r>
        <w:t>2BRs</w:t>
      </w:r>
      <w:r w:rsidRPr="00645B5D">
        <w:t>, 1,150 square ft</w:t>
      </w:r>
      <w:r w:rsidR="00444B3F">
        <w:t>.</w:t>
      </w:r>
      <w:r w:rsidRPr="00645B5D">
        <w:t xml:space="preserve"> for </w:t>
      </w:r>
      <w:r>
        <w:t>3BR</w:t>
      </w:r>
      <w:r w:rsidRPr="00645B5D">
        <w:t>s, and 1,250 square ft</w:t>
      </w:r>
      <w:r w:rsidR="00444B3F">
        <w:t>.</w:t>
      </w:r>
      <w:r w:rsidRPr="00645B5D">
        <w:t xml:space="preserve"> for </w:t>
      </w:r>
      <w:r>
        <w:t>4BRs</w:t>
      </w:r>
    </w:p>
    <w:p w14:paraId="72061261" w14:textId="2EBE62B7" w:rsidR="00645B5D" w:rsidRDefault="001E6EBC" w:rsidP="00101909">
      <w:pPr>
        <w:pStyle w:val="ListParagraph"/>
        <w:numPr>
          <w:ilvl w:val="0"/>
          <w:numId w:val="51"/>
        </w:numPr>
      </w:pPr>
      <w:r w:rsidRPr="001E6EBC">
        <w:t>Free parking (at least one parking space per tax-credit unit) and free covered, secured bicycle storage (at least 0.5 bicycle spaces per tax-credit unit for family projects; at least 0.2 bicycle spaces per tax-credit unit for senior projects) for LIHTC tenants</w:t>
      </w:r>
      <w:r>
        <w:t>, with storage lockers at least 144 cubic ft. i</w:t>
      </w:r>
      <w:r w:rsidRPr="001E6EBC">
        <w:t>f bicycle storage is provided through storage lockers assigned to individual units</w:t>
      </w:r>
    </w:p>
    <w:p w14:paraId="6DFC01C1" w14:textId="77777777" w:rsidR="00645B5D" w:rsidRDefault="00645B5D" w:rsidP="00101909">
      <w:pPr>
        <w:pStyle w:val="ListParagraph"/>
        <w:numPr>
          <w:ilvl w:val="0"/>
          <w:numId w:val="51"/>
        </w:numPr>
      </w:pPr>
      <w:r>
        <w:t>Healthy food delivery program, at least twice per month</w:t>
      </w:r>
    </w:p>
    <w:p w14:paraId="77DC4651" w14:textId="77777777" w:rsidR="00645B5D" w:rsidRDefault="00645B5D" w:rsidP="00101909">
      <w:pPr>
        <w:pStyle w:val="ListParagraph"/>
        <w:numPr>
          <w:ilvl w:val="0"/>
          <w:numId w:val="51"/>
        </w:numPr>
      </w:pPr>
      <w:r>
        <w:t>Smoke-free community</w:t>
      </w:r>
    </w:p>
    <w:p w14:paraId="58827F58" w14:textId="77777777" w:rsidR="00645B5D" w:rsidRDefault="00645B5D" w:rsidP="00101909">
      <w:pPr>
        <w:pStyle w:val="ListParagraph"/>
        <w:numPr>
          <w:ilvl w:val="0"/>
          <w:numId w:val="51"/>
        </w:numPr>
      </w:pPr>
      <w:r>
        <w:t>Gym/fitness center</w:t>
      </w:r>
    </w:p>
    <w:p w14:paraId="5D1BEFC7" w14:textId="0A7744EE" w:rsidR="00645B5D" w:rsidRPr="009852BD" w:rsidRDefault="00444B3F" w:rsidP="00101909">
      <w:pPr>
        <w:pStyle w:val="ListParagraph"/>
        <w:numPr>
          <w:ilvl w:val="0"/>
          <w:numId w:val="51"/>
        </w:numPr>
      </w:pPr>
      <w:r>
        <w:t>At least one item of e</w:t>
      </w:r>
      <w:r w:rsidR="00645B5D">
        <w:t>xtreme heat mitigation infrastructure</w:t>
      </w:r>
      <w:r>
        <w:t xml:space="preserve">, </w:t>
      </w:r>
      <w:r w:rsidRPr="00444B3F">
        <w:t xml:space="preserve">such as a green roof, cool pavement, or tree canopy comprising at least 25 percent of project green space </w:t>
      </w:r>
      <w:r w:rsidR="00645B5D">
        <w:t>(TUM projects only)</w:t>
      </w:r>
    </w:p>
    <w:p w14:paraId="21CBD8BC" w14:textId="24467825" w:rsidR="00053CD8" w:rsidRDefault="00EC66DA" w:rsidP="00EC66DA">
      <w:r w:rsidRPr="00E84F60">
        <w:rPr>
          <w:b/>
          <w:bCs/>
        </w:rPr>
        <w:t>Required Information:</w:t>
      </w:r>
    </w:p>
    <w:p w14:paraId="6720AD3C" w14:textId="057987B4" w:rsidR="00EC66DA" w:rsidRDefault="00053CD8" w:rsidP="00EC66DA">
      <w:r>
        <w:t>Description of Extreme Heat Mitigation Infrastructure (if selected):</w:t>
      </w:r>
      <w:r>
        <w:tab/>
        <w:t>__________________________________________________</w:t>
      </w:r>
    </w:p>
    <w:p w14:paraId="6BA2BFEB" w14:textId="068CB0D8" w:rsidR="00EC66DA" w:rsidRPr="00EC66DA" w:rsidRDefault="00EC66DA" w:rsidP="00EC66DA">
      <w:r w:rsidRPr="00E84F60">
        <w:rPr>
          <w:b/>
          <w:bCs/>
        </w:rPr>
        <w:t>Required Attachments:</w:t>
      </w:r>
      <w:r>
        <w:t xml:space="preserve"> </w:t>
      </w:r>
      <w:r w:rsidR="00F80799">
        <w:t>If you received prior approval from NJHMFA for amenity substitution, for each substituted amenity, submit that prior approval as well as an explanation of how the substituted amenity provides a comparable benefit to the tenants of the project as the amenities listed above.</w:t>
      </w:r>
    </w:p>
    <w:p w14:paraId="5DA99481" w14:textId="71A4901F" w:rsidR="00EC66DA" w:rsidRDefault="00EC66DA" w:rsidP="00EC66DA">
      <w:r w:rsidRPr="00EC66DA">
        <w:rPr>
          <w:b/>
          <w:bCs/>
        </w:rPr>
        <w:t>Notes:</w:t>
      </w:r>
    </w:p>
    <w:p w14:paraId="2E39119C" w14:textId="75DBB3CA" w:rsidR="00F80799" w:rsidRDefault="00F80799" w:rsidP="00101909">
      <w:pPr>
        <w:pStyle w:val="ListParagraph"/>
        <w:numPr>
          <w:ilvl w:val="0"/>
          <w:numId w:val="50"/>
        </w:numPr>
      </w:pPr>
      <w:r w:rsidRPr="00DC3FA7">
        <w:t>The costs of the</w:t>
      </w:r>
      <w:r>
        <w:t xml:space="preserve"> project</w:t>
      </w:r>
      <w:r w:rsidRPr="00DC3FA7">
        <w:t xml:space="preserve"> amenities must be shown in the capital and/or operating budgets, as appropriate.</w:t>
      </w:r>
    </w:p>
    <w:p w14:paraId="7EF3FFAD" w14:textId="28131DDC" w:rsidR="00F80799" w:rsidRDefault="00F80799" w:rsidP="00101909">
      <w:pPr>
        <w:pStyle w:val="ListParagraph"/>
        <w:numPr>
          <w:ilvl w:val="0"/>
          <w:numId w:val="50"/>
        </w:numPr>
      </w:pPr>
      <w:r>
        <w:t>Project a</w:t>
      </w:r>
      <w:r w:rsidRPr="00DC3FA7">
        <w:t>menities must be appropriate to the proposed tenant population.</w:t>
      </w:r>
    </w:p>
    <w:p w14:paraId="52309E63" w14:textId="3ADE5873" w:rsidR="00F80799" w:rsidRDefault="00F80799" w:rsidP="00101909">
      <w:pPr>
        <w:pStyle w:val="ListParagraph"/>
        <w:numPr>
          <w:ilvl w:val="0"/>
          <w:numId w:val="50"/>
        </w:numPr>
      </w:pPr>
      <w:r w:rsidRPr="00DC3FA7">
        <w:t xml:space="preserve">It is incumbent upon the applicant to demonstrate how each substitute amenity provides a comparable benefit to the tenants as those amenities listed </w:t>
      </w:r>
      <w:r>
        <w:t>above</w:t>
      </w:r>
      <w:r w:rsidRPr="00DC3FA7">
        <w:t>.</w:t>
      </w:r>
    </w:p>
    <w:p w14:paraId="528DB59A" w14:textId="1F9E2BC4" w:rsidR="007C25AD" w:rsidRDefault="007C25AD">
      <w:r>
        <w:br w:type="page"/>
      </w:r>
    </w:p>
    <w:p w14:paraId="637A6BDD" w14:textId="1D490E17" w:rsidR="00713F77" w:rsidRDefault="00713F77" w:rsidP="00713F77">
      <w:pPr>
        <w:pStyle w:val="Heading3"/>
      </w:pPr>
      <w:bookmarkStart w:id="64" w:name="_Toc230012690"/>
      <w:r>
        <w:lastRenderedPageBreak/>
        <w:t>Community Policing/Public Safety Enhancements</w:t>
      </w:r>
      <w:bookmarkEnd w:id="64"/>
    </w:p>
    <w:p w14:paraId="4DB2F5B3" w14:textId="79592CD9" w:rsidR="00EC66DA" w:rsidRDefault="00EC66DA" w:rsidP="00EC66DA">
      <w:r w:rsidRPr="00E84F60">
        <w:rPr>
          <w:b/>
          <w:bCs/>
        </w:rPr>
        <w:t>Point Option</w:t>
      </w:r>
      <w:r>
        <w:rPr>
          <w:b/>
          <w:bCs/>
        </w:rPr>
        <w:t>s</w:t>
      </w:r>
      <w:r w:rsidRPr="00E84F60">
        <w:rPr>
          <w:b/>
          <w:bCs/>
        </w:rPr>
        <w:t>:</w:t>
      </w:r>
      <w:r>
        <w:t xml:space="preserve"> </w:t>
      </w:r>
      <w:r w:rsidR="007C25AD">
        <w:t>Community policing/public safety enhancements — 2 points each, up to 2 points total</w:t>
      </w:r>
    </w:p>
    <w:p w14:paraId="2C596D81" w14:textId="65F5F423" w:rsidR="007C25AD" w:rsidRDefault="007C25AD" w:rsidP="00101909">
      <w:pPr>
        <w:pStyle w:val="ListParagraph"/>
        <w:numPr>
          <w:ilvl w:val="0"/>
          <w:numId w:val="52"/>
        </w:numPr>
      </w:pPr>
      <w:r w:rsidRPr="007C25AD">
        <w:t>Evening security guard</w:t>
      </w:r>
    </w:p>
    <w:p w14:paraId="52A1A16F" w14:textId="68FB36C6" w:rsidR="007C25AD" w:rsidRDefault="007C25AD" w:rsidP="00101909">
      <w:pPr>
        <w:pStyle w:val="ListParagraph"/>
        <w:numPr>
          <w:ilvl w:val="0"/>
          <w:numId w:val="52"/>
        </w:numPr>
      </w:pPr>
      <w:r w:rsidRPr="007C25AD">
        <w:t>On-site community policing station</w:t>
      </w:r>
    </w:p>
    <w:p w14:paraId="78D79E54" w14:textId="4DDA6B93" w:rsidR="007C25AD" w:rsidRDefault="007C25AD" w:rsidP="00101909">
      <w:pPr>
        <w:pStyle w:val="ListParagraph"/>
        <w:numPr>
          <w:ilvl w:val="0"/>
          <w:numId w:val="52"/>
        </w:numPr>
      </w:pPr>
      <w:r w:rsidRPr="007C25AD">
        <w:t>Camera/security system in each building</w:t>
      </w:r>
    </w:p>
    <w:p w14:paraId="0A819C6B" w14:textId="5CDDAA8D" w:rsidR="007C25AD" w:rsidRPr="007C25AD" w:rsidRDefault="007C25AD" w:rsidP="00101909">
      <w:pPr>
        <w:pStyle w:val="ListParagraph"/>
        <w:numPr>
          <w:ilvl w:val="0"/>
          <w:numId w:val="52"/>
        </w:numPr>
      </w:pPr>
      <w:r w:rsidRPr="007C25AD">
        <w:t>Coordination/training for community policing groups and/or property manager by a governmental law enforcement agency</w:t>
      </w:r>
    </w:p>
    <w:p w14:paraId="295A68DF" w14:textId="3A2BD4FA" w:rsidR="007C25AD" w:rsidRPr="007C25AD" w:rsidRDefault="007C25AD" w:rsidP="00101909">
      <w:pPr>
        <w:pStyle w:val="ListParagraph"/>
        <w:numPr>
          <w:ilvl w:val="0"/>
          <w:numId w:val="52"/>
        </w:numPr>
      </w:pPr>
      <w:r w:rsidRPr="007C25AD">
        <w:t>Incorporation of Community Policing Through Environmental Design (CPTED) characteristics in the design, layout, and construction of buildings and on-site facilities</w:t>
      </w:r>
    </w:p>
    <w:p w14:paraId="0C760F1A" w14:textId="196A0EC3" w:rsidR="007C25AD" w:rsidRPr="007C25AD" w:rsidRDefault="007C25AD" w:rsidP="00101909">
      <w:pPr>
        <w:pStyle w:val="ListParagraph"/>
        <w:numPr>
          <w:ilvl w:val="0"/>
          <w:numId w:val="52"/>
        </w:numPr>
      </w:pPr>
      <w:r w:rsidRPr="007C25AD">
        <w:t>Partnerships or agreements that increase on-site police and security patrols on the development site (that is, leveraging partnerships with other funding sources for police salaries such as State Urban Enterprise Zones, Special Improvement Districts, Community Oriented Policing grants, etc.)</w:t>
      </w:r>
    </w:p>
    <w:p w14:paraId="282E14FD" w14:textId="103EE23E" w:rsidR="007C25AD" w:rsidRPr="007C25AD" w:rsidRDefault="007C25AD" w:rsidP="00101909">
      <w:pPr>
        <w:pStyle w:val="ListParagraph"/>
        <w:numPr>
          <w:ilvl w:val="0"/>
          <w:numId w:val="52"/>
        </w:numPr>
      </w:pPr>
      <w:r w:rsidRPr="007C25AD">
        <w:t>Innovative approaches that increase the number of community policing volunteers as residents of the development (including rent reductions or subsidies where allowable)</w:t>
      </w:r>
    </w:p>
    <w:p w14:paraId="5CB5C466" w14:textId="03A80B17" w:rsidR="007C25AD" w:rsidRPr="009852BD" w:rsidRDefault="007C25AD" w:rsidP="00101909">
      <w:pPr>
        <w:pStyle w:val="ListParagraph"/>
        <w:numPr>
          <w:ilvl w:val="0"/>
          <w:numId w:val="52"/>
        </w:numPr>
      </w:pPr>
      <w:r w:rsidRPr="007C25AD">
        <w:t>Using operating funds or alternative funding sources such as Urban Enterprise Zone funds or HUD grants to purchase or subsidize the purchase of take-home police vehicles for law enforcement officers in the development</w:t>
      </w:r>
    </w:p>
    <w:p w14:paraId="6588AFE3" w14:textId="5287E328" w:rsidR="00EC66DA" w:rsidRDefault="00EC66DA" w:rsidP="00EC66DA">
      <w:r w:rsidRPr="00E84F60">
        <w:rPr>
          <w:b/>
          <w:bCs/>
        </w:rPr>
        <w:t>Required Information:</w:t>
      </w:r>
      <w:r>
        <w:t xml:space="preserve"> </w:t>
      </w:r>
      <w:r w:rsidR="007C25AD">
        <w:t>None</w:t>
      </w:r>
    </w:p>
    <w:p w14:paraId="47D08BD4" w14:textId="7919EE10" w:rsidR="00EC66DA" w:rsidRPr="00EC66DA" w:rsidRDefault="00EC66DA" w:rsidP="00EC66DA">
      <w:r w:rsidRPr="00E84F60">
        <w:rPr>
          <w:b/>
          <w:bCs/>
        </w:rPr>
        <w:t>Required Attachments:</w:t>
      </w:r>
      <w:r>
        <w:t xml:space="preserve"> </w:t>
      </w:r>
      <w:r w:rsidR="007C25AD">
        <w:t>If you received prior approval from NJHMFA for community policing/public safety enhancement substitution, for each substitution, submit that prior approval as well as an explanation of how the substitution provides a comparable benefit to the tenants of the project as the community policing/public safety enhancements listed above.</w:t>
      </w:r>
    </w:p>
    <w:p w14:paraId="2691213A" w14:textId="47EEFBDA" w:rsidR="00EC66DA" w:rsidRDefault="00EC66DA" w:rsidP="00EC66DA">
      <w:r w:rsidRPr="00EC66DA">
        <w:rPr>
          <w:b/>
          <w:bCs/>
        </w:rPr>
        <w:t>Notes:</w:t>
      </w:r>
    </w:p>
    <w:p w14:paraId="2C6A3490" w14:textId="40E87B0E" w:rsidR="007C25AD" w:rsidRDefault="007C25AD" w:rsidP="00101909">
      <w:pPr>
        <w:pStyle w:val="ListParagraph"/>
        <w:numPr>
          <w:ilvl w:val="0"/>
          <w:numId w:val="50"/>
        </w:numPr>
      </w:pPr>
      <w:r w:rsidRPr="00DC3FA7">
        <w:t>The costs of the</w:t>
      </w:r>
      <w:r>
        <w:t xml:space="preserve"> enhancements</w:t>
      </w:r>
      <w:r w:rsidRPr="00DC3FA7">
        <w:t xml:space="preserve"> must be shown in the capital and/or operating budgets, as appropriate.</w:t>
      </w:r>
    </w:p>
    <w:p w14:paraId="22D2A054" w14:textId="2C6596F6" w:rsidR="007C25AD" w:rsidRDefault="007C25AD" w:rsidP="00101909">
      <w:pPr>
        <w:pStyle w:val="ListParagraph"/>
        <w:numPr>
          <w:ilvl w:val="0"/>
          <w:numId w:val="50"/>
        </w:numPr>
      </w:pPr>
      <w:r w:rsidRPr="00DC3FA7">
        <w:t xml:space="preserve">It is incumbent upon the applicant to demonstrate how each substitute </w:t>
      </w:r>
      <w:r>
        <w:t>enhancement</w:t>
      </w:r>
      <w:r w:rsidRPr="00DC3FA7">
        <w:t xml:space="preserve"> provides a comparable benefit to the tenants as those </w:t>
      </w:r>
      <w:r>
        <w:t>enhancements</w:t>
      </w:r>
      <w:r w:rsidRPr="00DC3FA7">
        <w:t xml:space="preserve"> listed </w:t>
      </w:r>
      <w:r>
        <w:t>above</w:t>
      </w:r>
      <w:r w:rsidRPr="00DC3FA7">
        <w:t>.</w:t>
      </w:r>
    </w:p>
    <w:p w14:paraId="6072C866" w14:textId="28BA1B3A" w:rsidR="00FA56BC" w:rsidRDefault="00FA56BC">
      <w:r>
        <w:br w:type="page"/>
      </w:r>
    </w:p>
    <w:p w14:paraId="35EF43E7" w14:textId="530F6E84" w:rsidR="00713F77" w:rsidRDefault="00713F77" w:rsidP="00713F77">
      <w:pPr>
        <w:pStyle w:val="Heading3"/>
      </w:pPr>
      <w:bookmarkStart w:id="65" w:name="_Toc230012691"/>
      <w:r>
        <w:lastRenderedPageBreak/>
        <w:t>Site Selection</w:t>
      </w:r>
      <w:bookmarkEnd w:id="65"/>
    </w:p>
    <w:p w14:paraId="15728C0E" w14:textId="6673A9FC" w:rsidR="00116BD2" w:rsidRDefault="00EC66DA" w:rsidP="00EC66DA">
      <w:r w:rsidRPr="00E84F60">
        <w:rPr>
          <w:b/>
          <w:bCs/>
        </w:rPr>
        <w:t>Point Option</w:t>
      </w:r>
      <w:r>
        <w:rPr>
          <w:b/>
          <w:bCs/>
        </w:rPr>
        <w:t>s</w:t>
      </w:r>
      <w:r w:rsidRPr="00E84F60">
        <w:rPr>
          <w:b/>
          <w:bCs/>
        </w:rPr>
        <w:t>:</w:t>
      </w:r>
    </w:p>
    <w:p w14:paraId="2CFE3B19" w14:textId="31D91FE2" w:rsidR="00116BD2" w:rsidRPr="00116BD2" w:rsidRDefault="00116BD2" w:rsidP="00EC66DA">
      <w:r>
        <w:t>Up to 6 points for positive land uses:</w:t>
      </w:r>
    </w:p>
    <w:tbl>
      <w:tblPr>
        <w:tblStyle w:val="TableGrid"/>
        <w:tblW w:w="10800" w:type="dxa"/>
        <w:tblCellMar>
          <w:top w:w="29" w:type="dxa"/>
          <w:bottom w:w="29" w:type="dxa"/>
        </w:tblCellMar>
        <w:tblLook w:val="04A0" w:firstRow="1" w:lastRow="0" w:firstColumn="1" w:lastColumn="0" w:noHBand="0" w:noVBand="1"/>
      </w:tblPr>
      <w:tblGrid>
        <w:gridCol w:w="3456"/>
        <w:gridCol w:w="2448"/>
        <w:gridCol w:w="2448"/>
        <w:gridCol w:w="2448"/>
      </w:tblGrid>
      <w:tr w:rsidR="00621AF3" w:rsidRPr="00621AF3" w14:paraId="3727E161" w14:textId="77777777" w:rsidTr="00501601">
        <w:tc>
          <w:tcPr>
            <w:tcW w:w="3456" w:type="dxa"/>
          </w:tcPr>
          <w:p w14:paraId="4D146E77" w14:textId="277EA6D3" w:rsidR="00116BD2" w:rsidRPr="00621AF3" w:rsidRDefault="00116BD2" w:rsidP="00621AF3">
            <w:pPr>
              <w:jc w:val="center"/>
              <w:rPr>
                <w:szCs w:val="20"/>
                <w:u w:val="single"/>
              </w:rPr>
            </w:pPr>
            <w:r w:rsidRPr="00621AF3">
              <w:rPr>
                <w:szCs w:val="20"/>
                <w:u w:val="single"/>
              </w:rPr>
              <w:t>Positive Land Use</w:t>
            </w:r>
          </w:p>
        </w:tc>
        <w:tc>
          <w:tcPr>
            <w:tcW w:w="2448" w:type="dxa"/>
          </w:tcPr>
          <w:p w14:paraId="23DEBB66" w14:textId="25C265B5" w:rsidR="00116BD2" w:rsidRPr="00621AF3" w:rsidRDefault="00170648" w:rsidP="00621AF3">
            <w:pPr>
              <w:jc w:val="center"/>
              <w:rPr>
                <w:szCs w:val="20"/>
                <w:u w:val="single"/>
              </w:rPr>
            </w:pPr>
            <w:r w:rsidRPr="00621AF3">
              <w:rPr>
                <w:szCs w:val="20"/>
                <w:u w:val="single"/>
              </w:rPr>
              <w:t>Family Cycle</w:t>
            </w:r>
          </w:p>
        </w:tc>
        <w:tc>
          <w:tcPr>
            <w:tcW w:w="2448" w:type="dxa"/>
          </w:tcPr>
          <w:p w14:paraId="32C80EAC" w14:textId="304B8370" w:rsidR="00116BD2" w:rsidRPr="00621AF3" w:rsidRDefault="00170648" w:rsidP="00621AF3">
            <w:pPr>
              <w:jc w:val="center"/>
              <w:rPr>
                <w:szCs w:val="20"/>
                <w:u w:val="single"/>
              </w:rPr>
            </w:pPr>
            <w:r w:rsidRPr="00621AF3">
              <w:rPr>
                <w:szCs w:val="20"/>
                <w:u w:val="single"/>
              </w:rPr>
              <w:t>Age-Friendly Senior Cycle</w:t>
            </w:r>
          </w:p>
        </w:tc>
        <w:tc>
          <w:tcPr>
            <w:tcW w:w="2448" w:type="dxa"/>
          </w:tcPr>
          <w:p w14:paraId="3FE7B56D" w14:textId="37CF06CD" w:rsidR="00116BD2" w:rsidRPr="00621AF3" w:rsidRDefault="00170648" w:rsidP="00621AF3">
            <w:pPr>
              <w:jc w:val="center"/>
              <w:rPr>
                <w:szCs w:val="20"/>
                <w:u w:val="single"/>
              </w:rPr>
            </w:pPr>
            <w:r w:rsidRPr="00621AF3">
              <w:rPr>
                <w:szCs w:val="20"/>
                <w:u w:val="single"/>
              </w:rPr>
              <w:t>Supportive Housing Cycle</w:t>
            </w:r>
          </w:p>
        </w:tc>
      </w:tr>
      <w:tr w:rsidR="00621AF3" w:rsidRPr="00621AF3" w14:paraId="45BD44A6" w14:textId="77777777" w:rsidTr="00501601">
        <w:tc>
          <w:tcPr>
            <w:tcW w:w="3456" w:type="dxa"/>
            <w:vAlign w:val="center"/>
          </w:tcPr>
          <w:p w14:paraId="1ED63409" w14:textId="69868E5B" w:rsidR="00116BD2" w:rsidRPr="00621AF3" w:rsidRDefault="00116BD2" w:rsidP="00621AF3">
            <w:pPr>
              <w:rPr>
                <w:szCs w:val="20"/>
              </w:rPr>
            </w:pPr>
            <w:r w:rsidRPr="00621AF3">
              <w:rPr>
                <w:szCs w:val="20"/>
              </w:rPr>
              <w:t>Full-service grocery store</w:t>
            </w:r>
            <w:r w:rsidR="00ED6F05" w:rsidRPr="00621AF3">
              <w:rPr>
                <w:szCs w:val="20"/>
              </w:rPr>
              <w:t xml:space="preserve"> </w:t>
            </w:r>
            <w:r w:rsidRPr="00621AF3">
              <w:rPr>
                <w:szCs w:val="20"/>
              </w:rPr>
              <w:t>/</w:t>
            </w:r>
            <w:r w:rsidR="00ED6F05" w:rsidRPr="00621AF3">
              <w:rPr>
                <w:szCs w:val="20"/>
              </w:rPr>
              <w:t xml:space="preserve"> </w:t>
            </w:r>
            <w:r w:rsidRPr="00621AF3">
              <w:rPr>
                <w:szCs w:val="20"/>
              </w:rPr>
              <w:t>supermarket</w:t>
            </w:r>
            <w:r w:rsidR="00ED7A50">
              <w:rPr>
                <w:szCs w:val="20"/>
              </w:rPr>
              <w:t>*</w:t>
            </w:r>
            <w:r w:rsidRPr="00621AF3">
              <w:rPr>
                <w:szCs w:val="20"/>
              </w:rPr>
              <w:t xml:space="preserve"> </w:t>
            </w:r>
            <w:r w:rsidR="00170648" w:rsidRPr="00621AF3">
              <w:rPr>
                <w:szCs w:val="20"/>
              </w:rPr>
              <w:t>(min. 15,000 sq. ft.)</w:t>
            </w:r>
          </w:p>
          <w:p w14:paraId="2EDD5BAF" w14:textId="77777777" w:rsidR="00ED6F05" w:rsidRPr="00621AF3" w:rsidRDefault="00ED6F05" w:rsidP="00621AF3">
            <w:pPr>
              <w:rPr>
                <w:szCs w:val="20"/>
              </w:rPr>
            </w:pPr>
          </w:p>
          <w:p w14:paraId="0FFE045B" w14:textId="64CABB97" w:rsidR="00ED6F05" w:rsidRPr="00621AF3" w:rsidRDefault="00ED6F05" w:rsidP="00621AF3">
            <w:pPr>
              <w:rPr>
                <w:szCs w:val="20"/>
              </w:rPr>
            </w:pPr>
            <w:r w:rsidRPr="00621AF3">
              <w:rPr>
                <w:szCs w:val="20"/>
              </w:rPr>
              <w:t>*For senior projects, must have dedicated transportation to the grocery store/supermarket provided at least once per week</w:t>
            </w:r>
          </w:p>
        </w:tc>
        <w:tc>
          <w:tcPr>
            <w:tcW w:w="2448" w:type="dxa"/>
            <w:vAlign w:val="center"/>
          </w:tcPr>
          <w:p w14:paraId="486B9BD2" w14:textId="77777777" w:rsidR="00116BD2" w:rsidRPr="00621AF3" w:rsidRDefault="00170648" w:rsidP="00621AF3">
            <w:pPr>
              <w:rPr>
                <w:szCs w:val="20"/>
              </w:rPr>
            </w:pPr>
            <w:r w:rsidRPr="00621AF3">
              <w:rPr>
                <w:szCs w:val="20"/>
              </w:rPr>
              <w:t>Within ½ mile — 2 points</w:t>
            </w:r>
          </w:p>
          <w:p w14:paraId="1EF9E0CA" w14:textId="56D29363" w:rsidR="00170648" w:rsidRPr="00621AF3" w:rsidRDefault="00170648" w:rsidP="00621AF3">
            <w:pPr>
              <w:rPr>
                <w:szCs w:val="20"/>
              </w:rPr>
            </w:pPr>
            <w:r w:rsidRPr="00621AF3">
              <w:rPr>
                <w:szCs w:val="20"/>
              </w:rPr>
              <w:t>Within 3 miles — 1 point</w:t>
            </w:r>
          </w:p>
        </w:tc>
        <w:tc>
          <w:tcPr>
            <w:tcW w:w="2448" w:type="dxa"/>
            <w:vAlign w:val="center"/>
          </w:tcPr>
          <w:p w14:paraId="0F1C2894" w14:textId="77777777" w:rsidR="00116BD2" w:rsidRPr="00621AF3" w:rsidRDefault="00ED6F05" w:rsidP="00621AF3">
            <w:pPr>
              <w:rPr>
                <w:szCs w:val="20"/>
              </w:rPr>
            </w:pPr>
            <w:r w:rsidRPr="00621AF3">
              <w:rPr>
                <w:szCs w:val="20"/>
              </w:rPr>
              <w:t>Within ½ mile — 2 points</w:t>
            </w:r>
          </w:p>
          <w:p w14:paraId="73317507" w14:textId="669A3AF8" w:rsidR="00ED6F05" w:rsidRPr="00621AF3" w:rsidRDefault="00ED6F05" w:rsidP="00621AF3">
            <w:pPr>
              <w:rPr>
                <w:szCs w:val="20"/>
              </w:rPr>
            </w:pPr>
            <w:r w:rsidRPr="00621AF3">
              <w:rPr>
                <w:szCs w:val="20"/>
              </w:rPr>
              <w:t>Within 1 mile — 1 point</w:t>
            </w:r>
          </w:p>
        </w:tc>
        <w:tc>
          <w:tcPr>
            <w:tcW w:w="2448" w:type="dxa"/>
            <w:vAlign w:val="center"/>
          </w:tcPr>
          <w:p w14:paraId="14CBB6E7" w14:textId="77777777" w:rsidR="00ED6F05" w:rsidRPr="00621AF3" w:rsidRDefault="00ED6F05" w:rsidP="00621AF3">
            <w:pPr>
              <w:rPr>
                <w:szCs w:val="20"/>
              </w:rPr>
            </w:pPr>
            <w:r w:rsidRPr="00621AF3">
              <w:rPr>
                <w:szCs w:val="20"/>
              </w:rPr>
              <w:t>Within ½ mile — 2 points</w:t>
            </w:r>
          </w:p>
          <w:p w14:paraId="4B6390F8" w14:textId="050F8274" w:rsidR="00116BD2" w:rsidRPr="00621AF3" w:rsidRDefault="00ED6F05" w:rsidP="00621AF3">
            <w:pPr>
              <w:rPr>
                <w:szCs w:val="20"/>
              </w:rPr>
            </w:pPr>
            <w:r w:rsidRPr="00621AF3">
              <w:rPr>
                <w:szCs w:val="20"/>
              </w:rPr>
              <w:t>Within 1 mile — 1 point</w:t>
            </w:r>
          </w:p>
        </w:tc>
      </w:tr>
      <w:tr w:rsidR="00621AF3" w:rsidRPr="00621AF3" w14:paraId="58922479" w14:textId="77777777" w:rsidTr="00501601">
        <w:tc>
          <w:tcPr>
            <w:tcW w:w="3456" w:type="dxa"/>
            <w:vAlign w:val="center"/>
          </w:tcPr>
          <w:p w14:paraId="7E2C3C1F" w14:textId="0D2987A4" w:rsidR="00ED6F05" w:rsidRPr="00621AF3" w:rsidRDefault="00ED6F05" w:rsidP="00621AF3">
            <w:pPr>
              <w:rPr>
                <w:szCs w:val="20"/>
              </w:rPr>
            </w:pPr>
            <w:r w:rsidRPr="00621AF3">
              <w:rPr>
                <w:szCs w:val="20"/>
              </w:rPr>
              <w:t>Hospital/medical clinic</w:t>
            </w:r>
          </w:p>
        </w:tc>
        <w:tc>
          <w:tcPr>
            <w:tcW w:w="2448" w:type="dxa"/>
            <w:vAlign w:val="center"/>
          </w:tcPr>
          <w:p w14:paraId="3A689BA5" w14:textId="77777777" w:rsidR="00ED6F05" w:rsidRPr="00621AF3" w:rsidRDefault="00ED6F05" w:rsidP="00621AF3">
            <w:pPr>
              <w:rPr>
                <w:szCs w:val="20"/>
              </w:rPr>
            </w:pPr>
            <w:r w:rsidRPr="00621AF3">
              <w:rPr>
                <w:szCs w:val="20"/>
              </w:rPr>
              <w:t>Within ½ mile — 2 points</w:t>
            </w:r>
          </w:p>
          <w:p w14:paraId="020B62EF" w14:textId="5A27D84A" w:rsidR="00ED6F05" w:rsidRPr="00621AF3" w:rsidRDefault="00ED6F05" w:rsidP="00621AF3">
            <w:pPr>
              <w:rPr>
                <w:szCs w:val="20"/>
              </w:rPr>
            </w:pPr>
            <w:r w:rsidRPr="00621AF3">
              <w:rPr>
                <w:szCs w:val="20"/>
              </w:rPr>
              <w:t>Within 3 miles — 1 point</w:t>
            </w:r>
          </w:p>
        </w:tc>
        <w:tc>
          <w:tcPr>
            <w:tcW w:w="2448" w:type="dxa"/>
            <w:vAlign w:val="center"/>
          </w:tcPr>
          <w:p w14:paraId="7DC40C95" w14:textId="77777777" w:rsidR="00ED6F05" w:rsidRPr="00621AF3" w:rsidRDefault="00ED6F05" w:rsidP="00621AF3">
            <w:pPr>
              <w:rPr>
                <w:szCs w:val="20"/>
              </w:rPr>
            </w:pPr>
            <w:r w:rsidRPr="00621AF3">
              <w:rPr>
                <w:szCs w:val="20"/>
              </w:rPr>
              <w:t>Within ½ mile — 2 points</w:t>
            </w:r>
          </w:p>
          <w:p w14:paraId="09DF0D12" w14:textId="6523A59D" w:rsidR="00ED6F05" w:rsidRPr="00621AF3" w:rsidRDefault="00ED6F05" w:rsidP="00621AF3">
            <w:pPr>
              <w:rPr>
                <w:szCs w:val="20"/>
              </w:rPr>
            </w:pPr>
            <w:r w:rsidRPr="00621AF3">
              <w:rPr>
                <w:szCs w:val="20"/>
              </w:rPr>
              <w:t>Within 1 mile — 1 point</w:t>
            </w:r>
          </w:p>
        </w:tc>
        <w:tc>
          <w:tcPr>
            <w:tcW w:w="2448" w:type="dxa"/>
            <w:vAlign w:val="center"/>
          </w:tcPr>
          <w:p w14:paraId="70653890" w14:textId="77777777" w:rsidR="00ED6F05" w:rsidRPr="00621AF3" w:rsidRDefault="00ED6F05" w:rsidP="00621AF3">
            <w:pPr>
              <w:rPr>
                <w:szCs w:val="20"/>
              </w:rPr>
            </w:pPr>
            <w:r w:rsidRPr="00621AF3">
              <w:rPr>
                <w:szCs w:val="20"/>
              </w:rPr>
              <w:t>Within ½ mile — 2 points</w:t>
            </w:r>
          </w:p>
          <w:p w14:paraId="4D051F64" w14:textId="7637E95D" w:rsidR="00ED6F05" w:rsidRPr="00621AF3" w:rsidRDefault="00ED6F05" w:rsidP="00621AF3">
            <w:pPr>
              <w:rPr>
                <w:szCs w:val="20"/>
              </w:rPr>
            </w:pPr>
            <w:r w:rsidRPr="00621AF3">
              <w:rPr>
                <w:szCs w:val="20"/>
              </w:rPr>
              <w:t>Within 1 mile — 1 point</w:t>
            </w:r>
          </w:p>
        </w:tc>
      </w:tr>
      <w:tr w:rsidR="00621AF3" w:rsidRPr="00621AF3" w14:paraId="0AC82178" w14:textId="77777777" w:rsidTr="00501601">
        <w:tc>
          <w:tcPr>
            <w:tcW w:w="3456" w:type="dxa"/>
            <w:vAlign w:val="center"/>
          </w:tcPr>
          <w:p w14:paraId="161B33B6" w14:textId="0D4559B3" w:rsidR="00ED6F05" w:rsidRPr="00621AF3" w:rsidRDefault="00ED6F05" w:rsidP="00621AF3">
            <w:pPr>
              <w:rPr>
                <w:szCs w:val="20"/>
              </w:rPr>
            </w:pPr>
            <w:r w:rsidRPr="00621AF3">
              <w:rPr>
                <w:szCs w:val="20"/>
              </w:rPr>
              <w:t>Public school (non-senior projects only)</w:t>
            </w:r>
          </w:p>
        </w:tc>
        <w:tc>
          <w:tcPr>
            <w:tcW w:w="2448" w:type="dxa"/>
            <w:vAlign w:val="center"/>
          </w:tcPr>
          <w:p w14:paraId="45A1766F" w14:textId="77777777" w:rsidR="00ED6F05" w:rsidRPr="00621AF3" w:rsidRDefault="00ED6F05" w:rsidP="00621AF3">
            <w:pPr>
              <w:rPr>
                <w:szCs w:val="20"/>
              </w:rPr>
            </w:pPr>
            <w:r w:rsidRPr="00621AF3">
              <w:rPr>
                <w:szCs w:val="20"/>
              </w:rPr>
              <w:t>Within ½ mile — 2 points</w:t>
            </w:r>
          </w:p>
          <w:p w14:paraId="2C9B9367" w14:textId="5E495B36" w:rsidR="00ED6F05" w:rsidRPr="00621AF3" w:rsidRDefault="00ED6F05" w:rsidP="00621AF3">
            <w:pPr>
              <w:rPr>
                <w:szCs w:val="20"/>
              </w:rPr>
            </w:pPr>
            <w:r w:rsidRPr="00621AF3">
              <w:rPr>
                <w:szCs w:val="20"/>
              </w:rPr>
              <w:t>Within 3 miles — 1 point</w:t>
            </w:r>
          </w:p>
        </w:tc>
        <w:tc>
          <w:tcPr>
            <w:tcW w:w="2448" w:type="dxa"/>
            <w:vAlign w:val="center"/>
          </w:tcPr>
          <w:p w14:paraId="6772986D" w14:textId="2C104844" w:rsidR="00ED6F05" w:rsidRPr="00621AF3" w:rsidRDefault="00ED6F05" w:rsidP="00621AF3">
            <w:pPr>
              <w:rPr>
                <w:szCs w:val="20"/>
              </w:rPr>
            </w:pPr>
            <w:r w:rsidRPr="00621AF3">
              <w:rPr>
                <w:szCs w:val="20"/>
              </w:rPr>
              <w:t>N/A</w:t>
            </w:r>
          </w:p>
        </w:tc>
        <w:tc>
          <w:tcPr>
            <w:tcW w:w="2448" w:type="dxa"/>
            <w:vAlign w:val="center"/>
          </w:tcPr>
          <w:p w14:paraId="5A009B21" w14:textId="77777777" w:rsidR="00ED6F05" w:rsidRPr="00621AF3" w:rsidRDefault="00ED6F05" w:rsidP="00621AF3">
            <w:pPr>
              <w:rPr>
                <w:szCs w:val="20"/>
              </w:rPr>
            </w:pPr>
            <w:r w:rsidRPr="00621AF3">
              <w:rPr>
                <w:szCs w:val="20"/>
              </w:rPr>
              <w:t>Within ½ mile — 2 points</w:t>
            </w:r>
          </w:p>
          <w:p w14:paraId="324E8EC6" w14:textId="644C350D" w:rsidR="00ED6F05" w:rsidRPr="00621AF3" w:rsidRDefault="00ED6F05" w:rsidP="00621AF3">
            <w:pPr>
              <w:rPr>
                <w:szCs w:val="20"/>
              </w:rPr>
            </w:pPr>
            <w:r w:rsidRPr="00621AF3">
              <w:rPr>
                <w:szCs w:val="20"/>
              </w:rPr>
              <w:t>Within 1 mile — 1 point</w:t>
            </w:r>
          </w:p>
        </w:tc>
      </w:tr>
      <w:tr w:rsidR="00621AF3" w:rsidRPr="00621AF3" w14:paraId="5069675E" w14:textId="77777777" w:rsidTr="00501601">
        <w:tc>
          <w:tcPr>
            <w:tcW w:w="3456" w:type="dxa"/>
            <w:vAlign w:val="center"/>
          </w:tcPr>
          <w:p w14:paraId="30443359" w14:textId="388EE791" w:rsidR="00ED6F05" w:rsidRPr="00621AF3" w:rsidRDefault="00ED6F05" w:rsidP="00621AF3">
            <w:pPr>
              <w:rPr>
                <w:szCs w:val="20"/>
              </w:rPr>
            </w:pPr>
            <w:r w:rsidRPr="00621AF3">
              <w:rPr>
                <w:szCs w:val="20"/>
              </w:rPr>
              <w:t>Senior center (senior projects only)</w:t>
            </w:r>
          </w:p>
        </w:tc>
        <w:tc>
          <w:tcPr>
            <w:tcW w:w="2448" w:type="dxa"/>
            <w:vAlign w:val="center"/>
          </w:tcPr>
          <w:p w14:paraId="4372BA18" w14:textId="62FBDECD" w:rsidR="00ED6F05" w:rsidRPr="00621AF3" w:rsidRDefault="00ED6F05" w:rsidP="00621AF3">
            <w:pPr>
              <w:rPr>
                <w:szCs w:val="20"/>
              </w:rPr>
            </w:pPr>
            <w:r w:rsidRPr="00621AF3">
              <w:rPr>
                <w:szCs w:val="20"/>
              </w:rPr>
              <w:t>N/A</w:t>
            </w:r>
          </w:p>
        </w:tc>
        <w:tc>
          <w:tcPr>
            <w:tcW w:w="2448" w:type="dxa"/>
            <w:vAlign w:val="center"/>
          </w:tcPr>
          <w:p w14:paraId="34166B1F" w14:textId="77777777" w:rsidR="00ED6F05" w:rsidRPr="00621AF3" w:rsidRDefault="00ED6F05" w:rsidP="00621AF3">
            <w:pPr>
              <w:rPr>
                <w:szCs w:val="20"/>
              </w:rPr>
            </w:pPr>
            <w:r w:rsidRPr="00621AF3">
              <w:rPr>
                <w:szCs w:val="20"/>
              </w:rPr>
              <w:t>Within ½ mile — 2 points</w:t>
            </w:r>
          </w:p>
          <w:p w14:paraId="2359FF9D" w14:textId="5B18582E" w:rsidR="00ED6F05" w:rsidRPr="00621AF3" w:rsidRDefault="00ED6F05" w:rsidP="00621AF3">
            <w:pPr>
              <w:rPr>
                <w:szCs w:val="20"/>
              </w:rPr>
            </w:pPr>
            <w:r w:rsidRPr="00621AF3">
              <w:rPr>
                <w:szCs w:val="20"/>
              </w:rPr>
              <w:t>Within 1 mile — 1 point</w:t>
            </w:r>
          </w:p>
        </w:tc>
        <w:tc>
          <w:tcPr>
            <w:tcW w:w="2448" w:type="dxa"/>
            <w:vAlign w:val="center"/>
          </w:tcPr>
          <w:p w14:paraId="4EAFFC28" w14:textId="03064761" w:rsidR="00ED6F05" w:rsidRPr="00621AF3" w:rsidRDefault="00ED6F05" w:rsidP="00621AF3">
            <w:pPr>
              <w:rPr>
                <w:szCs w:val="20"/>
              </w:rPr>
            </w:pPr>
            <w:r w:rsidRPr="00621AF3">
              <w:rPr>
                <w:szCs w:val="20"/>
              </w:rPr>
              <w:t>N/A</w:t>
            </w:r>
          </w:p>
        </w:tc>
      </w:tr>
      <w:tr w:rsidR="00621AF3" w:rsidRPr="00621AF3" w14:paraId="58EE723B" w14:textId="77777777" w:rsidTr="00501601">
        <w:tc>
          <w:tcPr>
            <w:tcW w:w="3456" w:type="dxa"/>
            <w:vAlign w:val="center"/>
          </w:tcPr>
          <w:p w14:paraId="4A76831A" w14:textId="5D5680B6" w:rsidR="00ED6F05" w:rsidRPr="00621AF3" w:rsidRDefault="00ED6F05" w:rsidP="00621AF3">
            <w:pPr>
              <w:rPr>
                <w:szCs w:val="20"/>
              </w:rPr>
            </w:pPr>
            <w:r w:rsidRPr="00621AF3">
              <w:rPr>
                <w:szCs w:val="20"/>
              </w:rPr>
              <w:t>Licensed day care services (non-senior projects only)</w:t>
            </w:r>
          </w:p>
        </w:tc>
        <w:tc>
          <w:tcPr>
            <w:tcW w:w="2448" w:type="dxa"/>
            <w:vAlign w:val="center"/>
          </w:tcPr>
          <w:p w14:paraId="72D73142" w14:textId="77777777" w:rsidR="00ED6F05" w:rsidRPr="00621AF3" w:rsidRDefault="00ED6F05" w:rsidP="00621AF3">
            <w:pPr>
              <w:rPr>
                <w:szCs w:val="20"/>
              </w:rPr>
            </w:pPr>
            <w:r w:rsidRPr="00621AF3">
              <w:rPr>
                <w:szCs w:val="20"/>
              </w:rPr>
              <w:t>Within ½ mile — 2 points</w:t>
            </w:r>
          </w:p>
          <w:p w14:paraId="3F905BE8" w14:textId="44899827" w:rsidR="00ED6F05" w:rsidRPr="00621AF3" w:rsidRDefault="00ED6F05" w:rsidP="00621AF3">
            <w:pPr>
              <w:rPr>
                <w:szCs w:val="20"/>
              </w:rPr>
            </w:pPr>
            <w:r w:rsidRPr="00621AF3">
              <w:rPr>
                <w:szCs w:val="20"/>
              </w:rPr>
              <w:t>Within 3 miles — 1 point</w:t>
            </w:r>
          </w:p>
        </w:tc>
        <w:tc>
          <w:tcPr>
            <w:tcW w:w="2448" w:type="dxa"/>
            <w:vAlign w:val="center"/>
          </w:tcPr>
          <w:p w14:paraId="2022967F" w14:textId="4870ABD3" w:rsidR="00ED6F05" w:rsidRPr="00621AF3" w:rsidRDefault="00ED6F05" w:rsidP="00621AF3">
            <w:pPr>
              <w:rPr>
                <w:szCs w:val="20"/>
              </w:rPr>
            </w:pPr>
            <w:r w:rsidRPr="00621AF3">
              <w:rPr>
                <w:szCs w:val="20"/>
              </w:rPr>
              <w:t>N/A</w:t>
            </w:r>
          </w:p>
        </w:tc>
        <w:tc>
          <w:tcPr>
            <w:tcW w:w="2448" w:type="dxa"/>
            <w:vAlign w:val="center"/>
          </w:tcPr>
          <w:p w14:paraId="4FB108B5" w14:textId="77777777" w:rsidR="00ED6F05" w:rsidRPr="00621AF3" w:rsidRDefault="00ED6F05" w:rsidP="00621AF3">
            <w:pPr>
              <w:rPr>
                <w:szCs w:val="20"/>
              </w:rPr>
            </w:pPr>
            <w:r w:rsidRPr="00621AF3">
              <w:rPr>
                <w:szCs w:val="20"/>
              </w:rPr>
              <w:t>Within ½ mile — 2 points</w:t>
            </w:r>
          </w:p>
          <w:p w14:paraId="69F436FD" w14:textId="55A7F4EC" w:rsidR="00ED6F05" w:rsidRPr="00621AF3" w:rsidRDefault="00ED6F05" w:rsidP="00621AF3">
            <w:pPr>
              <w:rPr>
                <w:szCs w:val="20"/>
              </w:rPr>
            </w:pPr>
            <w:r w:rsidRPr="00621AF3">
              <w:rPr>
                <w:szCs w:val="20"/>
              </w:rPr>
              <w:t>Within 1 mile — 1 point</w:t>
            </w:r>
          </w:p>
        </w:tc>
      </w:tr>
      <w:tr w:rsidR="00621AF3" w:rsidRPr="00621AF3" w14:paraId="3F4A686C" w14:textId="77777777" w:rsidTr="00501601">
        <w:tc>
          <w:tcPr>
            <w:tcW w:w="3456" w:type="dxa"/>
            <w:vAlign w:val="center"/>
          </w:tcPr>
          <w:p w14:paraId="2A36F32C" w14:textId="5A94BA8E" w:rsidR="00ED6F05" w:rsidRPr="00621AF3" w:rsidRDefault="00ED6F05" w:rsidP="00621AF3">
            <w:pPr>
              <w:rPr>
                <w:szCs w:val="20"/>
              </w:rPr>
            </w:pPr>
            <w:r w:rsidRPr="00621AF3">
              <w:rPr>
                <w:szCs w:val="20"/>
              </w:rPr>
              <w:t>Family success center (non-senior projects only)</w:t>
            </w:r>
          </w:p>
        </w:tc>
        <w:tc>
          <w:tcPr>
            <w:tcW w:w="2448" w:type="dxa"/>
            <w:vAlign w:val="center"/>
          </w:tcPr>
          <w:p w14:paraId="6D9EEEA6" w14:textId="77777777" w:rsidR="00ED6F05" w:rsidRPr="00621AF3" w:rsidRDefault="00ED6F05" w:rsidP="00621AF3">
            <w:pPr>
              <w:rPr>
                <w:szCs w:val="20"/>
              </w:rPr>
            </w:pPr>
            <w:r w:rsidRPr="00621AF3">
              <w:rPr>
                <w:szCs w:val="20"/>
              </w:rPr>
              <w:t>Within ½ mile — 2 points</w:t>
            </w:r>
          </w:p>
          <w:p w14:paraId="191BB621" w14:textId="05365862" w:rsidR="00ED6F05" w:rsidRPr="00621AF3" w:rsidRDefault="00ED6F05" w:rsidP="00621AF3">
            <w:pPr>
              <w:rPr>
                <w:szCs w:val="20"/>
              </w:rPr>
            </w:pPr>
            <w:r w:rsidRPr="00621AF3">
              <w:rPr>
                <w:szCs w:val="20"/>
              </w:rPr>
              <w:t>Within 3 miles — 1 point</w:t>
            </w:r>
          </w:p>
        </w:tc>
        <w:tc>
          <w:tcPr>
            <w:tcW w:w="2448" w:type="dxa"/>
            <w:vAlign w:val="center"/>
          </w:tcPr>
          <w:p w14:paraId="5726CCFB" w14:textId="550EE436" w:rsidR="00ED6F05" w:rsidRPr="00621AF3" w:rsidRDefault="00ED6F05" w:rsidP="00621AF3">
            <w:pPr>
              <w:rPr>
                <w:szCs w:val="20"/>
              </w:rPr>
            </w:pPr>
            <w:r w:rsidRPr="00621AF3">
              <w:rPr>
                <w:szCs w:val="20"/>
              </w:rPr>
              <w:t>N/A</w:t>
            </w:r>
          </w:p>
        </w:tc>
        <w:tc>
          <w:tcPr>
            <w:tcW w:w="2448" w:type="dxa"/>
            <w:vAlign w:val="center"/>
          </w:tcPr>
          <w:p w14:paraId="276BF487" w14:textId="77777777" w:rsidR="00ED6F05" w:rsidRPr="00621AF3" w:rsidRDefault="00ED6F05" w:rsidP="00621AF3">
            <w:pPr>
              <w:rPr>
                <w:szCs w:val="20"/>
              </w:rPr>
            </w:pPr>
            <w:r w:rsidRPr="00621AF3">
              <w:rPr>
                <w:szCs w:val="20"/>
              </w:rPr>
              <w:t>Within ½ mile — 2 points</w:t>
            </w:r>
          </w:p>
          <w:p w14:paraId="06928D7B" w14:textId="73909D01" w:rsidR="00ED6F05" w:rsidRPr="00621AF3" w:rsidRDefault="00ED6F05" w:rsidP="00621AF3">
            <w:pPr>
              <w:rPr>
                <w:szCs w:val="20"/>
              </w:rPr>
            </w:pPr>
            <w:r w:rsidRPr="00621AF3">
              <w:rPr>
                <w:szCs w:val="20"/>
              </w:rPr>
              <w:t>Within 1 mile — 1 point</w:t>
            </w:r>
          </w:p>
        </w:tc>
      </w:tr>
      <w:tr w:rsidR="00621AF3" w:rsidRPr="00621AF3" w14:paraId="20F16393" w14:textId="77777777" w:rsidTr="00501601">
        <w:tc>
          <w:tcPr>
            <w:tcW w:w="3456" w:type="dxa"/>
            <w:vAlign w:val="center"/>
          </w:tcPr>
          <w:p w14:paraId="7DB99845" w14:textId="16C5BDC5" w:rsidR="00ED6F05" w:rsidRPr="00621AF3" w:rsidRDefault="00ED6F05" w:rsidP="00621AF3">
            <w:pPr>
              <w:rPr>
                <w:szCs w:val="20"/>
              </w:rPr>
            </w:pPr>
            <w:r w:rsidRPr="00621AF3">
              <w:rPr>
                <w:szCs w:val="20"/>
              </w:rPr>
              <w:t>One-Stop Career Center (non-senior projects only)</w:t>
            </w:r>
          </w:p>
        </w:tc>
        <w:tc>
          <w:tcPr>
            <w:tcW w:w="2448" w:type="dxa"/>
            <w:vAlign w:val="center"/>
          </w:tcPr>
          <w:p w14:paraId="10E967AB" w14:textId="77777777" w:rsidR="00ED6F05" w:rsidRPr="00621AF3" w:rsidRDefault="00ED6F05" w:rsidP="00621AF3">
            <w:pPr>
              <w:rPr>
                <w:szCs w:val="20"/>
              </w:rPr>
            </w:pPr>
            <w:r w:rsidRPr="00621AF3">
              <w:rPr>
                <w:szCs w:val="20"/>
              </w:rPr>
              <w:t>Within ½ mile — 2 points</w:t>
            </w:r>
          </w:p>
          <w:p w14:paraId="541392DD" w14:textId="653ACA35" w:rsidR="00ED6F05" w:rsidRPr="00621AF3" w:rsidRDefault="00ED6F05" w:rsidP="00621AF3">
            <w:pPr>
              <w:rPr>
                <w:szCs w:val="20"/>
              </w:rPr>
            </w:pPr>
            <w:r w:rsidRPr="00621AF3">
              <w:rPr>
                <w:szCs w:val="20"/>
              </w:rPr>
              <w:t>Within 3 miles — 1 point</w:t>
            </w:r>
          </w:p>
        </w:tc>
        <w:tc>
          <w:tcPr>
            <w:tcW w:w="2448" w:type="dxa"/>
            <w:vAlign w:val="center"/>
          </w:tcPr>
          <w:p w14:paraId="0DF6159C" w14:textId="675FB6B9" w:rsidR="00ED6F05" w:rsidRPr="00621AF3" w:rsidRDefault="00ED6F05" w:rsidP="00621AF3">
            <w:pPr>
              <w:rPr>
                <w:szCs w:val="20"/>
              </w:rPr>
            </w:pPr>
            <w:r w:rsidRPr="00621AF3">
              <w:rPr>
                <w:szCs w:val="20"/>
              </w:rPr>
              <w:t>N/A</w:t>
            </w:r>
          </w:p>
        </w:tc>
        <w:tc>
          <w:tcPr>
            <w:tcW w:w="2448" w:type="dxa"/>
            <w:vAlign w:val="center"/>
          </w:tcPr>
          <w:p w14:paraId="0DE437E3" w14:textId="77777777" w:rsidR="00ED6F05" w:rsidRPr="00621AF3" w:rsidRDefault="00ED6F05" w:rsidP="00621AF3">
            <w:pPr>
              <w:rPr>
                <w:szCs w:val="20"/>
              </w:rPr>
            </w:pPr>
            <w:r w:rsidRPr="00621AF3">
              <w:rPr>
                <w:szCs w:val="20"/>
              </w:rPr>
              <w:t>Within ½ mile — 2 points</w:t>
            </w:r>
          </w:p>
          <w:p w14:paraId="34A7B5AC" w14:textId="0740B125" w:rsidR="00ED6F05" w:rsidRPr="00621AF3" w:rsidRDefault="00ED6F05" w:rsidP="00621AF3">
            <w:pPr>
              <w:rPr>
                <w:szCs w:val="20"/>
              </w:rPr>
            </w:pPr>
            <w:r w:rsidRPr="00621AF3">
              <w:rPr>
                <w:szCs w:val="20"/>
              </w:rPr>
              <w:t>Within 1 mile — 1 point</w:t>
            </w:r>
          </w:p>
        </w:tc>
      </w:tr>
      <w:tr w:rsidR="00621AF3" w:rsidRPr="00621AF3" w14:paraId="71571876" w14:textId="77777777" w:rsidTr="00501601">
        <w:tc>
          <w:tcPr>
            <w:tcW w:w="3456" w:type="dxa"/>
            <w:vAlign w:val="center"/>
          </w:tcPr>
          <w:p w14:paraId="55B1DA09" w14:textId="3B0DDC6C" w:rsidR="00ED6F05" w:rsidRPr="00621AF3" w:rsidRDefault="00ED6F05" w:rsidP="00621AF3">
            <w:pPr>
              <w:rPr>
                <w:szCs w:val="20"/>
              </w:rPr>
            </w:pPr>
            <w:r w:rsidRPr="00621AF3">
              <w:rPr>
                <w:szCs w:val="20"/>
              </w:rPr>
              <w:t>Community mental health center/counseling center (Supportive Housing Cycle only)</w:t>
            </w:r>
          </w:p>
        </w:tc>
        <w:tc>
          <w:tcPr>
            <w:tcW w:w="2448" w:type="dxa"/>
            <w:vAlign w:val="center"/>
          </w:tcPr>
          <w:p w14:paraId="23067DFD" w14:textId="651D8DF8" w:rsidR="00ED6F05" w:rsidRPr="00621AF3" w:rsidRDefault="00ED6F05" w:rsidP="00621AF3">
            <w:pPr>
              <w:rPr>
                <w:szCs w:val="20"/>
              </w:rPr>
            </w:pPr>
            <w:r w:rsidRPr="00621AF3">
              <w:rPr>
                <w:szCs w:val="20"/>
              </w:rPr>
              <w:t>N/A</w:t>
            </w:r>
          </w:p>
        </w:tc>
        <w:tc>
          <w:tcPr>
            <w:tcW w:w="2448" w:type="dxa"/>
            <w:vAlign w:val="center"/>
          </w:tcPr>
          <w:p w14:paraId="4B1C09E8" w14:textId="0D440E2E" w:rsidR="00ED6F05" w:rsidRPr="00621AF3" w:rsidRDefault="00ED6F05" w:rsidP="00621AF3">
            <w:pPr>
              <w:rPr>
                <w:szCs w:val="20"/>
              </w:rPr>
            </w:pPr>
            <w:r w:rsidRPr="00621AF3">
              <w:rPr>
                <w:szCs w:val="20"/>
              </w:rPr>
              <w:t>N/A</w:t>
            </w:r>
          </w:p>
        </w:tc>
        <w:tc>
          <w:tcPr>
            <w:tcW w:w="2448" w:type="dxa"/>
            <w:vAlign w:val="center"/>
          </w:tcPr>
          <w:p w14:paraId="57D89C53" w14:textId="77777777" w:rsidR="00ED6F05" w:rsidRPr="00621AF3" w:rsidRDefault="00ED6F05" w:rsidP="00621AF3">
            <w:pPr>
              <w:rPr>
                <w:szCs w:val="20"/>
              </w:rPr>
            </w:pPr>
            <w:r w:rsidRPr="00621AF3">
              <w:rPr>
                <w:szCs w:val="20"/>
              </w:rPr>
              <w:t>Within ½ mile — 2 points</w:t>
            </w:r>
          </w:p>
          <w:p w14:paraId="0DB4EF90" w14:textId="2BF20BB9" w:rsidR="00ED6F05" w:rsidRPr="00621AF3" w:rsidRDefault="00ED6F05" w:rsidP="00621AF3">
            <w:pPr>
              <w:rPr>
                <w:szCs w:val="20"/>
              </w:rPr>
            </w:pPr>
            <w:r w:rsidRPr="00621AF3">
              <w:rPr>
                <w:szCs w:val="20"/>
              </w:rPr>
              <w:t>Within 1 mile — 1 point</w:t>
            </w:r>
          </w:p>
        </w:tc>
      </w:tr>
      <w:tr w:rsidR="00621AF3" w:rsidRPr="00621AF3" w14:paraId="1F01CB2D" w14:textId="77777777" w:rsidTr="00501601">
        <w:tc>
          <w:tcPr>
            <w:tcW w:w="3456" w:type="dxa"/>
            <w:vAlign w:val="center"/>
          </w:tcPr>
          <w:p w14:paraId="00E2501F" w14:textId="1DCDFB5F" w:rsidR="00ED6F05" w:rsidRPr="00621AF3" w:rsidRDefault="00ED6F05" w:rsidP="00621AF3">
            <w:pPr>
              <w:rPr>
                <w:szCs w:val="20"/>
              </w:rPr>
            </w:pPr>
            <w:r w:rsidRPr="00621AF3">
              <w:rPr>
                <w:szCs w:val="20"/>
              </w:rPr>
              <w:t>Pharmacy</w:t>
            </w:r>
          </w:p>
        </w:tc>
        <w:tc>
          <w:tcPr>
            <w:tcW w:w="2448" w:type="dxa"/>
            <w:vAlign w:val="center"/>
          </w:tcPr>
          <w:p w14:paraId="0528588F" w14:textId="1F882A3F" w:rsidR="00ED6F05" w:rsidRPr="00621AF3" w:rsidRDefault="00ED6F05" w:rsidP="00621AF3">
            <w:pPr>
              <w:rPr>
                <w:szCs w:val="20"/>
              </w:rPr>
            </w:pPr>
            <w:r w:rsidRPr="00621AF3">
              <w:rPr>
                <w:szCs w:val="20"/>
              </w:rPr>
              <w:t>Within 3 miles — 1 point</w:t>
            </w:r>
          </w:p>
        </w:tc>
        <w:tc>
          <w:tcPr>
            <w:tcW w:w="2448" w:type="dxa"/>
            <w:vAlign w:val="center"/>
          </w:tcPr>
          <w:p w14:paraId="77DA1F43" w14:textId="73C6A1C5" w:rsidR="00ED6F05" w:rsidRPr="00621AF3" w:rsidRDefault="00ED6F05" w:rsidP="00621AF3">
            <w:pPr>
              <w:rPr>
                <w:szCs w:val="20"/>
              </w:rPr>
            </w:pPr>
            <w:r w:rsidRPr="00621AF3">
              <w:rPr>
                <w:szCs w:val="20"/>
              </w:rPr>
              <w:t>Within 1 mile — 1 point</w:t>
            </w:r>
          </w:p>
        </w:tc>
        <w:tc>
          <w:tcPr>
            <w:tcW w:w="2448" w:type="dxa"/>
            <w:vAlign w:val="center"/>
          </w:tcPr>
          <w:p w14:paraId="05EE38B2" w14:textId="77777777" w:rsidR="00ED6F05" w:rsidRPr="00621AF3" w:rsidRDefault="00ED6F05" w:rsidP="00621AF3">
            <w:pPr>
              <w:rPr>
                <w:szCs w:val="20"/>
              </w:rPr>
            </w:pPr>
          </w:p>
        </w:tc>
      </w:tr>
      <w:tr w:rsidR="00621AF3" w:rsidRPr="00621AF3" w14:paraId="73014E94" w14:textId="77777777" w:rsidTr="00501601">
        <w:tc>
          <w:tcPr>
            <w:tcW w:w="3456" w:type="dxa"/>
            <w:vAlign w:val="center"/>
          </w:tcPr>
          <w:p w14:paraId="7722004F" w14:textId="023120B7" w:rsidR="00ED6F05" w:rsidRPr="00621AF3" w:rsidRDefault="00ED6F05" w:rsidP="00621AF3">
            <w:pPr>
              <w:rPr>
                <w:szCs w:val="20"/>
              </w:rPr>
            </w:pPr>
            <w:r w:rsidRPr="00621AF3">
              <w:rPr>
                <w:szCs w:val="20"/>
              </w:rPr>
              <w:t>Department or retail merchandise store</w:t>
            </w:r>
          </w:p>
        </w:tc>
        <w:tc>
          <w:tcPr>
            <w:tcW w:w="2448" w:type="dxa"/>
            <w:vAlign w:val="center"/>
          </w:tcPr>
          <w:p w14:paraId="6E72BEC6" w14:textId="5651EDAB" w:rsidR="00ED6F05" w:rsidRPr="00621AF3" w:rsidRDefault="00ED6F05" w:rsidP="00621AF3">
            <w:pPr>
              <w:rPr>
                <w:szCs w:val="20"/>
              </w:rPr>
            </w:pPr>
            <w:r w:rsidRPr="00621AF3">
              <w:rPr>
                <w:szCs w:val="20"/>
              </w:rPr>
              <w:t>Within 3 miles — 1 point</w:t>
            </w:r>
          </w:p>
        </w:tc>
        <w:tc>
          <w:tcPr>
            <w:tcW w:w="2448" w:type="dxa"/>
            <w:vAlign w:val="center"/>
          </w:tcPr>
          <w:p w14:paraId="430D974F" w14:textId="39912424" w:rsidR="00ED6F05" w:rsidRPr="00621AF3" w:rsidRDefault="00ED6F05" w:rsidP="00621AF3">
            <w:pPr>
              <w:rPr>
                <w:szCs w:val="20"/>
              </w:rPr>
            </w:pPr>
            <w:r w:rsidRPr="00621AF3">
              <w:rPr>
                <w:szCs w:val="20"/>
              </w:rPr>
              <w:t>Within 1 mile — 1 point</w:t>
            </w:r>
          </w:p>
        </w:tc>
        <w:tc>
          <w:tcPr>
            <w:tcW w:w="2448" w:type="dxa"/>
            <w:vAlign w:val="center"/>
          </w:tcPr>
          <w:p w14:paraId="7B728265" w14:textId="39D11A8B" w:rsidR="00ED6F05" w:rsidRPr="00621AF3" w:rsidRDefault="00ED6F05" w:rsidP="00621AF3">
            <w:pPr>
              <w:rPr>
                <w:szCs w:val="20"/>
              </w:rPr>
            </w:pPr>
            <w:r w:rsidRPr="00621AF3">
              <w:rPr>
                <w:szCs w:val="20"/>
              </w:rPr>
              <w:t>Within 1 mile — 1 point</w:t>
            </w:r>
          </w:p>
        </w:tc>
      </w:tr>
      <w:tr w:rsidR="00621AF3" w:rsidRPr="00621AF3" w14:paraId="5C3D7DDA" w14:textId="77777777" w:rsidTr="00501601">
        <w:tc>
          <w:tcPr>
            <w:tcW w:w="3456" w:type="dxa"/>
            <w:vAlign w:val="center"/>
          </w:tcPr>
          <w:p w14:paraId="1D7D8629" w14:textId="31C0BE9C" w:rsidR="00ED6F05" w:rsidRPr="00621AF3" w:rsidRDefault="00ED6F05" w:rsidP="00621AF3">
            <w:pPr>
              <w:rPr>
                <w:szCs w:val="20"/>
              </w:rPr>
            </w:pPr>
            <w:r w:rsidRPr="00621AF3">
              <w:rPr>
                <w:szCs w:val="20"/>
              </w:rPr>
              <w:t>Bank/credit union</w:t>
            </w:r>
          </w:p>
        </w:tc>
        <w:tc>
          <w:tcPr>
            <w:tcW w:w="2448" w:type="dxa"/>
            <w:vAlign w:val="center"/>
          </w:tcPr>
          <w:p w14:paraId="73908458" w14:textId="2017968F" w:rsidR="00ED6F05" w:rsidRPr="00621AF3" w:rsidRDefault="00ED6F05" w:rsidP="00621AF3">
            <w:pPr>
              <w:rPr>
                <w:szCs w:val="20"/>
              </w:rPr>
            </w:pPr>
            <w:r w:rsidRPr="00621AF3">
              <w:rPr>
                <w:szCs w:val="20"/>
              </w:rPr>
              <w:t>Within 3 miles — 1 point</w:t>
            </w:r>
          </w:p>
        </w:tc>
        <w:tc>
          <w:tcPr>
            <w:tcW w:w="2448" w:type="dxa"/>
            <w:vAlign w:val="center"/>
          </w:tcPr>
          <w:p w14:paraId="0A321FAE" w14:textId="10243E64" w:rsidR="00ED6F05" w:rsidRPr="00621AF3" w:rsidRDefault="00ED6F05" w:rsidP="00621AF3">
            <w:pPr>
              <w:rPr>
                <w:szCs w:val="20"/>
              </w:rPr>
            </w:pPr>
            <w:r w:rsidRPr="00621AF3">
              <w:rPr>
                <w:szCs w:val="20"/>
              </w:rPr>
              <w:t>Within 1 mile — 1 point</w:t>
            </w:r>
          </w:p>
        </w:tc>
        <w:tc>
          <w:tcPr>
            <w:tcW w:w="2448" w:type="dxa"/>
            <w:vAlign w:val="center"/>
          </w:tcPr>
          <w:p w14:paraId="3FF6057E" w14:textId="25F40763" w:rsidR="00ED6F05" w:rsidRPr="00621AF3" w:rsidRDefault="00ED6F05" w:rsidP="00621AF3">
            <w:pPr>
              <w:rPr>
                <w:szCs w:val="20"/>
              </w:rPr>
            </w:pPr>
            <w:r w:rsidRPr="00621AF3">
              <w:rPr>
                <w:szCs w:val="20"/>
              </w:rPr>
              <w:t>Within 1 mile — 1 point</w:t>
            </w:r>
          </w:p>
        </w:tc>
      </w:tr>
      <w:tr w:rsidR="00621AF3" w:rsidRPr="00621AF3" w14:paraId="2E458A6B" w14:textId="77777777" w:rsidTr="00501601">
        <w:tc>
          <w:tcPr>
            <w:tcW w:w="3456" w:type="dxa"/>
            <w:vAlign w:val="center"/>
          </w:tcPr>
          <w:p w14:paraId="2E9EF1EF" w14:textId="4A5D2E01" w:rsidR="00ED6F05" w:rsidRPr="00621AF3" w:rsidRDefault="00ED6F05" w:rsidP="00621AF3">
            <w:pPr>
              <w:rPr>
                <w:szCs w:val="20"/>
              </w:rPr>
            </w:pPr>
            <w:r w:rsidRPr="00621AF3">
              <w:rPr>
                <w:szCs w:val="20"/>
              </w:rPr>
              <w:t>Restaurant (other than fast food restaurants)</w:t>
            </w:r>
          </w:p>
        </w:tc>
        <w:tc>
          <w:tcPr>
            <w:tcW w:w="2448" w:type="dxa"/>
            <w:vAlign w:val="center"/>
          </w:tcPr>
          <w:p w14:paraId="22B434E5" w14:textId="43F7B2D5" w:rsidR="00ED6F05" w:rsidRPr="00621AF3" w:rsidRDefault="00ED6F05" w:rsidP="00621AF3">
            <w:pPr>
              <w:rPr>
                <w:szCs w:val="20"/>
              </w:rPr>
            </w:pPr>
            <w:r w:rsidRPr="00621AF3">
              <w:rPr>
                <w:szCs w:val="20"/>
              </w:rPr>
              <w:t>Within 3 miles — 1 point</w:t>
            </w:r>
          </w:p>
        </w:tc>
        <w:tc>
          <w:tcPr>
            <w:tcW w:w="2448" w:type="dxa"/>
            <w:vAlign w:val="center"/>
          </w:tcPr>
          <w:p w14:paraId="765DEB36" w14:textId="597A367A" w:rsidR="00ED6F05" w:rsidRPr="00621AF3" w:rsidRDefault="00ED6F05" w:rsidP="00621AF3">
            <w:pPr>
              <w:rPr>
                <w:szCs w:val="20"/>
              </w:rPr>
            </w:pPr>
            <w:r w:rsidRPr="00621AF3">
              <w:rPr>
                <w:szCs w:val="20"/>
              </w:rPr>
              <w:t>Within 1 mile — 1 point</w:t>
            </w:r>
          </w:p>
        </w:tc>
        <w:tc>
          <w:tcPr>
            <w:tcW w:w="2448" w:type="dxa"/>
            <w:vAlign w:val="center"/>
          </w:tcPr>
          <w:p w14:paraId="0C157566" w14:textId="1DCC1FFB" w:rsidR="00ED6F05" w:rsidRPr="00621AF3" w:rsidRDefault="00ED6F05" w:rsidP="00621AF3">
            <w:pPr>
              <w:rPr>
                <w:szCs w:val="20"/>
              </w:rPr>
            </w:pPr>
            <w:r w:rsidRPr="00621AF3">
              <w:rPr>
                <w:szCs w:val="20"/>
              </w:rPr>
              <w:t>Within 1 mile — 1 point</w:t>
            </w:r>
          </w:p>
        </w:tc>
      </w:tr>
      <w:tr w:rsidR="00621AF3" w:rsidRPr="00621AF3" w14:paraId="731AC1DA" w14:textId="77777777" w:rsidTr="00501601">
        <w:tc>
          <w:tcPr>
            <w:tcW w:w="3456" w:type="dxa"/>
            <w:vAlign w:val="center"/>
          </w:tcPr>
          <w:p w14:paraId="3B05FFD2" w14:textId="73BACA35" w:rsidR="00ED6F05" w:rsidRPr="00621AF3" w:rsidRDefault="00ED6F05" w:rsidP="00621AF3">
            <w:pPr>
              <w:rPr>
                <w:szCs w:val="20"/>
              </w:rPr>
            </w:pPr>
            <w:r w:rsidRPr="00621AF3">
              <w:rPr>
                <w:szCs w:val="20"/>
              </w:rPr>
              <w:t>Indoor public recreation facilities (e.g., civic centers, community centers, libraries)</w:t>
            </w:r>
          </w:p>
        </w:tc>
        <w:tc>
          <w:tcPr>
            <w:tcW w:w="2448" w:type="dxa"/>
            <w:vAlign w:val="center"/>
          </w:tcPr>
          <w:p w14:paraId="7033E517" w14:textId="109468C7" w:rsidR="00ED6F05" w:rsidRPr="00621AF3" w:rsidRDefault="00ED6F05" w:rsidP="00621AF3">
            <w:pPr>
              <w:rPr>
                <w:szCs w:val="20"/>
              </w:rPr>
            </w:pPr>
            <w:r w:rsidRPr="00621AF3">
              <w:rPr>
                <w:szCs w:val="20"/>
              </w:rPr>
              <w:t>Within 3 miles — 1 point</w:t>
            </w:r>
          </w:p>
        </w:tc>
        <w:tc>
          <w:tcPr>
            <w:tcW w:w="2448" w:type="dxa"/>
            <w:vAlign w:val="center"/>
          </w:tcPr>
          <w:p w14:paraId="11E8A057" w14:textId="4088D058" w:rsidR="00ED6F05" w:rsidRPr="00621AF3" w:rsidRDefault="00ED6F05" w:rsidP="00621AF3">
            <w:pPr>
              <w:rPr>
                <w:szCs w:val="20"/>
              </w:rPr>
            </w:pPr>
            <w:r w:rsidRPr="00621AF3">
              <w:rPr>
                <w:szCs w:val="20"/>
              </w:rPr>
              <w:t>Within 1 mile — 1 point</w:t>
            </w:r>
          </w:p>
        </w:tc>
        <w:tc>
          <w:tcPr>
            <w:tcW w:w="2448" w:type="dxa"/>
            <w:vAlign w:val="center"/>
          </w:tcPr>
          <w:p w14:paraId="245BDC2F" w14:textId="3AF3B0CF" w:rsidR="00ED6F05" w:rsidRPr="00621AF3" w:rsidRDefault="00ED6F05" w:rsidP="00621AF3">
            <w:pPr>
              <w:rPr>
                <w:szCs w:val="20"/>
              </w:rPr>
            </w:pPr>
            <w:r w:rsidRPr="00621AF3">
              <w:rPr>
                <w:szCs w:val="20"/>
              </w:rPr>
              <w:t>Within 1 mile — 1 point</w:t>
            </w:r>
          </w:p>
        </w:tc>
      </w:tr>
      <w:tr w:rsidR="00621AF3" w:rsidRPr="00621AF3" w14:paraId="013ADC5B" w14:textId="77777777" w:rsidTr="00501601">
        <w:tc>
          <w:tcPr>
            <w:tcW w:w="3456" w:type="dxa"/>
            <w:vAlign w:val="center"/>
          </w:tcPr>
          <w:p w14:paraId="08FF63E2" w14:textId="5FEC3808" w:rsidR="00ED6F05" w:rsidRPr="00621AF3" w:rsidRDefault="00ED6F05" w:rsidP="00621AF3">
            <w:pPr>
              <w:rPr>
                <w:szCs w:val="20"/>
              </w:rPr>
            </w:pPr>
            <w:r w:rsidRPr="00621AF3">
              <w:rPr>
                <w:szCs w:val="20"/>
              </w:rPr>
              <w:t>Outdoor public recreation facilities (e.g., parks, swimming pools)</w:t>
            </w:r>
          </w:p>
        </w:tc>
        <w:tc>
          <w:tcPr>
            <w:tcW w:w="2448" w:type="dxa"/>
            <w:vAlign w:val="center"/>
          </w:tcPr>
          <w:p w14:paraId="48A784D5" w14:textId="28845424" w:rsidR="00ED6F05" w:rsidRPr="00621AF3" w:rsidRDefault="00ED6F05" w:rsidP="00621AF3">
            <w:pPr>
              <w:rPr>
                <w:szCs w:val="20"/>
              </w:rPr>
            </w:pPr>
            <w:r w:rsidRPr="00621AF3">
              <w:rPr>
                <w:szCs w:val="20"/>
              </w:rPr>
              <w:t>Within 3 miles — 1 point</w:t>
            </w:r>
          </w:p>
        </w:tc>
        <w:tc>
          <w:tcPr>
            <w:tcW w:w="2448" w:type="dxa"/>
            <w:vAlign w:val="center"/>
          </w:tcPr>
          <w:p w14:paraId="5D9FADE7" w14:textId="5BAD9AA1" w:rsidR="00ED6F05" w:rsidRPr="00621AF3" w:rsidRDefault="00ED6F05" w:rsidP="00621AF3">
            <w:pPr>
              <w:rPr>
                <w:szCs w:val="20"/>
              </w:rPr>
            </w:pPr>
            <w:r w:rsidRPr="00621AF3">
              <w:rPr>
                <w:szCs w:val="20"/>
              </w:rPr>
              <w:t>Within 1 mile — 1 point</w:t>
            </w:r>
          </w:p>
        </w:tc>
        <w:tc>
          <w:tcPr>
            <w:tcW w:w="2448" w:type="dxa"/>
            <w:vAlign w:val="center"/>
          </w:tcPr>
          <w:p w14:paraId="51DF5E8B" w14:textId="31D2B9C3" w:rsidR="00ED6F05" w:rsidRPr="00621AF3" w:rsidRDefault="00ED6F05" w:rsidP="00621AF3">
            <w:pPr>
              <w:rPr>
                <w:szCs w:val="20"/>
              </w:rPr>
            </w:pPr>
            <w:r w:rsidRPr="00621AF3">
              <w:rPr>
                <w:szCs w:val="20"/>
              </w:rPr>
              <w:t>Within 1 mile — 1 point</w:t>
            </w:r>
          </w:p>
        </w:tc>
      </w:tr>
      <w:tr w:rsidR="00621AF3" w:rsidRPr="00621AF3" w14:paraId="0808F0E3" w14:textId="77777777" w:rsidTr="00501601">
        <w:tc>
          <w:tcPr>
            <w:tcW w:w="3456" w:type="dxa"/>
            <w:vAlign w:val="center"/>
          </w:tcPr>
          <w:p w14:paraId="4A244B13" w14:textId="042E7097" w:rsidR="00ED6F05" w:rsidRPr="00621AF3" w:rsidRDefault="00ED6F05" w:rsidP="00621AF3">
            <w:pPr>
              <w:rPr>
                <w:szCs w:val="20"/>
              </w:rPr>
            </w:pPr>
            <w:r w:rsidRPr="00621AF3">
              <w:rPr>
                <w:szCs w:val="20"/>
              </w:rPr>
              <w:t>Medical day care (senior projects only)</w:t>
            </w:r>
          </w:p>
        </w:tc>
        <w:tc>
          <w:tcPr>
            <w:tcW w:w="2448" w:type="dxa"/>
            <w:vAlign w:val="center"/>
          </w:tcPr>
          <w:p w14:paraId="6D6104B2" w14:textId="3BA99CD2" w:rsidR="00ED6F05" w:rsidRPr="00621AF3" w:rsidRDefault="00ED6F05" w:rsidP="00621AF3">
            <w:pPr>
              <w:rPr>
                <w:szCs w:val="20"/>
              </w:rPr>
            </w:pPr>
            <w:r w:rsidRPr="00621AF3">
              <w:rPr>
                <w:szCs w:val="20"/>
              </w:rPr>
              <w:t>N/A</w:t>
            </w:r>
          </w:p>
        </w:tc>
        <w:tc>
          <w:tcPr>
            <w:tcW w:w="2448" w:type="dxa"/>
            <w:vAlign w:val="center"/>
          </w:tcPr>
          <w:p w14:paraId="3DFE2271" w14:textId="2E120A73" w:rsidR="00ED6F05" w:rsidRPr="00621AF3" w:rsidRDefault="00ED6F05" w:rsidP="00621AF3">
            <w:pPr>
              <w:rPr>
                <w:szCs w:val="20"/>
              </w:rPr>
            </w:pPr>
            <w:r w:rsidRPr="00621AF3">
              <w:rPr>
                <w:szCs w:val="20"/>
              </w:rPr>
              <w:t>Within 1 mile — 1 point</w:t>
            </w:r>
          </w:p>
        </w:tc>
        <w:tc>
          <w:tcPr>
            <w:tcW w:w="2448" w:type="dxa"/>
            <w:vAlign w:val="center"/>
          </w:tcPr>
          <w:p w14:paraId="597C139A" w14:textId="0C24A62E" w:rsidR="00ED6F05" w:rsidRPr="00621AF3" w:rsidRDefault="00ED6F05" w:rsidP="00621AF3">
            <w:pPr>
              <w:rPr>
                <w:szCs w:val="20"/>
              </w:rPr>
            </w:pPr>
            <w:r w:rsidRPr="00621AF3">
              <w:rPr>
                <w:szCs w:val="20"/>
              </w:rPr>
              <w:t>N/A</w:t>
            </w:r>
          </w:p>
        </w:tc>
      </w:tr>
      <w:tr w:rsidR="00621AF3" w:rsidRPr="00621AF3" w14:paraId="01369102" w14:textId="77777777" w:rsidTr="00501601">
        <w:tc>
          <w:tcPr>
            <w:tcW w:w="3456" w:type="dxa"/>
            <w:vAlign w:val="center"/>
          </w:tcPr>
          <w:p w14:paraId="5A0DE431" w14:textId="04A1F0A1" w:rsidR="00ED6F05" w:rsidRPr="00621AF3" w:rsidRDefault="00ED6F05" w:rsidP="00621AF3">
            <w:pPr>
              <w:rPr>
                <w:szCs w:val="20"/>
              </w:rPr>
            </w:pPr>
            <w:r w:rsidRPr="00621AF3">
              <w:rPr>
                <w:szCs w:val="20"/>
              </w:rPr>
              <w:t>Medical offices (physician, dentistry, or optometry)</w:t>
            </w:r>
          </w:p>
        </w:tc>
        <w:tc>
          <w:tcPr>
            <w:tcW w:w="2448" w:type="dxa"/>
            <w:vAlign w:val="center"/>
          </w:tcPr>
          <w:p w14:paraId="61F820B0" w14:textId="4F7C3641" w:rsidR="00ED6F05" w:rsidRPr="00621AF3" w:rsidRDefault="00ED6F05" w:rsidP="00621AF3">
            <w:pPr>
              <w:rPr>
                <w:szCs w:val="20"/>
              </w:rPr>
            </w:pPr>
            <w:r w:rsidRPr="00621AF3">
              <w:rPr>
                <w:szCs w:val="20"/>
              </w:rPr>
              <w:t>Within 3 miles — 1 point</w:t>
            </w:r>
          </w:p>
        </w:tc>
        <w:tc>
          <w:tcPr>
            <w:tcW w:w="2448" w:type="dxa"/>
            <w:vAlign w:val="center"/>
          </w:tcPr>
          <w:p w14:paraId="070AE791" w14:textId="0527B034" w:rsidR="00ED6F05" w:rsidRPr="00621AF3" w:rsidRDefault="00ED6F05" w:rsidP="00621AF3">
            <w:pPr>
              <w:rPr>
                <w:szCs w:val="20"/>
              </w:rPr>
            </w:pPr>
            <w:r w:rsidRPr="00621AF3">
              <w:rPr>
                <w:szCs w:val="20"/>
              </w:rPr>
              <w:t>Within 1 mile — 1 point</w:t>
            </w:r>
          </w:p>
        </w:tc>
        <w:tc>
          <w:tcPr>
            <w:tcW w:w="2448" w:type="dxa"/>
            <w:vAlign w:val="center"/>
          </w:tcPr>
          <w:p w14:paraId="4862612B" w14:textId="6B8C04C6" w:rsidR="00ED6F05" w:rsidRPr="00621AF3" w:rsidRDefault="00ED6F05" w:rsidP="00621AF3">
            <w:pPr>
              <w:rPr>
                <w:szCs w:val="20"/>
              </w:rPr>
            </w:pPr>
            <w:r w:rsidRPr="00621AF3">
              <w:rPr>
                <w:szCs w:val="20"/>
              </w:rPr>
              <w:t>Within 1 mile — 1 point</w:t>
            </w:r>
          </w:p>
        </w:tc>
      </w:tr>
      <w:tr w:rsidR="00621AF3" w:rsidRPr="00621AF3" w14:paraId="1C03CBDD" w14:textId="77777777" w:rsidTr="00501601">
        <w:tc>
          <w:tcPr>
            <w:tcW w:w="3456" w:type="dxa"/>
            <w:vAlign w:val="center"/>
          </w:tcPr>
          <w:p w14:paraId="256599CC" w14:textId="53990490" w:rsidR="00ED6F05" w:rsidRPr="00621AF3" w:rsidRDefault="00ED6F05" w:rsidP="00621AF3">
            <w:pPr>
              <w:rPr>
                <w:szCs w:val="20"/>
              </w:rPr>
            </w:pPr>
            <w:r w:rsidRPr="00621AF3">
              <w:rPr>
                <w:szCs w:val="20"/>
              </w:rPr>
              <w:t>Religious institution</w:t>
            </w:r>
          </w:p>
        </w:tc>
        <w:tc>
          <w:tcPr>
            <w:tcW w:w="2448" w:type="dxa"/>
            <w:vAlign w:val="center"/>
          </w:tcPr>
          <w:p w14:paraId="45C9F70F" w14:textId="6B3A49D5" w:rsidR="00ED6F05" w:rsidRPr="00621AF3" w:rsidRDefault="00ED6F05" w:rsidP="00621AF3">
            <w:pPr>
              <w:rPr>
                <w:szCs w:val="20"/>
              </w:rPr>
            </w:pPr>
            <w:r w:rsidRPr="00621AF3">
              <w:rPr>
                <w:szCs w:val="20"/>
              </w:rPr>
              <w:t>Within 3 miles — 1 point</w:t>
            </w:r>
          </w:p>
        </w:tc>
        <w:tc>
          <w:tcPr>
            <w:tcW w:w="2448" w:type="dxa"/>
            <w:vAlign w:val="center"/>
          </w:tcPr>
          <w:p w14:paraId="7017D885" w14:textId="5E9F66DF" w:rsidR="00ED6F05" w:rsidRPr="00621AF3" w:rsidRDefault="00ED6F05" w:rsidP="00621AF3">
            <w:pPr>
              <w:rPr>
                <w:szCs w:val="20"/>
              </w:rPr>
            </w:pPr>
            <w:r w:rsidRPr="00621AF3">
              <w:rPr>
                <w:szCs w:val="20"/>
              </w:rPr>
              <w:t>Within 1 mile — 1 point</w:t>
            </w:r>
          </w:p>
        </w:tc>
        <w:tc>
          <w:tcPr>
            <w:tcW w:w="2448" w:type="dxa"/>
            <w:vAlign w:val="center"/>
          </w:tcPr>
          <w:p w14:paraId="5DDA5535" w14:textId="75A01D48" w:rsidR="00ED6F05" w:rsidRPr="00621AF3" w:rsidRDefault="00ED6F05" w:rsidP="00621AF3">
            <w:pPr>
              <w:rPr>
                <w:szCs w:val="20"/>
              </w:rPr>
            </w:pPr>
            <w:r w:rsidRPr="00621AF3">
              <w:rPr>
                <w:szCs w:val="20"/>
              </w:rPr>
              <w:t>Within 1 mile — 1 point</w:t>
            </w:r>
          </w:p>
        </w:tc>
      </w:tr>
      <w:tr w:rsidR="00621AF3" w:rsidRPr="00621AF3" w14:paraId="78D2B78D" w14:textId="77777777" w:rsidTr="00501601">
        <w:tc>
          <w:tcPr>
            <w:tcW w:w="3456" w:type="dxa"/>
            <w:vAlign w:val="center"/>
          </w:tcPr>
          <w:p w14:paraId="58B0AF8E" w14:textId="3050EB5E" w:rsidR="00ED6F05" w:rsidRPr="00621AF3" w:rsidRDefault="00ED6F05" w:rsidP="00621AF3">
            <w:pPr>
              <w:rPr>
                <w:szCs w:val="20"/>
              </w:rPr>
            </w:pPr>
            <w:r w:rsidRPr="00621AF3">
              <w:rPr>
                <w:szCs w:val="20"/>
              </w:rPr>
              <w:t>Post office, city hall, or county courthouse</w:t>
            </w:r>
          </w:p>
        </w:tc>
        <w:tc>
          <w:tcPr>
            <w:tcW w:w="2448" w:type="dxa"/>
            <w:vAlign w:val="center"/>
          </w:tcPr>
          <w:p w14:paraId="0D4BC55D" w14:textId="362F51A3" w:rsidR="00ED6F05" w:rsidRPr="00621AF3" w:rsidRDefault="00ED6F05" w:rsidP="00621AF3">
            <w:pPr>
              <w:rPr>
                <w:szCs w:val="20"/>
              </w:rPr>
            </w:pPr>
            <w:r w:rsidRPr="00621AF3">
              <w:rPr>
                <w:szCs w:val="20"/>
              </w:rPr>
              <w:t>Within 3 miles — 1 point</w:t>
            </w:r>
          </w:p>
        </w:tc>
        <w:tc>
          <w:tcPr>
            <w:tcW w:w="2448" w:type="dxa"/>
            <w:vAlign w:val="center"/>
          </w:tcPr>
          <w:p w14:paraId="2EDF2E0B" w14:textId="243A6AC1" w:rsidR="00ED6F05" w:rsidRPr="00621AF3" w:rsidRDefault="00ED6F05" w:rsidP="00621AF3">
            <w:pPr>
              <w:rPr>
                <w:szCs w:val="20"/>
              </w:rPr>
            </w:pPr>
            <w:r w:rsidRPr="00621AF3">
              <w:rPr>
                <w:szCs w:val="20"/>
              </w:rPr>
              <w:t>Within 1 mile — 1 point</w:t>
            </w:r>
          </w:p>
        </w:tc>
        <w:tc>
          <w:tcPr>
            <w:tcW w:w="2448" w:type="dxa"/>
            <w:vAlign w:val="center"/>
          </w:tcPr>
          <w:p w14:paraId="42F62ABF" w14:textId="1A904F04" w:rsidR="00ED6F05" w:rsidRPr="00621AF3" w:rsidRDefault="00ED6F05" w:rsidP="00621AF3">
            <w:pPr>
              <w:rPr>
                <w:szCs w:val="20"/>
              </w:rPr>
            </w:pPr>
            <w:r w:rsidRPr="00621AF3">
              <w:rPr>
                <w:szCs w:val="20"/>
              </w:rPr>
              <w:t>Within 1 mile — 1 point</w:t>
            </w:r>
          </w:p>
        </w:tc>
      </w:tr>
      <w:tr w:rsidR="00621AF3" w:rsidRPr="00621AF3" w14:paraId="1D17637D" w14:textId="77777777" w:rsidTr="00501601">
        <w:tc>
          <w:tcPr>
            <w:tcW w:w="3456" w:type="dxa"/>
            <w:vAlign w:val="center"/>
          </w:tcPr>
          <w:p w14:paraId="46D89814" w14:textId="2B6253EF" w:rsidR="00ED6F05" w:rsidRPr="00621AF3" w:rsidRDefault="00ED6F05" w:rsidP="00621AF3">
            <w:pPr>
              <w:rPr>
                <w:szCs w:val="20"/>
              </w:rPr>
            </w:pPr>
            <w:r w:rsidRPr="00621AF3">
              <w:rPr>
                <w:szCs w:val="20"/>
              </w:rPr>
              <w:t>Fire/police station</w:t>
            </w:r>
          </w:p>
        </w:tc>
        <w:tc>
          <w:tcPr>
            <w:tcW w:w="2448" w:type="dxa"/>
            <w:vAlign w:val="center"/>
          </w:tcPr>
          <w:p w14:paraId="7E4F1AD8" w14:textId="505BAB5D" w:rsidR="00ED6F05" w:rsidRPr="00621AF3" w:rsidRDefault="00ED6F05" w:rsidP="00621AF3">
            <w:pPr>
              <w:rPr>
                <w:szCs w:val="20"/>
              </w:rPr>
            </w:pPr>
            <w:r w:rsidRPr="00621AF3">
              <w:rPr>
                <w:szCs w:val="20"/>
              </w:rPr>
              <w:t>Within 3 miles — 1 point</w:t>
            </w:r>
          </w:p>
        </w:tc>
        <w:tc>
          <w:tcPr>
            <w:tcW w:w="2448" w:type="dxa"/>
            <w:vAlign w:val="center"/>
          </w:tcPr>
          <w:p w14:paraId="3BC5B9AB" w14:textId="701E3D9C" w:rsidR="00ED6F05" w:rsidRPr="00621AF3" w:rsidRDefault="00ED6F05" w:rsidP="00621AF3">
            <w:pPr>
              <w:rPr>
                <w:szCs w:val="20"/>
              </w:rPr>
            </w:pPr>
            <w:r w:rsidRPr="00621AF3">
              <w:rPr>
                <w:szCs w:val="20"/>
              </w:rPr>
              <w:t>Within 1 mile — 1 point</w:t>
            </w:r>
          </w:p>
        </w:tc>
        <w:tc>
          <w:tcPr>
            <w:tcW w:w="2448" w:type="dxa"/>
            <w:vAlign w:val="center"/>
          </w:tcPr>
          <w:p w14:paraId="2B70AFDC" w14:textId="2D3409AC" w:rsidR="00ED6F05" w:rsidRPr="00621AF3" w:rsidRDefault="00ED6F05" w:rsidP="00621AF3">
            <w:pPr>
              <w:rPr>
                <w:szCs w:val="20"/>
              </w:rPr>
            </w:pPr>
            <w:r w:rsidRPr="00621AF3">
              <w:rPr>
                <w:szCs w:val="20"/>
              </w:rPr>
              <w:t>Within 1 mile — 1 point</w:t>
            </w:r>
          </w:p>
        </w:tc>
      </w:tr>
      <w:tr w:rsidR="00621AF3" w:rsidRPr="00621AF3" w14:paraId="3A935A73" w14:textId="77777777" w:rsidTr="00501601">
        <w:tc>
          <w:tcPr>
            <w:tcW w:w="3456" w:type="dxa"/>
            <w:vAlign w:val="center"/>
          </w:tcPr>
          <w:p w14:paraId="52705219" w14:textId="763AC90B" w:rsidR="00ED6F05" w:rsidRPr="00621AF3" w:rsidRDefault="00ED6F05" w:rsidP="00621AF3">
            <w:pPr>
              <w:rPr>
                <w:szCs w:val="20"/>
              </w:rPr>
            </w:pPr>
            <w:r w:rsidRPr="00621AF3">
              <w:rPr>
                <w:szCs w:val="20"/>
              </w:rPr>
              <w:t>Institution of higher learning or continuing education</w:t>
            </w:r>
          </w:p>
        </w:tc>
        <w:tc>
          <w:tcPr>
            <w:tcW w:w="2448" w:type="dxa"/>
            <w:vAlign w:val="center"/>
          </w:tcPr>
          <w:p w14:paraId="3A0A6ED6" w14:textId="67C9DDC2" w:rsidR="00ED6F05" w:rsidRPr="00621AF3" w:rsidRDefault="00ED6F05" w:rsidP="00621AF3">
            <w:pPr>
              <w:rPr>
                <w:szCs w:val="20"/>
              </w:rPr>
            </w:pPr>
            <w:r w:rsidRPr="00621AF3">
              <w:rPr>
                <w:szCs w:val="20"/>
              </w:rPr>
              <w:t>Within 3 miles — 1 point</w:t>
            </w:r>
          </w:p>
        </w:tc>
        <w:tc>
          <w:tcPr>
            <w:tcW w:w="2448" w:type="dxa"/>
            <w:vAlign w:val="center"/>
          </w:tcPr>
          <w:p w14:paraId="3D4AD4D8" w14:textId="532E7F29" w:rsidR="00ED6F05" w:rsidRPr="00621AF3" w:rsidRDefault="00ED6F05" w:rsidP="00621AF3">
            <w:pPr>
              <w:rPr>
                <w:szCs w:val="20"/>
              </w:rPr>
            </w:pPr>
            <w:r w:rsidRPr="00621AF3">
              <w:rPr>
                <w:szCs w:val="20"/>
              </w:rPr>
              <w:t>Within 1 mile — 1 point</w:t>
            </w:r>
          </w:p>
        </w:tc>
        <w:tc>
          <w:tcPr>
            <w:tcW w:w="2448" w:type="dxa"/>
            <w:vAlign w:val="center"/>
          </w:tcPr>
          <w:p w14:paraId="7AD438C8" w14:textId="4063CE52" w:rsidR="00ED6F05" w:rsidRPr="00621AF3" w:rsidRDefault="00ED6F05" w:rsidP="00621AF3">
            <w:pPr>
              <w:rPr>
                <w:szCs w:val="20"/>
              </w:rPr>
            </w:pPr>
            <w:r w:rsidRPr="00621AF3">
              <w:rPr>
                <w:szCs w:val="20"/>
              </w:rPr>
              <w:t>Within 1 mile — 1 point</w:t>
            </w:r>
          </w:p>
        </w:tc>
      </w:tr>
    </w:tbl>
    <w:p w14:paraId="28B4866A" w14:textId="265354C7" w:rsidR="00EC66DA" w:rsidRDefault="00501601" w:rsidP="00EC66DA">
      <w:r>
        <w:lastRenderedPageBreak/>
        <w:t>Up to 6 points deducted for negative land uses:</w:t>
      </w:r>
    </w:p>
    <w:tbl>
      <w:tblPr>
        <w:tblStyle w:val="TableGrid"/>
        <w:tblW w:w="10800" w:type="dxa"/>
        <w:tblCellMar>
          <w:top w:w="29" w:type="dxa"/>
          <w:bottom w:w="29" w:type="dxa"/>
        </w:tblCellMar>
        <w:tblLook w:val="04A0" w:firstRow="1" w:lastRow="0" w:firstColumn="1" w:lastColumn="0" w:noHBand="0" w:noVBand="1"/>
      </w:tblPr>
      <w:tblGrid>
        <w:gridCol w:w="7920"/>
        <w:gridCol w:w="2880"/>
      </w:tblGrid>
      <w:tr w:rsidR="00501601" w:rsidRPr="00621AF3" w14:paraId="04AEF576" w14:textId="77777777" w:rsidTr="00501601">
        <w:tc>
          <w:tcPr>
            <w:tcW w:w="7920" w:type="dxa"/>
          </w:tcPr>
          <w:p w14:paraId="3A5031BA" w14:textId="4A80C2B4" w:rsidR="00501601" w:rsidRPr="00621AF3" w:rsidRDefault="00501601" w:rsidP="009C6952">
            <w:pPr>
              <w:jc w:val="center"/>
              <w:rPr>
                <w:szCs w:val="20"/>
                <w:u w:val="single"/>
              </w:rPr>
            </w:pPr>
            <w:r>
              <w:rPr>
                <w:szCs w:val="20"/>
                <w:u w:val="single"/>
              </w:rPr>
              <w:t>Negative</w:t>
            </w:r>
            <w:r w:rsidRPr="00621AF3">
              <w:rPr>
                <w:szCs w:val="20"/>
                <w:u w:val="single"/>
              </w:rPr>
              <w:t xml:space="preserve"> Land Use</w:t>
            </w:r>
          </w:p>
        </w:tc>
        <w:tc>
          <w:tcPr>
            <w:tcW w:w="2880" w:type="dxa"/>
          </w:tcPr>
          <w:p w14:paraId="0FB804DF" w14:textId="1A0C04EA" w:rsidR="00501601" w:rsidRPr="00621AF3" w:rsidRDefault="00501601" w:rsidP="009C6952">
            <w:pPr>
              <w:jc w:val="center"/>
              <w:rPr>
                <w:szCs w:val="20"/>
                <w:u w:val="single"/>
              </w:rPr>
            </w:pPr>
            <w:r>
              <w:rPr>
                <w:szCs w:val="20"/>
                <w:u w:val="single"/>
              </w:rPr>
              <w:t>All Cycles</w:t>
            </w:r>
          </w:p>
        </w:tc>
      </w:tr>
      <w:tr w:rsidR="00501601" w:rsidRPr="00621AF3" w14:paraId="23FFC0FB" w14:textId="77777777" w:rsidTr="00501601">
        <w:tc>
          <w:tcPr>
            <w:tcW w:w="7920" w:type="dxa"/>
            <w:vAlign w:val="center"/>
          </w:tcPr>
          <w:p w14:paraId="1F8E13AA" w14:textId="62D43884" w:rsidR="00501601" w:rsidRPr="00621AF3" w:rsidRDefault="00501601" w:rsidP="009C6952">
            <w:pPr>
              <w:rPr>
                <w:szCs w:val="20"/>
              </w:rPr>
            </w:pPr>
            <w:r>
              <w:rPr>
                <w:szCs w:val="20"/>
              </w:rPr>
              <w:t>Landfill</w:t>
            </w:r>
          </w:p>
        </w:tc>
        <w:tc>
          <w:tcPr>
            <w:tcW w:w="2880" w:type="dxa"/>
            <w:vAlign w:val="center"/>
          </w:tcPr>
          <w:p w14:paraId="7CDF54D1" w14:textId="59225E75" w:rsidR="00501601" w:rsidRPr="00621AF3" w:rsidRDefault="00501601" w:rsidP="009C6952">
            <w:pPr>
              <w:rPr>
                <w:szCs w:val="20"/>
              </w:rPr>
            </w:pPr>
            <w:r w:rsidRPr="00621AF3">
              <w:rPr>
                <w:szCs w:val="20"/>
              </w:rPr>
              <w:t xml:space="preserve">Within 1 mile — </w:t>
            </w:r>
            <w:r>
              <w:rPr>
                <w:szCs w:val="20"/>
              </w:rPr>
              <w:t>minus 3</w:t>
            </w:r>
            <w:r w:rsidRPr="00621AF3">
              <w:rPr>
                <w:szCs w:val="20"/>
              </w:rPr>
              <w:t xml:space="preserve"> point</w:t>
            </w:r>
            <w:r>
              <w:rPr>
                <w:szCs w:val="20"/>
              </w:rPr>
              <w:t>s</w:t>
            </w:r>
          </w:p>
        </w:tc>
      </w:tr>
      <w:tr w:rsidR="00501601" w:rsidRPr="00621AF3" w14:paraId="2888620F" w14:textId="77777777" w:rsidTr="00501601">
        <w:tc>
          <w:tcPr>
            <w:tcW w:w="7920" w:type="dxa"/>
            <w:vAlign w:val="center"/>
          </w:tcPr>
          <w:p w14:paraId="259B19E1" w14:textId="1C444BE1" w:rsidR="00501601" w:rsidRPr="00621AF3" w:rsidRDefault="00501601" w:rsidP="00501601">
            <w:pPr>
              <w:rPr>
                <w:szCs w:val="20"/>
              </w:rPr>
            </w:pPr>
            <w:r>
              <w:rPr>
                <w:szCs w:val="20"/>
              </w:rPr>
              <w:t>Garbage dump</w:t>
            </w:r>
          </w:p>
        </w:tc>
        <w:tc>
          <w:tcPr>
            <w:tcW w:w="2880" w:type="dxa"/>
            <w:vAlign w:val="center"/>
          </w:tcPr>
          <w:p w14:paraId="0ECD471F" w14:textId="113A783B" w:rsidR="00501601" w:rsidRPr="00621AF3" w:rsidRDefault="00501601" w:rsidP="00501601">
            <w:pPr>
              <w:rPr>
                <w:szCs w:val="20"/>
              </w:rPr>
            </w:pPr>
            <w:r w:rsidRPr="00621AF3">
              <w:rPr>
                <w:szCs w:val="20"/>
              </w:rPr>
              <w:t xml:space="preserve">Within 1 mile — </w:t>
            </w:r>
            <w:r>
              <w:rPr>
                <w:szCs w:val="20"/>
              </w:rPr>
              <w:t>minus 3</w:t>
            </w:r>
            <w:r w:rsidRPr="00621AF3">
              <w:rPr>
                <w:szCs w:val="20"/>
              </w:rPr>
              <w:t xml:space="preserve"> point</w:t>
            </w:r>
            <w:r>
              <w:rPr>
                <w:szCs w:val="20"/>
              </w:rPr>
              <w:t>s</w:t>
            </w:r>
          </w:p>
        </w:tc>
      </w:tr>
      <w:tr w:rsidR="00501601" w:rsidRPr="00621AF3" w14:paraId="3B99BC69" w14:textId="77777777" w:rsidTr="00501601">
        <w:tc>
          <w:tcPr>
            <w:tcW w:w="7920" w:type="dxa"/>
            <w:vAlign w:val="center"/>
          </w:tcPr>
          <w:p w14:paraId="1326A31B" w14:textId="4F1EC2D9" w:rsidR="00501601" w:rsidRPr="00621AF3" w:rsidRDefault="00501601" w:rsidP="00501601">
            <w:pPr>
              <w:rPr>
                <w:szCs w:val="20"/>
              </w:rPr>
            </w:pPr>
            <w:r>
              <w:rPr>
                <w:szCs w:val="20"/>
              </w:rPr>
              <w:t>Trash incinerator</w:t>
            </w:r>
          </w:p>
        </w:tc>
        <w:tc>
          <w:tcPr>
            <w:tcW w:w="2880" w:type="dxa"/>
            <w:vAlign w:val="center"/>
          </w:tcPr>
          <w:p w14:paraId="1C619B98" w14:textId="5C38EAC0" w:rsidR="00501601" w:rsidRPr="00621AF3" w:rsidRDefault="00501601" w:rsidP="00501601">
            <w:pPr>
              <w:rPr>
                <w:szCs w:val="20"/>
              </w:rPr>
            </w:pPr>
            <w:r w:rsidRPr="00621AF3">
              <w:rPr>
                <w:szCs w:val="20"/>
              </w:rPr>
              <w:t xml:space="preserve">Within 1 mile — </w:t>
            </w:r>
            <w:r>
              <w:rPr>
                <w:szCs w:val="20"/>
              </w:rPr>
              <w:t>minus 3</w:t>
            </w:r>
            <w:r w:rsidRPr="00621AF3">
              <w:rPr>
                <w:szCs w:val="20"/>
              </w:rPr>
              <w:t xml:space="preserve"> point</w:t>
            </w:r>
            <w:r>
              <w:rPr>
                <w:szCs w:val="20"/>
              </w:rPr>
              <w:t>s</w:t>
            </w:r>
          </w:p>
        </w:tc>
      </w:tr>
      <w:tr w:rsidR="00501601" w:rsidRPr="00621AF3" w14:paraId="66B1491E" w14:textId="77777777" w:rsidTr="00501601">
        <w:tc>
          <w:tcPr>
            <w:tcW w:w="7920" w:type="dxa"/>
            <w:vAlign w:val="center"/>
          </w:tcPr>
          <w:p w14:paraId="13DDD4B9" w14:textId="751E2EC9" w:rsidR="00501601" w:rsidRPr="00621AF3" w:rsidRDefault="00501601" w:rsidP="00501601">
            <w:pPr>
              <w:rPr>
                <w:szCs w:val="20"/>
              </w:rPr>
            </w:pPr>
            <w:r>
              <w:rPr>
                <w:szCs w:val="20"/>
              </w:rPr>
              <w:t>Nuclear power plant</w:t>
            </w:r>
          </w:p>
        </w:tc>
        <w:tc>
          <w:tcPr>
            <w:tcW w:w="2880" w:type="dxa"/>
            <w:vAlign w:val="center"/>
          </w:tcPr>
          <w:p w14:paraId="0736D117" w14:textId="2A14721E" w:rsidR="00501601" w:rsidRPr="00621AF3" w:rsidRDefault="00501601" w:rsidP="00501601">
            <w:pPr>
              <w:rPr>
                <w:szCs w:val="20"/>
              </w:rPr>
            </w:pPr>
            <w:r w:rsidRPr="00621AF3">
              <w:rPr>
                <w:szCs w:val="20"/>
              </w:rPr>
              <w:t xml:space="preserve">Within 1 mile — </w:t>
            </w:r>
            <w:r>
              <w:rPr>
                <w:szCs w:val="20"/>
              </w:rPr>
              <w:t>minus 3</w:t>
            </w:r>
            <w:r w:rsidRPr="00621AF3">
              <w:rPr>
                <w:szCs w:val="20"/>
              </w:rPr>
              <w:t xml:space="preserve"> point</w:t>
            </w:r>
            <w:r>
              <w:rPr>
                <w:szCs w:val="20"/>
              </w:rPr>
              <w:t>s</w:t>
            </w:r>
          </w:p>
        </w:tc>
      </w:tr>
      <w:tr w:rsidR="00501601" w:rsidRPr="00621AF3" w14:paraId="237F0395" w14:textId="77777777" w:rsidTr="00501601">
        <w:tc>
          <w:tcPr>
            <w:tcW w:w="7920" w:type="dxa"/>
            <w:vAlign w:val="center"/>
          </w:tcPr>
          <w:p w14:paraId="3A4EF8DD" w14:textId="01992C5C" w:rsidR="00501601" w:rsidRPr="00621AF3" w:rsidRDefault="00501601" w:rsidP="00501601">
            <w:pPr>
              <w:rPr>
                <w:szCs w:val="20"/>
              </w:rPr>
            </w:pPr>
            <w:r>
              <w:rPr>
                <w:szCs w:val="20"/>
              </w:rPr>
              <w:t>Oil/chemical refinery</w:t>
            </w:r>
          </w:p>
        </w:tc>
        <w:tc>
          <w:tcPr>
            <w:tcW w:w="2880" w:type="dxa"/>
            <w:vAlign w:val="center"/>
          </w:tcPr>
          <w:p w14:paraId="6809EBB0" w14:textId="2EC7177F" w:rsidR="00501601" w:rsidRPr="00621AF3" w:rsidRDefault="00501601" w:rsidP="00501601">
            <w:pPr>
              <w:rPr>
                <w:szCs w:val="20"/>
              </w:rPr>
            </w:pPr>
            <w:r w:rsidRPr="00621AF3">
              <w:rPr>
                <w:szCs w:val="20"/>
              </w:rPr>
              <w:t xml:space="preserve">Within 1 mile — </w:t>
            </w:r>
            <w:r>
              <w:rPr>
                <w:szCs w:val="20"/>
              </w:rPr>
              <w:t>minus 3</w:t>
            </w:r>
            <w:r w:rsidRPr="00621AF3">
              <w:rPr>
                <w:szCs w:val="20"/>
              </w:rPr>
              <w:t xml:space="preserve"> point</w:t>
            </w:r>
            <w:r>
              <w:rPr>
                <w:szCs w:val="20"/>
              </w:rPr>
              <w:t>s</w:t>
            </w:r>
          </w:p>
        </w:tc>
      </w:tr>
      <w:tr w:rsidR="00501601" w:rsidRPr="00621AF3" w14:paraId="6B993256" w14:textId="77777777" w:rsidTr="00501601">
        <w:tc>
          <w:tcPr>
            <w:tcW w:w="7920" w:type="dxa"/>
            <w:vAlign w:val="center"/>
          </w:tcPr>
          <w:p w14:paraId="5AB91D68" w14:textId="0E1DDD86" w:rsidR="00501601" w:rsidRPr="00621AF3" w:rsidRDefault="00501601" w:rsidP="00501601">
            <w:pPr>
              <w:rPr>
                <w:szCs w:val="20"/>
              </w:rPr>
            </w:pPr>
            <w:proofErr w:type="spellStart"/>
            <w:r w:rsidRPr="00501601">
              <w:rPr>
                <w:szCs w:val="20"/>
              </w:rPr>
              <w:t>Unremediated</w:t>
            </w:r>
            <w:proofErr w:type="spellEnd"/>
            <w:r w:rsidRPr="00501601">
              <w:rPr>
                <w:szCs w:val="20"/>
              </w:rPr>
              <w:t xml:space="preserve"> Superfund or toxic waste site as identified by the Environmental Protection Agency (EPA) or the New Jersey Department of Environmental Protection (DEP)</w:t>
            </w:r>
          </w:p>
        </w:tc>
        <w:tc>
          <w:tcPr>
            <w:tcW w:w="2880" w:type="dxa"/>
            <w:vAlign w:val="center"/>
          </w:tcPr>
          <w:p w14:paraId="35046553" w14:textId="0D6B37AC" w:rsidR="00501601" w:rsidRPr="00621AF3" w:rsidRDefault="00501601" w:rsidP="00501601">
            <w:pPr>
              <w:rPr>
                <w:szCs w:val="20"/>
              </w:rPr>
            </w:pPr>
            <w:r w:rsidRPr="00621AF3">
              <w:rPr>
                <w:szCs w:val="20"/>
              </w:rPr>
              <w:t xml:space="preserve">Within 1 mile — </w:t>
            </w:r>
            <w:r>
              <w:rPr>
                <w:szCs w:val="20"/>
              </w:rPr>
              <w:t>minus 3</w:t>
            </w:r>
            <w:r w:rsidRPr="00621AF3">
              <w:rPr>
                <w:szCs w:val="20"/>
              </w:rPr>
              <w:t xml:space="preserve"> point</w:t>
            </w:r>
            <w:r>
              <w:rPr>
                <w:szCs w:val="20"/>
              </w:rPr>
              <w:t>s</w:t>
            </w:r>
          </w:p>
        </w:tc>
      </w:tr>
      <w:tr w:rsidR="00501601" w:rsidRPr="00621AF3" w14:paraId="63B9910C" w14:textId="77777777" w:rsidTr="00501601">
        <w:tc>
          <w:tcPr>
            <w:tcW w:w="7920" w:type="dxa"/>
            <w:vAlign w:val="center"/>
          </w:tcPr>
          <w:p w14:paraId="6F2CEFFF" w14:textId="34A412A9" w:rsidR="00501601" w:rsidRPr="00621AF3" w:rsidRDefault="00501601" w:rsidP="00501601">
            <w:pPr>
              <w:rPr>
                <w:szCs w:val="20"/>
              </w:rPr>
            </w:pPr>
            <w:r>
              <w:rPr>
                <w:szCs w:val="20"/>
              </w:rPr>
              <w:t>Jail/prison</w:t>
            </w:r>
          </w:p>
        </w:tc>
        <w:tc>
          <w:tcPr>
            <w:tcW w:w="2880" w:type="dxa"/>
            <w:vAlign w:val="center"/>
          </w:tcPr>
          <w:p w14:paraId="5B1C762A" w14:textId="691B8554" w:rsidR="00501601" w:rsidRPr="00621AF3" w:rsidRDefault="00501601" w:rsidP="00501601">
            <w:pPr>
              <w:rPr>
                <w:szCs w:val="20"/>
              </w:rPr>
            </w:pPr>
            <w:r w:rsidRPr="00621AF3">
              <w:rPr>
                <w:szCs w:val="20"/>
              </w:rPr>
              <w:t xml:space="preserve">Within 1 mile — </w:t>
            </w:r>
            <w:r>
              <w:rPr>
                <w:szCs w:val="20"/>
              </w:rPr>
              <w:t>minus 3</w:t>
            </w:r>
            <w:r w:rsidRPr="00621AF3">
              <w:rPr>
                <w:szCs w:val="20"/>
              </w:rPr>
              <w:t xml:space="preserve"> point</w:t>
            </w:r>
            <w:r>
              <w:rPr>
                <w:szCs w:val="20"/>
              </w:rPr>
              <w:t>s</w:t>
            </w:r>
          </w:p>
        </w:tc>
      </w:tr>
      <w:tr w:rsidR="00501601" w:rsidRPr="00621AF3" w14:paraId="387CFE64" w14:textId="77777777" w:rsidTr="00501601">
        <w:tc>
          <w:tcPr>
            <w:tcW w:w="7920" w:type="dxa"/>
            <w:vAlign w:val="center"/>
          </w:tcPr>
          <w:p w14:paraId="60FE6854" w14:textId="65FA5897" w:rsidR="00501601" w:rsidRPr="00621AF3" w:rsidRDefault="00501601" w:rsidP="00501601">
            <w:pPr>
              <w:rPr>
                <w:szCs w:val="20"/>
              </w:rPr>
            </w:pPr>
            <w:r>
              <w:rPr>
                <w:szCs w:val="20"/>
              </w:rPr>
              <w:t>Wastewater treatment facility</w:t>
            </w:r>
          </w:p>
        </w:tc>
        <w:tc>
          <w:tcPr>
            <w:tcW w:w="2880" w:type="dxa"/>
            <w:vAlign w:val="center"/>
          </w:tcPr>
          <w:p w14:paraId="4C8E2C15" w14:textId="5039E9E6" w:rsidR="00501601" w:rsidRPr="00621AF3" w:rsidRDefault="00501601" w:rsidP="00501601">
            <w:pPr>
              <w:rPr>
                <w:szCs w:val="20"/>
              </w:rPr>
            </w:pPr>
            <w:r w:rsidRPr="00621AF3">
              <w:rPr>
                <w:szCs w:val="20"/>
              </w:rPr>
              <w:t xml:space="preserve">Within 1 mile — </w:t>
            </w:r>
            <w:r>
              <w:rPr>
                <w:szCs w:val="20"/>
              </w:rPr>
              <w:t>minus 3</w:t>
            </w:r>
            <w:r w:rsidRPr="00621AF3">
              <w:rPr>
                <w:szCs w:val="20"/>
              </w:rPr>
              <w:t xml:space="preserve"> point</w:t>
            </w:r>
            <w:r>
              <w:rPr>
                <w:szCs w:val="20"/>
              </w:rPr>
              <w:t>s</w:t>
            </w:r>
          </w:p>
        </w:tc>
      </w:tr>
    </w:tbl>
    <w:p w14:paraId="14EAB84A" w14:textId="77777777" w:rsidR="00501601" w:rsidRDefault="00501601" w:rsidP="00EC66DA"/>
    <w:p w14:paraId="65E890FA" w14:textId="215F7A30" w:rsidR="00501601" w:rsidRDefault="00501601" w:rsidP="00501601">
      <w:r>
        <w:t>Example — Family Cycle project is located proximate to:</w:t>
      </w:r>
    </w:p>
    <w:p w14:paraId="260EA90E" w14:textId="47A2862F" w:rsidR="00501601" w:rsidRDefault="00501601" w:rsidP="00454F1E">
      <w:pPr>
        <w:pStyle w:val="ListParagraph"/>
        <w:numPr>
          <w:ilvl w:val="0"/>
          <w:numId w:val="69"/>
        </w:numPr>
      </w:pPr>
      <w:r>
        <w:t>Licensed daycare within ½ mile — 2 points</w:t>
      </w:r>
    </w:p>
    <w:p w14:paraId="1B783696" w14:textId="2A5E0A8A" w:rsidR="00501601" w:rsidRDefault="00501601" w:rsidP="00454F1E">
      <w:pPr>
        <w:pStyle w:val="ListParagraph"/>
        <w:numPr>
          <w:ilvl w:val="0"/>
          <w:numId w:val="69"/>
        </w:numPr>
      </w:pPr>
      <w:r>
        <w:t>Public School within ½ mile — 2 points</w:t>
      </w:r>
    </w:p>
    <w:p w14:paraId="6DD2CA51" w14:textId="175D0A3C" w:rsidR="00501601" w:rsidRDefault="00501601" w:rsidP="00454F1E">
      <w:pPr>
        <w:pStyle w:val="ListParagraph"/>
        <w:numPr>
          <w:ilvl w:val="0"/>
          <w:numId w:val="69"/>
        </w:numPr>
      </w:pPr>
      <w:r>
        <w:t>Hospital within 3 miles — 1 point</w:t>
      </w:r>
    </w:p>
    <w:p w14:paraId="4AA87D9C" w14:textId="2BF4D057" w:rsidR="00501601" w:rsidRDefault="00501601" w:rsidP="00454F1E">
      <w:pPr>
        <w:pStyle w:val="ListParagraph"/>
        <w:numPr>
          <w:ilvl w:val="0"/>
          <w:numId w:val="69"/>
        </w:numPr>
      </w:pPr>
      <w:r>
        <w:t>Pharmacy within 3 miles — 1 point</w:t>
      </w:r>
    </w:p>
    <w:p w14:paraId="3CE7B100" w14:textId="39D1072D" w:rsidR="00501601" w:rsidRDefault="00501601" w:rsidP="00454F1E">
      <w:pPr>
        <w:pStyle w:val="ListParagraph"/>
        <w:numPr>
          <w:ilvl w:val="0"/>
          <w:numId w:val="69"/>
        </w:numPr>
      </w:pPr>
      <w:r>
        <w:t>Department or retail merchandise store within 3 miles — 1 point</w:t>
      </w:r>
    </w:p>
    <w:p w14:paraId="1F7E12FC" w14:textId="490EC57D" w:rsidR="00501601" w:rsidRDefault="00501601" w:rsidP="00454F1E">
      <w:pPr>
        <w:pStyle w:val="ListParagraph"/>
        <w:numPr>
          <w:ilvl w:val="0"/>
          <w:numId w:val="69"/>
        </w:numPr>
      </w:pPr>
      <w:r>
        <w:t>Bank/credit union within 3 miles — 1 point</w:t>
      </w:r>
    </w:p>
    <w:p w14:paraId="42AB1A0C" w14:textId="6740D9B1" w:rsidR="00501601" w:rsidRDefault="00501601" w:rsidP="00454F1E">
      <w:pPr>
        <w:pStyle w:val="ListParagraph"/>
        <w:numPr>
          <w:ilvl w:val="0"/>
          <w:numId w:val="69"/>
        </w:numPr>
      </w:pPr>
      <w:r>
        <w:t>Religious institution within 3 miles — 1 point</w:t>
      </w:r>
    </w:p>
    <w:p w14:paraId="2F31F011" w14:textId="2DD5C8AD" w:rsidR="00501601" w:rsidRDefault="00501601" w:rsidP="00454F1E">
      <w:pPr>
        <w:pStyle w:val="ListParagraph"/>
        <w:numPr>
          <w:ilvl w:val="0"/>
          <w:numId w:val="69"/>
        </w:numPr>
      </w:pPr>
      <w:r>
        <w:t>Restaurant, exclusive of fast-food restaurants — 1 point</w:t>
      </w:r>
    </w:p>
    <w:p w14:paraId="7FCED81D" w14:textId="77777777" w:rsidR="00501601" w:rsidRDefault="00501601" w:rsidP="00501601">
      <w:r>
        <w:t>Total Positive Land Use Points:</w:t>
      </w:r>
    </w:p>
    <w:p w14:paraId="4EA2FB86" w14:textId="738599FB" w:rsidR="00501601" w:rsidRDefault="00501601" w:rsidP="00454F1E">
      <w:pPr>
        <w:pStyle w:val="ListParagraph"/>
        <w:numPr>
          <w:ilvl w:val="0"/>
          <w:numId w:val="70"/>
        </w:numPr>
      </w:pPr>
      <w:r>
        <w:t>10 points (before applying cap)</w:t>
      </w:r>
    </w:p>
    <w:p w14:paraId="57EB9A4F" w14:textId="326A5BD4" w:rsidR="00501601" w:rsidRDefault="00501601" w:rsidP="00454F1E">
      <w:pPr>
        <w:pStyle w:val="ListParagraph"/>
        <w:numPr>
          <w:ilvl w:val="0"/>
          <w:numId w:val="70"/>
        </w:numPr>
      </w:pPr>
      <w:r>
        <w:t>6 points (after applying cap)</w:t>
      </w:r>
    </w:p>
    <w:p w14:paraId="6C585A0C" w14:textId="1C0E425C" w:rsidR="00501601" w:rsidRDefault="00B9610B" w:rsidP="00501601">
      <w:r>
        <w:t>Project is also located proximate to:</w:t>
      </w:r>
    </w:p>
    <w:p w14:paraId="7EBBB936" w14:textId="2CFB69DF" w:rsidR="00501601" w:rsidRDefault="00501601" w:rsidP="00454F1E">
      <w:pPr>
        <w:pStyle w:val="ListParagraph"/>
        <w:numPr>
          <w:ilvl w:val="0"/>
          <w:numId w:val="71"/>
        </w:numPr>
      </w:pPr>
      <w:r>
        <w:t>Jail/</w:t>
      </w:r>
      <w:r w:rsidR="00B9610B">
        <w:t>p</w:t>
      </w:r>
      <w:r>
        <w:t xml:space="preserve">rison within 1 mile </w:t>
      </w:r>
      <w:r w:rsidR="00B9610B">
        <w:t>—</w:t>
      </w:r>
      <w:r>
        <w:t xml:space="preserve"> negative 3 points</w:t>
      </w:r>
    </w:p>
    <w:p w14:paraId="2AF9D70F" w14:textId="390FF589" w:rsidR="00501601" w:rsidRPr="00B9610B" w:rsidRDefault="00501601" w:rsidP="00501601">
      <w:pPr>
        <w:rPr>
          <w:b/>
          <w:bCs/>
        </w:rPr>
      </w:pPr>
      <w:r w:rsidRPr="00B9610B">
        <w:rPr>
          <w:b/>
          <w:bCs/>
        </w:rPr>
        <w:t>TOTA</w:t>
      </w:r>
      <w:r w:rsidR="00B9610B" w:rsidRPr="00B9610B">
        <w:rPr>
          <w:b/>
          <w:bCs/>
        </w:rPr>
        <w:t>L LAND USE POINTS:</w:t>
      </w:r>
      <w:r w:rsidRPr="00B9610B">
        <w:rPr>
          <w:b/>
          <w:bCs/>
        </w:rPr>
        <w:t xml:space="preserve"> 3 POINTS</w:t>
      </w:r>
    </w:p>
    <w:p w14:paraId="309549E7" w14:textId="2F569C88" w:rsidR="00EC66DA" w:rsidRDefault="00EC66DA" w:rsidP="00EC66DA">
      <w:r w:rsidRPr="00E84F60">
        <w:rPr>
          <w:b/>
          <w:bCs/>
        </w:rPr>
        <w:t>Required Information:</w:t>
      </w:r>
      <w:r>
        <w:t xml:space="preserve"> </w:t>
      </w:r>
      <w:r w:rsidR="00B9610B">
        <w:t>None</w:t>
      </w:r>
    </w:p>
    <w:p w14:paraId="6A410200" w14:textId="6DB72056" w:rsidR="00EC66DA" w:rsidRDefault="00EC66DA" w:rsidP="00EC66DA">
      <w:r w:rsidRPr="00E84F60">
        <w:rPr>
          <w:b/>
          <w:bCs/>
        </w:rPr>
        <w:t>Required Attachments:</w:t>
      </w:r>
      <w:r>
        <w:t xml:space="preserve"> </w:t>
      </w:r>
      <w:r w:rsidR="00B9610B">
        <w:t>Excerpt from market analysis confirming proximity to the land uses.</w:t>
      </w:r>
    </w:p>
    <w:p w14:paraId="18D76E61" w14:textId="3BCC65D3" w:rsidR="002D3508" w:rsidRPr="002D3508" w:rsidRDefault="002D3508" w:rsidP="00EC66DA">
      <w:pPr>
        <w:rPr>
          <w:b/>
          <w:bCs/>
        </w:rPr>
      </w:pPr>
      <w:r w:rsidRPr="002D3508">
        <w:rPr>
          <w:b/>
          <w:bCs/>
        </w:rPr>
        <w:t>Notes:</w:t>
      </w:r>
    </w:p>
    <w:p w14:paraId="46C7F39B" w14:textId="0C75316E" w:rsidR="002D3508" w:rsidRDefault="002D3508" w:rsidP="00454F1E">
      <w:pPr>
        <w:pStyle w:val="ListParagraph"/>
        <w:numPr>
          <w:ilvl w:val="0"/>
          <w:numId w:val="71"/>
        </w:numPr>
      </w:pPr>
      <w:r>
        <w:t xml:space="preserve">Family success centers are listed at: </w:t>
      </w:r>
      <w:hyperlink r:id="rId21" w:history="1">
        <w:r w:rsidRPr="008C3C1E">
          <w:rPr>
            <w:rStyle w:val="Hyperlink"/>
          </w:rPr>
          <w:t>https://www.nj.gov/dcf/families/support/success/</w:t>
        </w:r>
      </w:hyperlink>
    </w:p>
    <w:p w14:paraId="2D90EC14" w14:textId="21A6339F" w:rsidR="002D3508" w:rsidRPr="00EC66DA" w:rsidRDefault="002D3508" w:rsidP="00454F1E">
      <w:pPr>
        <w:pStyle w:val="ListParagraph"/>
        <w:numPr>
          <w:ilvl w:val="0"/>
          <w:numId w:val="71"/>
        </w:numPr>
      </w:pPr>
      <w:r>
        <w:t xml:space="preserve">One-Stop Career Centers are listed at: </w:t>
      </w:r>
      <w:hyperlink r:id="rId22" w:history="1">
        <w:r w:rsidRPr="008C3C1E">
          <w:rPr>
            <w:rStyle w:val="Hyperlink"/>
          </w:rPr>
          <w:t>https://nj.gov/labor/career-services/job-search/get-support/onestoplocations.shtml</w:t>
        </w:r>
      </w:hyperlink>
    </w:p>
    <w:p w14:paraId="1B6F856D" w14:textId="0F84EB96" w:rsidR="00FF43A7" w:rsidRDefault="00FF43A7">
      <w:r>
        <w:br w:type="page"/>
      </w:r>
    </w:p>
    <w:p w14:paraId="7DCC5C76" w14:textId="06C75578" w:rsidR="00713F77" w:rsidRDefault="00713F77" w:rsidP="00713F77">
      <w:pPr>
        <w:pStyle w:val="Heading3"/>
      </w:pPr>
      <w:bookmarkStart w:id="66" w:name="_Toc230012692"/>
      <w:r>
        <w:lastRenderedPageBreak/>
        <w:t>Syndicator/Investor Commitment</w:t>
      </w:r>
      <w:bookmarkEnd w:id="66"/>
    </w:p>
    <w:p w14:paraId="674402A6" w14:textId="4EA7F4E3" w:rsidR="000C0537" w:rsidRPr="009852BD" w:rsidRDefault="000C0537" w:rsidP="000C0537">
      <w:r w:rsidRPr="00E84F60">
        <w:rPr>
          <w:b/>
          <w:bCs/>
        </w:rPr>
        <w:t>Point Option:</w:t>
      </w:r>
      <w:r>
        <w:t xml:space="preserve"> </w:t>
      </w:r>
      <w:r w:rsidR="00101909">
        <w:t>Application includes commitment letter signed by the syndicator/investor or executed partnership agreement/operating agreement specifying net pricing and net capital contributions within NJHMFA’s equity range — 3 points</w:t>
      </w:r>
    </w:p>
    <w:p w14:paraId="37268860" w14:textId="369A619D" w:rsidR="000C0537" w:rsidRDefault="000C0537" w:rsidP="000C0537">
      <w:r w:rsidRPr="00E84F60">
        <w:rPr>
          <w:b/>
          <w:bCs/>
        </w:rPr>
        <w:t>Required Information:</w:t>
      </w:r>
      <w:r>
        <w:t xml:space="preserve"> </w:t>
      </w:r>
      <w:r w:rsidR="00101909">
        <w:t>None</w:t>
      </w:r>
    </w:p>
    <w:p w14:paraId="5C4A9E32" w14:textId="4DD974A6" w:rsidR="000C0537" w:rsidRPr="00EC66DA" w:rsidRDefault="000C0537" w:rsidP="000C0537">
      <w:r w:rsidRPr="00E84F60">
        <w:rPr>
          <w:b/>
          <w:bCs/>
        </w:rPr>
        <w:t>Required Attachments:</w:t>
      </w:r>
      <w:r>
        <w:t xml:space="preserve"> </w:t>
      </w:r>
      <w:r w:rsidR="00C17BFE">
        <w:t>See</w:t>
      </w:r>
      <w:r w:rsidR="00101909">
        <w:t xml:space="preserve"> Part II, Section 6</w:t>
      </w:r>
    </w:p>
    <w:p w14:paraId="35A3BD68" w14:textId="240DD013" w:rsidR="000C0537" w:rsidRDefault="000C0537" w:rsidP="000C0537">
      <w:r w:rsidRPr="00EC66DA">
        <w:rPr>
          <w:b/>
          <w:bCs/>
        </w:rPr>
        <w:t>Notes:</w:t>
      </w:r>
    </w:p>
    <w:p w14:paraId="0F6B57A3" w14:textId="77777777" w:rsidR="00101909" w:rsidRDefault="00101909" w:rsidP="00101909">
      <w:pPr>
        <w:pStyle w:val="ListParagraph"/>
        <w:numPr>
          <w:ilvl w:val="0"/>
          <w:numId w:val="53"/>
        </w:numPr>
      </w:pPr>
      <w:r w:rsidRPr="00101909">
        <w:t>Applicants utilizing the credits themselves do not have to submit a syndicator letter to receive the points.</w:t>
      </w:r>
    </w:p>
    <w:p w14:paraId="169D9EDC" w14:textId="26DD35F2" w:rsidR="00101909" w:rsidRDefault="00101909" w:rsidP="00101909">
      <w:pPr>
        <w:pStyle w:val="ListParagraph"/>
        <w:numPr>
          <w:ilvl w:val="0"/>
          <w:numId w:val="53"/>
        </w:numPr>
      </w:pPr>
      <w:r w:rsidRPr="00101909">
        <w:t>Term sheets do not qualify for these points.</w:t>
      </w:r>
    </w:p>
    <w:p w14:paraId="5E25D759" w14:textId="79C101EB" w:rsidR="00FF43A7" w:rsidRDefault="00FF43A7"/>
    <w:p w14:paraId="73286D74" w14:textId="1A6CCA98" w:rsidR="00713F77" w:rsidRDefault="00713F77" w:rsidP="00713F77">
      <w:pPr>
        <w:pStyle w:val="Heading3"/>
      </w:pPr>
      <w:bookmarkStart w:id="67" w:name="_Toc230012693"/>
      <w:r>
        <w:t xml:space="preserve">Future-Ready </w:t>
      </w:r>
      <w:r w:rsidR="009B08B6">
        <w:t>Design</w:t>
      </w:r>
      <w:bookmarkEnd w:id="67"/>
    </w:p>
    <w:p w14:paraId="3132AEC8" w14:textId="528198ED" w:rsidR="00CC710B" w:rsidRPr="00CC710B" w:rsidRDefault="00CC710B" w:rsidP="00CC710B">
      <w:r>
        <w:t xml:space="preserve">Please refer to the 2026 Future Ready Design Guide for forms and submission requirements: </w:t>
      </w:r>
      <w:hyperlink r:id="rId23" w:history="1">
        <w:r w:rsidRPr="008C3C1E">
          <w:rPr>
            <w:rStyle w:val="Hyperlink"/>
          </w:rPr>
          <w:t>https://www.nj.gov/dca/hmfa/developers/docs/lihtc/green/tc_green_qap_green_requirements.pdf</w:t>
        </w:r>
      </w:hyperlink>
    </w:p>
    <w:p w14:paraId="5431996B" w14:textId="0DD784AE" w:rsidR="00CC710B" w:rsidRDefault="00752165" w:rsidP="00752165">
      <w:r w:rsidRPr="00E84F60">
        <w:rPr>
          <w:b/>
          <w:bCs/>
        </w:rPr>
        <w:t>Point Option</w:t>
      </w:r>
      <w:r>
        <w:rPr>
          <w:b/>
          <w:bCs/>
        </w:rPr>
        <w:t>s</w:t>
      </w:r>
      <w:r w:rsidRPr="00E84F60">
        <w:rPr>
          <w:b/>
          <w:bCs/>
        </w:rPr>
        <w:t>:</w:t>
      </w:r>
    </w:p>
    <w:p w14:paraId="394371A1" w14:textId="203C8F0B" w:rsidR="00CC710B" w:rsidRDefault="00CC710B" w:rsidP="00454F1E">
      <w:pPr>
        <w:pStyle w:val="ListParagraph"/>
        <w:numPr>
          <w:ilvl w:val="0"/>
          <w:numId w:val="67"/>
        </w:numPr>
      </w:pPr>
      <w:r>
        <w:t>Enterprise Green Communities, Mandatory + 40 optional points or higher with future-ready selections — 4 points</w:t>
      </w:r>
    </w:p>
    <w:p w14:paraId="6B6B053A" w14:textId="3D89ACE7" w:rsidR="00CC710B" w:rsidRDefault="00CC710B" w:rsidP="00454F1E">
      <w:pPr>
        <w:pStyle w:val="ListParagraph"/>
        <w:numPr>
          <w:ilvl w:val="0"/>
          <w:numId w:val="67"/>
        </w:numPr>
      </w:pPr>
      <w:r>
        <w:t>Leadership in Energy and Environmental Design (LEED), Silver or higher with future-ready selections — 4 points</w:t>
      </w:r>
    </w:p>
    <w:p w14:paraId="03B476D0" w14:textId="72535E25" w:rsidR="00CC710B" w:rsidRDefault="00CC710B" w:rsidP="00454F1E">
      <w:pPr>
        <w:pStyle w:val="ListParagraph"/>
        <w:numPr>
          <w:ilvl w:val="0"/>
          <w:numId w:val="67"/>
        </w:numPr>
      </w:pPr>
      <w:r>
        <w:t>National Green Building Standard (NGBS), Silver or higher with future-ready selections — 4 points</w:t>
      </w:r>
    </w:p>
    <w:p w14:paraId="3D3EBD0A" w14:textId="60C4897A" w:rsidR="00CC710B" w:rsidRDefault="00CC710B" w:rsidP="00454F1E">
      <w:pPr>
        <w:pStyle w:val="ListParagraph"/>
        <w:numPr>
          <w:ilvl w:val="0"/>
          <w:numId w:val="67"/>
        </w:numPr>
      </w:pPr>
      <w:r>
        <w:t>NJ Zero Energy Ready Homes + renewables — 4 points</w:t>
      </w:r>
    </w:p>
    <w:p w14:paraId="2AE6FA4E" w14:textId="27CFA9BE" w:rsidR="00CC710B" w:rsidRDefault="00CC710B" w:rsidP="00454F1E">
      <w:pPr>
        <w:pStyle w:val="ListParagraph"/>
        <w:numPr>
          <w:ilvl w:val="0"/>
          <w:numId w:val="67"/>
        </w:numPr>
      </w:pPr>
      <w:r>
        <w:t>Living Building Challenge — 4 points</w:t>
      </w:r>
    </w:p>
    <w:p w14:paraId="2D450BF3" w14:textId="083E0C4F" w:rsidR="00CC710B" w:rsidRDefault="00CC710B" w:rsidP="00454F1E">
      <w:pPr>
        <w:pStyle w:val="ListParagraph"/>
        <w:numPr>
          <w:ilvl w:val="0"/>
          <w:numId w:val="67"/>
        </w:numPr>
      </w:pPr>
      <w:r>
        <w:t>Passive House — 4 points</w:t>
      </w:r>
    </w:p>
    <w:p w14:paraId="413C99C9" w14:textId="13FE9023" w:rsidR="00CC710B" w:rsidRDefault="00CC710B" w:rsidP="00454F1E">
      <w:pPr>
        <w:pStyle w:val="ListParagraph"/>
        <w:numPr>
          <w:ilvl w:val="0"/>
          <w:numId w:val="67"/>
        </w:numPr>
      </w:pPr>
      <w:r>
        <w:t>Enterprise Green Communities, Mandatory + 40 optional points — 3 points</w:t>
      </w:r>
    </w:p>
    <w:p w14:paraId="4DADC799" w14:textId="7CE5CBB4" w:rsidR="00CC710B" w:rsidRDefault="00CC710B" w:rsidP="00454F1E">
      <w:pPr>
        <w:pStyle w:val="ListParagraph"/>
        <w:numPr>
          <w:ilvl w:val="0"/>
          <w:numId w:val="67"/>
        </w:numPr>
      </w:pPr>
      <w:r>
        <w:t>Leadership in Energy and Environmental Design (LEED), Silver or higher — 3 points</w:t>
      </w:r>
    </w:p>
    <w:p w14:paraId="01C51AA7" w14:textId="3B78EB90" w:rsidR="00CC710B" w:rsidRPr="009852BD" w:rsidRDefault="00CC710B" w:rsidP="00454F1E">
      <w:pPr>
        <w:pStyle w:val="ListParagraph"/>
        <w:numPr>
          <w:ilvl w:val="0"/>
          <w:numId w:val="67"/>
        </w:numPr>
      </w:pPr>
      <w:r w:rsidRPr="00CC710B">
        <w:t>National Green Building Standard (NGBS), Silver or higher</w:t>
      </w:r>
      <w:r>
        <w:t xml:space="preserve"> — 3 points</w:t>
      </w:r>
    </w:p>
    <w:p w14:paraId="0503206E" w14:textId="22B997F7" w:rsidR="00752165" w:rsidRDefault="00752165" w:rsidP="00752165">
      <w:r w:rsidRPr="00E84F60">
        <w:rPr>
          <w:b/>
          <w:bCs/>
        </w:rPr>
        <w:t>Required Information:</w:t>
      </w:r>
      <w:r>
        <w:t xml:space="preserve"> </w:t>
      </w:r>
      <w:r w:rsidR="00CC710B">
        <w:t>See Future Ready Design Guide.</w:t>
      </w:r>
    </w:p>
    <w:p w14:paraId="63FFDD26" w14:textId="1EE95632" w:rsidR="00752165" w:rsidRDefault="00752165" w:rsidP="00752165">
      <w:r w:rsidRPr="00E84F60">
        <w:rPr>
          <w:b/>
          <w:bCs/>
        </w:rPr>
        <w:t>Required Attachments:</w:t>
      </w:r>
    </w:p>
    <w:p w14:paraId="459FCF87" w14:textId="025A3715" w:rsidR="00CC710B" w:rsidRDefault="00CC710B" w:rsidP="00454F1E">
      <w:pPr>
        <w:pStyle w:val="ListParagraph"/>
        <w:numPr>
          <w:ilvl w:val="0"/>
          <w:numId w:val="68"/>
        </w:numPr>
      </w:pPr>
      <w:r>
        <w:t>S</w:t>
      </w:r>
      <w:r w:rsidRPr="00CC710B">
        <w:t>igned contract with the appropriate professional</w:t>
      </w:r>
      <w:r>
        <w:t>.</w:t>
      </w:r>
    </w:p>
    <w:p w14:paraId="46D4DD58" w14:textId="67AF312A" w:rsidR="00CC710B" w:rsidRDefault="00CC710B" w:rsidP="00454F1E">
      <w:pPr>
        <w:pStyle w:val="ListParagraph"/>
        <w:numPr>
          <w:ilvl w:val="0"/>
          <w:numId w:val="68"/>
        </w:numPr>
      </w:pPr>
      <w:r w:rsidRPr="00CC710B">
        <w:t xml:space="preserve">Signed Letter of Intent (see </w:t>
      </w:r>
      <w:r>
        <w:t>Future Ready Design Guide</w:t>
      </w:r>
      <w:r w:rsidRPr="00CC710B">
        <w:t xml:space="preserve"> for form)</w:t>
      </w:r>
      <w:r>
        <w:t>.</w:t>
      </w:r>
    </w:p>
    <w:p w14:paraId="1F831B8D" w14:textId="064C4DE5" w:rsidR="00132A04" w:rsidRPr="00EC66DA" w:rsidRDefault="00132A04" w:rsidP="00454F1E">
      <w:pPr>
        <w:pStyle w:val="ListParagraph"/>
        <w:numPr>
          <w:ilvl w:val="0"/>
          <w:numId w:val="68"/>
        </w:numPr>
      </w:pPr>
      <w:r>
        <w:t>If applicable, completed Future Ready Selections (see pages 9 and 10 of the Future Ready Design Guide for form).</w:t>
      </w:r>
    </w:p>
    <w:p w14:paraId="69D3D5B1" w14:textId="38550FBA" w:rsidR="00752165" w:rsidRDefault="00752165" w:rsidP="00752165">
      <w:r w:rsidRPr="00EC66DA">
        <w:rPr>
          <w:b/>
          <w:bCs/>
        </w:rPr>
        <w:t>Note:</w:t>
      </w:r>
      <w:r>
        <w:t xml:space="preserve"> </w:t>
      </w:r>
      <w:r w:rsidR="00CC710B">
        <w:t xml:space="preserve">You must identify </w:t>
      </w:r>
      <w:r w:rsidR="00132A04">
        <w:t>the future-ready selections for your project to receive the 4 points for the relevant point options.</w:t>
      </w:r>
    </w:p>
    <w:p w14:paraId="245D3654" w14:textId="479BD22A" w:rsidR="00FF43A7" w:rsidRDefault="00FF43A7">
      <w:r>
        <w:br w:type="page"/>
      </w:r>
    </w:p>
    <w:p w14:paraId="64C3CCA7" w14:textId="468F0799" w:rsidR="00713F77" w:rsidRDefault="00713F77" w:rsidP="00713F77">
      <w:pPr>
        <w:pStyle w:val="Heading3"/>
      </w:pPr>
      <w:bookmarkStart w:id="68" w:name="_Toc230012694"/>
      <w:r>
        <w:lastRenderedPageBreak/>
        <w:t>High Opportunity Areas</w:t>
      </w:r>
      <w:bookmarkEnd w:id="68"/>
    </w:p>
    <w:p w14:paraId="0A49E30D" w14:textId="3ADDBE77" w:rsidR="002D3508" w:rsidRDefault="00752165" w:rsidP="00752165">
      <w:r w:rsidRPr="00E84F60">
        <w:rPr>
          <w:b/>
          <w:bCs/>
        </w:rPr>
        <w:t>Point Option</w:t>
      </w:r>
      <w:r>
        <w:rPr>
          <w:b/>
          <w:bCs/>
        </w:rPr>
        <w:t>s</w:t>
      </w:r>
      <w:r w:rsidRPr="00E84F60">
        <w:rPr>
          <w:b/>
          <w:bCs/>
        </w:rPr>
        <w:t>:</w:t>
      </w:r>
    </w:p>
    <w:p w14:paraId="7EB9CDCD" w14:textId="20B30A96" w:rsidR="00752165" w:rsidRDefault="002D3508" w:rsidP="00752165">
      <w:r>
        <w:t>Up to 12 points</w:t>
      </w:r>
      <w:r w:rsidR="00D96B1D">
        <w:t xml:space="preserve"> (Family Cycle) or 4 points (Age-Friendly Senior Cycle and Supportive Housing Cycle)</w:t>
      </w:r>
      <w:r>
        <w:t xml:space="preserve"> for:</w:t>
      </w:r>
    </w:p>
    <w:p w14:paraId="103ACD2C" w14:textId="4624AC33" w:rsidR="002D3508" w:rsidRDefault="00A2102D" w:rsidP="00454F1E">
      <w:pPr>
        <w:pStyle w:val="ListParagraph"/>
        <w:numPr>
          <w:ilvl w:val="0"/>
          <w:numId w:val="72"/>
        </w:numPr>
      </w:pPr>
      <w:r w:rsidRPr="00CD2A7E">
        <w:rPr>
          <w:b/>
          <w:bCs/>
        </w:rPr>
        <w:t>Redevelopment project, rehabilitation of historic buildings, or project that involves the adaptive reuse of a non-residential building — 1 point</w:t>
      </w:r>
    </w:p>
    <w:p w14:paraId="5AED7E28" w14:textId="711637C2" w:rsidR="00CD2A7E" w:rsidRDefault="00CD2A7E" w:rsidP="00DA5393">
      <w:pPr>
        <w:pStyle w:val="ListParagraph"/>
      </w:pPr>
      <w:r>
        <w:t>Redevelopment projects must be located within the boundary of an area in need of redevelopment or an area in need of rehabilitation as defined at N.J.S.A. 40A:12A-3 and consistent with the adopted redevelopment plan, which must have been approved by the municipal governing body no later than the application deadline.</w:t>
      </w:r>
    </w:p>
    <w:p w14:paraId="2370FDA8" w14:textId="2CA79EEC" w:rsidR="00CD2A7E" w:rsidRDefault="00CD2A7E" w:rsidP="00DA5393">
      <w:pPr>
        <w:pStyle w:val="ListParagraph"/>
      </w:pPr>
      <w:r>
        <w:t>To receive the point for historic building rehab or adaptive reuse, at least 40% of the units must be located within the historic building or building being adaptively reused.</w:t>
      </w:r>
    </w:p>
    <w:p w14:paraId="078816E1" w14:textId="09B60C42" w:rsidR="00A2102D" w:rsidRPr="00D96B1D" w:rsidRDefault="00A2102D" w:rsidP="00454F1E">
      <w:pPr>
        <w:pStyle w:val="ListParagraph"/>
        <w:numPr>
          <w:ilvl w:val="0"/>
          <w:numId w:val="72"/>
        </w:numPr>
        <w:rPr>
          <w:b/>
          <w:bCs/>
        </w:rPr>
      </w:pPr>
      <w:r w:rsidRPr="00D96B1D">
        <w:rPr>
          <w:b/>
          <w:bCs/>
        </w:rPr>
        <w:t>Proximity to public transportation and jobs — up to 5 points (Family Cycle ONLY):</w:t>
      </w:r>
    </w:p>
    <w:p w14:paraId="2D297C1B" w14:textId="57CA28E6" w:rsidR="00A2102D" w:rsidRDefault="00C14BFC" w:rsidP="00454F1E">
      <w:pPr>
        <w:pStyle w:val="ListParagraph"/>
        <w:numPr>
          <w:ilvl w:val="1"/>
          <w:numId w:val="72"/>
        </w:numPr>
      </w:pPr>
      <w:r>
        <w:t>F</w:t>
      </w:r>
      <w:r w:rsidR="00A2102D" w:rsidRPr="00A2102D">
        <w:t>ully located within a Transit Village district</w:t>
      </w:r>
      <w:r w:rsidR="00A2102D">
        <w:t xml:space="preserve"> — 5 points</w:t>
      </w:r>
    </w:p>
    <w:p w14:paraId="4078DAF2" w14:textId="065A4BF4" w:rsidR="00A2102D" w:rsidRDefault="00C14BFC" w:rsidP="00454F1E">
      <w:pPr>
        <w:pStyle w:val="ListParagraph"/>
        <w:numPr>
          <w:ilvl w:val="1"/>
          <w:numId w:val="72"/>
        </w:numPr>
      </w:pPr>
      <w:r>
        <w:t>F</w:t>
      </w:r>
      <w:r w:rsidR="00A2102D" w:rsidRPr="00A2102D">
        <w:t xml:space="preserve">ully located within </w:t>
      </w:r>
      <w:r w:rsidR="00A2102D">
        <w:t xml:space="preserve">¼ </w:t>
      </w:r>
      <w:r w:rsidR="00A2102D" w:rsidRPr="00A2102D">
        <w:t>mile of public transportation</w:t>
      </w:r>
      <w:r>
        <w:t xml:space="preserve"> </w:t>
      </w:r>
      <w:r w:rsidR="00A2102D" w:rsidRPr="00A2102D">
        <w:t>operated by publicly owned entity or authority</w:t>
      </w:r>
      <w:r w:rsidR="00A2102D">
        <w:t xml:space="preserve"> — 3 points</w:t>
      </w:r>
    </w:p>
    <w:p w14:paraId="452D23B1" w14:textId="681C2A03" w:rsidR="00A2102D" w:rsidRDefault="00C14BFC" w:rsidP="00454F1E">
      <w:pPr>
        <w:pStyle w:val="ListParagraph"/>
        <w:numPr>
          <w:ilvl w:val="1"/>
          <w:numId w:val="72"/>
        </w:numPr>
      </w:pPr>
      <w:r>
        <w:t>F</w:t>
      </w:r>
      <w:r w:rsidR="00A2102D" w:rsidRPr="00A2102D">
        <w:t xml:space="preserve">ully located within </w:t>
      </w:r>
      <w:r w:rsidR="00A2102D">
        <w:t xml:space="preserve">½ </w:t>
      </w:r>
      <w:r w:rsidR="00A2102D" w:rsidRPr="00A2102D">
        <w:t>mile of public transportation operated by publicly owned entity or authority</w:t>
      </w:r>
      <w:r w:rsidR="00A2102D">
        <w:t xml:space="preserve"> — 2 points</w:t>
      </w:r>
    </w:p>
    <w:p w14:paraId="07F1F73C" w14:textId="6B2BE4DB" w:rsidR="00A2102D" w:rsidRDefault="002837A7" w:rsidP="00454F1E">
      <w:pPr>
        <w:pStyle w:val="ListParagraph"/>
        <w:numPr>
          <w:ilvl w:val="1"/>
          <w:numId w:val="72"/>
        </w:numPr>
      </w:pPr>
      <w:r>
        <w:t>F</w:t>
      </w:r>
      <w:r w:rsidR="00A2102D" w:rsidRPr="00A2102D">
        <w:t xml:space="preserve">ully located within </w:t>
      </w:r>
      <w:r w:rsidR="00A2102D">
        <w:t>½</w:t>
      </w:r>
      <w:r w:rsidR="00A2102D" w:rsidRPr="00A2102D">
        <w:t xml:space="preserve"> mile of public transportation that is </w:t>
      </w:r>
      <w:r w:rsidR="00A2102D">
        <w:t>paid for by the development — 1 point</w:t>
      </w:r>
    </w:p>
    <w:p w14:paraId="5B2FD541" w14:textId="00D2F3F6" w:rsidR="00A2102D" w:rsidRDefault="00A2102D" w:rsidP="00454F1E">
      <w:pPr>
        <w:pStyle w:val="ListParagraph"/>
        <w:numPr>
          <w:ilvl w:val="1"/>
          <w:numId w:val="72"/>
        </w:numPr>
      </w:pPr>
      <w:r w:rsidRPr="00A2102D">
        <w:t xml:space="preserve">If the project receives at least </w:t>
      </w:r>
      <w:r w:rsidR="006234E6">
        <w:t>1</w:t>
      </w:r>
      <w:r w:rsidR="00D96B1D">
        <w:t xml:space="preserve"> public</w:t>
      </w:r>
      <w:r w:rsidRPr="00A2102D">
        <w:t xml:space="preserve"> transportation point as listed above</w:t>
      </w:r>
      <w:r>
        <w:t>, up to 2 additional points if:</w:t>
      </w:r>
    </w:p>
    <w:p w14:paraId="7FA99C67" w14:textId="5E5424AA" w:rsidR="00A2102D" w:rsidRDefault="00A2102D" w:rsidP="00454F1E">
      <w:pPr>
        <w:pStyle w:val="ListParagraph"/>
        <w:numPr>
          <w:ilvl w:val="2"/>
          <w:numId w:val="72"/>
        </w:numPr>
      </w:pPr>
      <w:r>
        <w:t>The municipality in which it is fully located has a jobs-to-housing ratio of 1.5 or greater — 2 points</w:t>
      </w:r>
    </w:p>
    <w:p w14:paraId="4150E9F5" w14:textId="06D417FE" w:rsidR="00A2102D" w:rsidRDefault="00A2102D" w:rsidP="00454F1E">
      <w:pPr>
        <w:pStyle w:val="ListParagraph"/>
        <w:numPr>
          <w:ilvl w:val="2"/>
          <w:numId w:val="72"/>
        </w:numPr>
      </w:pPr>
      <w:r>
        <w:t>The municipality in which it is fully located has a jobs-to-housing ratio of 0.95–1.5 — 1 point</w:t>
      </w:r>
    </w:p>
    <w:p w14:paraId="22D65D5A" w14:textId="5916BEAC" w:rsidR="00A2102D" w:rsidRPr="00D96B1D" w:rsidRDefault="00D96B1D" w:rsidP="00454F1E">
      <w:pPr>
        <w:pStyle w:val="ListParagraph"/>
        <w:numPr>
          <w:ilvl w:val="0"/>
          <w:numId w:val="72"/>
        </w:numPr>
        <w:rPr>
          <w:b/>
          <w:bCs/>
        </w:rPr>
      </w:pPr>
      <w:r>
        <w:rPr>
          <w:b/>
          <w:bCs/>
        </w:rPr>
        <w:t>Proficient s</w:t>
      </w:r>
      <w:r w:rsidRPr="00D96B1D">
        <w:rPr>
          <w:b/>
          <w:bCs/>
        </w:rPr>
        <w:t>chool district — up to 3 points (Family Cycle ONLY):</w:t>
      </w:r>
    </w:p>
    <w:p w14:paraId="78C8E458" w14:textId="77777777" w:rsidR="00D96B1D" w:rsidRDefault="00D96B1D" w:rsidP="00454F1E">
      <w:pPr>
        <w:pStyle w:val="ListParagraph"/>
        <w:numPr>
          <w:ilvl w:val="1"/>
          <w:numId w:val="72"/>
        </w:numPr>
      </w:pPr>
      <w:r>
        <w:t>At least 66% of Grade 4 students are either Level 4 or Level 5 on the NJSLA in both Math and ELA — 3 points</w:t>
      </w:r>
    </w:p>
    <w:p w14:paraId="4DED0A51" w14:textId="4B440030" w:rsidR="00D96B1D" w:rsidRDefault="00D96B1D" w:rsidP="00454F1E">
      <w:pPr>
        <w:pStyle w:val="ListParagraph"/>
        <w:numPr>
          <w:ilvl w:val="1"/>
          <w:numId w:val="72"/>
        </w:numPr>
      </w:pPr>
      <w:r>
        <w:t>At least 50% of Grade 4 students are either Level 4 or Level 5 on the NJSLA in both Math and ELA, but the percentage of such students is below 66 for one or both subjects — 2 points</w:t>
      </w:r>
    </w:p>
    <w:p w14:paraId="022E9CAA" w14:textId="572B6EEF" w:rsidR="00D96B1D" w:rsidRDefault="00D96B1D" w:rsidP="00454F1E">
      <w:pPr>
        <w:pStyle w:val="ListParagraph"/>
        <w:numPr>
          <w:ilvl w:val="1"/>
          <w:numId w:val="72"/>
        </w:numPr>
      </w:pPr>
      <w:r>
        <w:t>At least 40% of Grade 4 students are either Level 4 or Level 5 on the NJSLA in both Math and ELA, but the percentage of such students is below 50 for one or both subjects — 1 point</w:t>
      </w:r>
    </w:p>
    <w:p w14:paraId="0A55452E" w14:textId="21F9F39E" w:rsidR="00D96B1D" w:rsidRDefault="00D96B1D" w:rsidP="00454F1E">
      <w:pPr>
        <w:pStyle w:val="ListParagraph"/>
        <w:numPr>
          <w:ilvl w:val="1"/>
          <w:numId w:val="72"/>
        </w:numPr>
      </w:pPr>
      <w:r>
        <w:t xml:space="preserve">If the project receives at least </w:t>
      </w:r>
      <w:r w:rsidR="006234E6">
        <w:t>1</w:t>
      </w:r>
      <w:r>
        <w:t xml:space="preserve"> proficient school district point as listed above and </w:t>
      </w:r>
      <w:r w:rsidR="006234E6">
        <w:t>school district participates in NJ’s Interdistrict Public School Choice Program starting no later than Grade 6 — 1 additional point</w:t>
      </w:r>
    </w:p>
    <w:p w14:paraId="60408E90" w14:textId="0E0F361D" w:rsidR="006234E6" w:rsidRPr="00DD19B7" w:rsidRDefault="006234E6" w:rsidP="00454F1E">
      <w:pPr>
        <w:pStyle w:val="ListParagraph"/>
        <w:numPr>
          <w:ilvl w:val="0"/>
          <w:numId w:val="72"/>
        </w:numPr>
        <w:rPr>
          <w:b/>
          <w:bCs/>
        </w:rPr>
      </w:pPr>
      <w:r w:rsidRPr="00DD19B7">
        <w:rPr>
          <w:b/>
          <w:bCs/>
        </w:rPr>
        <w:t>Municipal Revitalization Index</w:t>
      </w:r>
      <w:r w:rsidR="008513F7" w:rsidRPr="00DD19B7">
        <w:rPr>
          <w:b/>
          <w:bCs/>
        </w:rPr>
        <w:t xml:space="preserve"> and Fair Share Plan</w:t>
      </w:r>
      <w:r w:rsidRPr="00DD19B7">
        <w:rPr>
          <w:b/>
          <w:bCs/>
        </w:rPr>
        <w:t xml:space="preserve"> </w:t>
      </w:r>
      <w:r w:rsidR="00DD19B7">
        <w:rPr>
          <w:b/>
          <w:bCs/>
        </w:rPr>
        <w:t xml:space="preserve">— up to 3 points </w:t>
      </w:r>
      <w:r w:rsidRPr="00DD19B7">
        <w:rPr>
          <w:b/>
          <w:bCs/>
        </w:rPr>
        <w:t>(non-TUM projects ONLY):</w:t>
      </w:r>
    </w:p>
    <w:p w14:paraId="5A82AF61" w14:textId="449AF795" w:rsidR="006234E6" w:rsidRDefault="0062737A" w:rsidP="00454F1E">
      <w:pPr>
        <w:pStyle w:val="ListParagraph"/>
        <w:numPr>
          <w:ilvl w:val="1"/>
          <w:numId w:val="72"/>
        </w:numPr>
      </w:pPr>
      <w:r>
        <w:t>MRI Distress Rank of 283 or greater — 3 points</w:t>
      </w:r>
    </w:p>
    <w:p w14:paraId="3BCB8501" w14:textId="0BFBCD3B" w:rsidR="0062737A" w:rsidRDefault="0062737A" w:rsidP="00454F1E">
      <w:pPr>
        <w:pStyle w:val="ListParagraph"/>
        <w:numPr>
          <w:ilvl w:val="1"/>
          <w:numId w:val="72"/>
        </w:numPr>
      </w:pPr>
      <w:r>
        <w:t>MRI Distress Rank of 282 or less AND project satisfies municipal affordable housing obligation and is part of a court-approved municipal fair share housing development plan (non-senior projects ONLY) — 3 points</w:t>
      </w:r>
    </w:p>
    <w:p w14:paraId="690FB658" w14:textId="7BD60317" w:rsidR="0062737A" w:rsidRDefault="0062737A" w:rsidP="00454F1E">
      <w:pPr>
        <w:pStyle w:val="ListParagraph"/>
        <w:numPr>
          <w:ilvl w:val="1"/>
          <w:numId w:val="72"/>
        </w:numPr>
      </w:pPr>
      <w:r>
        <w:t>MRI Distress Rank of 282 or less — 2 points</w:t>
      </w:r>
    </w:p>
    <w:p w14:paraId="01CD6D4D" w14:textId="5EC16DEF" w:rsidR="00DD19B7" w:rsidRPr="00DD19B7" w:rsidRDefault="006234E6" w:rsidP="00454F1E">
      <w:pPr>
        <w:pStyle w:val="ListParagraph"/>
        <w:numPr>
          <w:ilvl w:val="0"/>
          <w:numId w:val="72"/>
        </w:numPr>
        <w:rPr>
          <w:b/>
          <w:bCs/>
        </w:rPr>
      </w:pPr>
      <w:r w:rsidRPr="00DD19B7">
        <w:rPr>
          <w:b/>
          <w:bCs/>
        </w:rPr>
        <w:t>Opportunity Zone</w:t>
      </w:r>
      <w:r w:rsidR="00DD19B7">
        <w:rPr>
          <w:b/>
          <w:bCs/>
        </w:rPr>
        <w:t xml:space="preserve"> — up to 2 points</w:t>
      </w:r>
      <w:r w:rsidRPr="00DD19B7">
        <w:rPr>
          <w:b/>
          <w:bCs/>
        </w:rPr>
        <w:t xml:space="preserve"> (TUM projects ONLY):</w:t>
      </w:r>
    </w:p>
    <w:p w14:paraId="0237E2CD" w14:textId="2819D357" w:rsidR="006234E6" w:rsidRDefault="00DA5393" w:rsidP="00454F1E">
      <w:pPr>
        <w:pStyle w:val="ListParagraph"/>
        <w:numPr>
          <w:ilvl w:val="1"/>
          <w:numId w:val="72"/>
        </w:numPr>
      </w:pPr>
      <w:r>
        <w:t>Project is in a census tract designated as an Opportunity Zone — 2 points</w:t>
      </w:r>
    </w:p>
    <w:p w14:paraId="62E4C94D" w14:textId="77777777" w:rsidR="008F6BE3" w:rsidRPr="009852BD" w:rsidRDefault="008F6BE3" w:rsidP="008F6BE3"/>
    <w:p w14:paraId="39191DE5" w14:textId="5AA9C10E" w:rsidR="00752165" w:rsidRDefault="00752165" w:rsidP="00752165">
      <w:r w:rsidRPr="00E84F60">
        <w:rPr>
          <w:b/>
          <w:bCs/>
        </w:rPr>
        <w:lastRenderedPageBreak/>
        <w:t>Required Information:</w:t>
      </w:r>
      <w:r>
        <w:t xml:space="preserve"> </w:t>
      </w:r>
      <w:r w:rsidR="001F5CF2">
        <w:t>None</w:t>
      </w:r>
    </w:p>
    <w:p w14:paraId="139CADBD" w14:textId="190A6746" w:rsidR="00752165" w:rsidRDefault="00752165" w:rsidP="00752165">
      <w:r w:rsidRPr="00E84F60">
        <w:rPr>
          <w:b/>
          <w:bCs/>
        </w:rPr>
        <w:t>Required Attachments:</w:t>
      </w:r>
    </w:p>
    <w:p w14:paraId="2622CC1C" w14:textId="7DC1B58B" w:rsidR="00CD2A7E" w:rsidRDefault="00CD2A7E" w:rsidP="00454F1E">
      <w:pPr>
        <w:pStyle w:val="ListParagraph"/>
        <w:numPr>
          <w:ilvl w:val="0"/>
          <w:numId w:val="73"/>
        </w:numPr>
      </w:pPr>
      <w:r>
        <w:t>Redevelopment projects (ALL of the following):</w:t>
      </w:r>
    </w:p>
    <w:p w14:paraId="43BF0716" w14:textId="68DCBE52" w:rsidR="00CD2A7E" w:rsidRDefault="00CD2A7E" w:rsidP="00454F1E">
      <w:pPr>
        <w:pStyle w:val="ListParagraph"/>
        <w:numPr>
          <w:ilvl w:val="1"/>
          <w:numId w:val="73"/>
        </w:numPr>
      </w:pPr>
      <w:r w:rsidRPr="00CD2A7E">
        <w:t>A copy of the resolution designating the area an Area in Need of Redevelopment or Area in Need of Rehabilitation;</w:t>
      </w:r>
    </w:p>
    <w:p w14:paraId="40883AB5" w14:textId="122AC8D2" w:rsidR="00CD2A7E" w:rsidRDefault="00CD2A7E" w:rsidP="00454F1E">
      <w:pPr>
        <w:pStyle w:val="ListParagraph"/>
        <w:numPr>
          <w:ilvl w:val="1"/>
          <w:numId w:val="73"/>
        </w:numPr>
      </w:pPr>
      <w:r w:rsidRPr="00CD2A7E">
        <w:t>A copy of the adopted Redevelopment Plan, approved by the municipal governing body or a copy of the Neighborhood Revitalization Plan, approved by the Commissioner of DCA.</w:t>
      </w:r>
    </w:p>
    <w:p w14:paraId="1C7499BF" w14:textId="025CEF98" w:rsidR="00CD2A7E" w:rsidRDefault="00CD2A7E" w:rsidP="00454F1E">
      <w:pPr>
        <w:pStyle w:val="ListParagraph"/>
        <w:numPr>
          <w:ilvl w:val="1"/>
          <w:numId w:val="73"/>
        </w:numPr>
      </w:pPr>
      <w:r w:rsidRPr="00CD2A7E">
        <w:t>A parcel map that delineates the redevelopment plan boundaries</w:t>
      </w:r>
      <w:r>
        <w:t>,</w:t>
      </w:r>
      <w:r w:rsidRPr="00CD2A7E">
        <w:t xml:space="preserve"> locates the subject LIHTC project within the boundaries</w:t>
      </w:r>
      <w:r>
        <w:t>,</w:t>
      </w:r>
      <w:r w:rsidRPr="00CD2A7E">
        <w:t xml:space="preserve"> and provides block and lot information for the project; and</w:t>
      </w:r>
    </w:p>
    <w:p w14:paraId="666AFD0D" w14:textId="27E6D3CD" w:rsidR="00CD2A7E" w:rsidRDefault="00CD2A7E" w:rsidP="00454F1E">
      <w:pPr>
        <w:pStyle w:val="ListParagraph"/>
        <w:numPr>
          <w:ilvl w:val="1"/>
          <w:numId w:val="73"/>
        </w:numPr>
      </w:pPr>
      <w:r>
        <w:t>A letter from the municipality stating that the project is consistent with and furthers the goals and objectives of the adopted redevelopment plan.</w:t>
      </w:r>
    </w:p>
    <w:p w14:paraId="009D795B" w14:textId="6DA9D10A" w:rsidR="00CD2A7E" w:rsidRDefault="00CD2A7E" w:rsidP="00454F1E">
      <w:pPr>
        <w:pStyle w:val="ListParagraph"/>
        <w:numPr>
          <w:ilvl w:val="0"/>
          <w:numId w:val="73"/>
        </w:numPr>
      </w:pPr>
      <w:r>
        <w:t>Historic buildings (ONE of the following</w:t>
      </w:r>
      <w:r w:rsidR="00135913">
        <w:t xml:space="preserve"> for each building</w:t>
      </w:r>
      <w:r>
        <w:t>):</w:t>
      </w:r>
    </w:p>
    <w:p w14:paraId="74AAF4E9" w14:textId="77777777" w:rsidR="00D96B1D" w:rsidRDefault="00135913" w:rsidP="00454F1E">
      <w:pPr>
        <w:pStyle w:val="ListParagraph"/>
        <w:numPr>
          <w:ilvl w:val="1"/>
          <w:numId w:val="73"/>
        </w:numPr>
      </w:pPr>
      <w:r>
        <w:t>Confirmation that the building is listed on the New Jersey or National Register of Historic Places either individually or as a contributing building to a historic district;</w:t>
      </w:r>
    </w:p>
    <w:p w14:paraId="65F61A26" w14:textId="30CAE33D" w:rsidR="00135913" w:rsidRDefault="00135913" w:rsidP="00454F1E">
      <w:pPr>
        <w:pStyle w:val="ListParagraph"/>
        <w:numPr>
          <w:ilvl w:val="1"/>
          <w:numId w:val="73"/>
        </w:numPr>
      </w:pPr>
      <w:r>
        <w:t>Determination of Eligibility issued to the building by the Keeper of the National Register of Historic Places</w:t>
      </w:r>
      <w:r w:rsidR="00D96B1D">
        <w:t>;</w:t>
      </w:r>
    </w:p>
    <w:p w14:paraId="5A548D8E" w14:textId="748D5EC4" w:rsidR="00135913" w:rsidRDefault="00135913" w:rsidP="00454F1E">
      <w:pPr>
        <w:pStyle w:val="ListParagraph"/>
        <w:numPr>
          <w:ilvl w:val="1"/>
          <w:numId w:val="73"/>
        </w:numPr>
      </w:pPr>
      <w:r>
        <w:t xml:space="preserve">Certification by the Keeper of the National Register that the building identified as a contributing building to </w:t>
      </w:r>
      <w:r w:rsidR="00D96B1D">
        <w:t xml:space="preserve">a </w:t>
      </w:r>
      <w:r>
        <w:t>Local Historic District substantially meet</w:t>
      </w:r>
      <w:r w:rsidR="00D96B1D">
        <w:t>s</w:t>
      </w:r>
      <w:r>
        <w:t xml:space="preserve"> the National Register Criteria</w:t>
      </w:r>
      <w:r w:rsidR="00D96B1D">
        <w:t>; or</w:t>
      </w:r>
    </w:p>
    <w:p w14:paraId="7EE0AB29" w14:textId="569648FD" w:rsidR="00CD2A7E" w:rsidRDefault="00135913" w:rsidP="00454F1E">
      <w:pPr>
        <w:pStyle w:val="ListParagraph"/>
        <w:numPr>
          <w:ilvl w:val="1"/>
          <w:numId w:val="73"/>
        </w:numPr>
      </w:pPr>
      <w:r>
        <w:t>State Historic Preservation Officer Opinion or Certification that the property is eligible to be listed on the National Register of Historic Places either individually</w:t>
      </w:r>
      <w:r w:rsidR="00D96B1D">
        <w:t xml:space="preserve"> or as a contributing building to a historic district.</w:t>
      </w:r>
    </w:p>
    <w:p w14:paraId="2E95E0B2" w14:textId="636A2364" w:rsidR="00D96B1D" w:rsidRDefault="00D96B1D" w:rsidP="00454F1E">
      <w:pPr>
        <w:pStyle w:val="ListParagraph"/>
        <w:numPr>
          <w:ilvl w:val="0"/>
          <w:numId w:val="73"/>
        </w:numPr>
      </w:pPr>
      <w:r>
        <w:t>Adaptive reuse: None, but NJHMFA will perform a site inspection to assess amenability of conversion to multifamily housing, and the development, design, and construction teams must demonstrate successful experience with the established methodologies required to produce an adaptive reuse project.</w:t>
      </w:r>
    </w:p>
    <w:p w14:paraId="1CFB1DFA" w14:textId="349223B9" w:rsidR="00D96B1D" w:rsidRDefault="001F5CF2" w:rsidP="00FF77F0">
      <w:pPr>
        <w:pStyle w:val="ListParagraph"/>
        <w:numPr>
          <w:ilvl w:val="0"/>
          <w:numId w:val="73"/>
        </w:numPr>
      </w:pPr>
      <w:r>
        <w:t>Public transportation and jobs:</w:t>
      </w:r>
      <w:r w:rsidR="00807519">
        <w:t xml:space="preserve"> </w:t>
      </w:r>
      <w:r w:rsidR="009F7B51">
        <w:t>C</w:t>
      </w:r>
      <w:r>
        <w:t>hart f</w:t>
      </w:r>
      <w:r w:rsidR="009F7B51">
        <w:t>rom</w:t>
      </w:r>
      <w:r>
        <w:t xml:space="preserve"> NJHMFA website </w:t>
      </w:r>
      <w:r w:rsidR="009F7B51">
        <w:t xml:space="preserve">with </w:t>
      </w:r>
      <w:r>
        <w:t>project</w:t>
      </w:r>
      <w:r w:rsidR="009F7B51">
        <w:t xml:space="preserve"> municipality highlighted</w:t>
      </w:r>
      <w:r>
        <w:t>:</w:t>
      </w:r>
      <w:r w:rsidR="009F7B51">
        <w:t xml:space="preserve"> </w:t>
      </w:r>
      <w:hyperlink r:id="rId24" w:history="1">
        <w:r w:rsidR="009F7B51" w:rsidRPr="00332408">
          <w:rPr>
            <w:rStyle w:val="Hyperlink"/>
          </w:rPr>
          <w:t>https://www.nj.gov/dca/hmfa/developers/docs/lihtc/tax/QAP_CalculationsJobStatisticsandTransitPoints.pdf</w:t>
        </w:r>
      </w:hyperlink>
    </w:p>
    <w:p w14:paraId="17D66F4E" w14:textId="4CCB6FCB" w:rsidR="001F5CF2" w:rsidRDefault="00836180" w:rsidP="00454F1E">
      <w:pPr>
        <w:pStyle w:val="ListParagraph"/>
        <w:numPr>
          <w:ilvl w:val="0"/>
          <w:numId w:val="73"/>
        </w:numPr>
      </w:pPr>
      <w:r>
        <w:t xml:space="preserve">School districts: </w:t>
      </w:r>
      <w:r w:rsidR="009F7B51">
        <w:t>C</w:t>
      </w:r>
      <w:r>
        <w:t>hart f</w:t>
      </w:r>
      <w:r w:rsidR="009F7B51">
        <w:t>rom</w:t>
      </w:r>
      <w:r>
        <w:t xml:space="preserve"> NJ</w:t>
      </w:r>
      <w:r w:rsidR="009F7B51">
        <w:t>HMFA website with project school district highlighted</w:t>
      </w:r>
      <w:r>
        <w:t xml:space="preserve">: </w:t>
      </w:r>
      <w:hyperlink r:id="rId25" w:history="1">
        <w:r w:rsidR="00BA4D38">
          <w:rPr>
            <w:rStyle w:val="Hyperlink"/>
          </w:rPr>
          <w:t>https://www.nj.gov/dca/hmfa/developers/docs/lihtc/tax/2026_proficient_schools.pdf</w:t>
        </w:r>
      </w:hyperlink>
    </w:p>
    <w:p w14:paraId="37F06807" w14:textId="365C9D9C" w:rsidR="00836180" w:rsidRDefault="00836180" w:rsidP="00454F1E">
      <w:pPr>
        <w:pStyle w:val="ListParagraph"/>
        <w:numPr>
          <w:ilvl w:val="0"/>
          <w:numId w:val="73"/>
        </w:numPr>
      </w:pPr>
      <w:r>
        <w:t>MRI and Fair Share Plan:</w:t>
      </w:r>
    </w:p>
    <w:p w14:paraId="05F3B364" w14:textId="0F8E470A" w:rsidR="00836180" w:rsidRDefault="00836180" w:rsidP="00454F1E">
      <w:pPr>
        <w:pStyle w:val="ListParagraph"/>
        <w:numPr>
          <w:ilvl w:val="1"/>
          <w:numId w:val="73"/>
        </w:numPr>
      </w:pPr>
      <w:r>
        <w:t>MRI list</w:t>
      </w:r>
      <w:r w:rsidR="009F7B51">
        <w:t xml:space="preserve"> with</w:t>
      </w:r>
      <w:r>
        <w:t xml:space="preserve"> project municipality</w:t>
      </w:r>
      <w:r w:rsidR="009F7B51">
        <w:t xml:space="preserve"> highlighted</w:t>
      </w:r>
      <w:r>
        <w:t>:</w:t>
      </w:r>
      <w:r w:rsidR="009F7B51">
        <w:t xml:space="preserve"> </w:t>
      </w:r>
      <w:hyperlink r:id="rId26" w:history="1">
        <w:r w:rsidRPr="00332408">
          <w:rPr>
            <w:rStyle w:val="Hyperlink"/>
          </w:rPr>
          <w:t>https://www.nj.gov/dca/home/MuniRevitIndex.html</w:t>
        </w:r>
      </w:hyperlink>
    </w:p>
    <w:p w14:paraId="5AB6A9F5" w14:textId="63FFB9F5" w:rsidR="00836180" w:rsidRDefault="00836180" w:rsidP="00454F1E">
      <w:pPr>
        <w:pStyle w:val="ListParagraph"/>
        <w:numPr>
          <w:ilvl w:val="1"/>
          <w:numId w:val="73"/>
        </w:numPr>
      </w:pPr>
      <w:r>
        <w:t>If applicable, the fair share plan listing the project and/or evidence of court approval.</w:t>
      </w:r>
    </w:p>
    <w:p w14:paraId="329D4B15" w14:textId="21AA89BD" w:rsidR="00836180" w:rsidRPr="00EC66DA" w:rsidRDefault="00836180" w:rsidP="00454F1E">
      <w:pPr>
        <w:pStyle w:val="ListParagraph"/>
        <w:numPr>
          <w:ilvl w:val="0"/>
          <w:numId w:val="73"/>
        </w:numPr>
      </w:pPr>
      <w:r>
        <w:t>Opportunity Zone: O</w:t>
      </w:r>
      <w:r w:rsidR="009F7B51">
        <w:t>Z</w:t>
      </w:r>
      <w:r>
        <w:t xml:space="preserve"> list/map </w:t>
      </w:r>
      <w:r w:rsidR="009F7B51">
        <w:t>with</w:t>
      </w:r>
      <w:r>
        <w:t xml:space="preserve"> project location</w:t>
      </w:r>
      <w:r w:rsidR="009F7B51">
        <w:t xml:space="preserve"> highlighted</w:t>
      </w:r>
      <w:r>
        <w:t>:</w:t>
      </w:r>
      <w:r w:rsidR="009F7B51">
        <w:t xml:space="preserve"> </w:t>
      </w:r>
      <w:hyperlink r:id="rId27" w:history="1">
        <w:r w:rsidRPr="00332408">
          <w:rPr>
            <w:rStyle w:val="Hyperlink"/>
          </w:rPr>
          <w:t>https://www.nj.gov/dca/dlps/home/opp_zones.shtml</w:t>
        </w:r>
      </w:hyperlink>
    </w:p>
    <w:p w14:paraId="7C35977A" w14:textId="2A5CD095" w:rsidR="00CD2A7E" w:rsidRDefault="00752165" w:rsidP="00752165">
      <w:r w:rsidRPr="00EC66DA">
        <w:rPr>
          <w:b/>
          <w:bCs/>
        </w:rPr>
        <w:t>Note:</w:t>
      </w:r>
      <w:r>
        <w:t xml:space="preserve"> </w:t>
      </w:r>
      <w:r w:rsidR="00836180">
        <w:t xml:space="preserve">Issuance of </w:t>
      </w:r>
      <w:r w:rsidR="00CD2A7E" w:rsidRPr="00B01F46">
        <w:t xml:space="preserve">Form 8609(s) </w:t>
      </w:r>
      <w:r w:rsidR="00836180">
        <w:t>wi</w:t>
      </w:r>
      <w:r w:rsidR="00CD2A7E" w:rsidRPr="00B01F46">
        <w:t>ll be subject to evidence of fully operational public transportation, as defined in the QAP.</w:t>
      </w:r>
    </w:p>
    <w:p w14:paraId="520FE1B9" w14:textId="46535BA9" w:rsidR="00FF43A7" w:rsidRDefault="00FF43A7">
      <w:r>
        <w:br w:type="page"/>
      </w:r>
    </w:p>
    <w:p w14:paraId="4100BAB5" w14:textId="1671CB9E" w:rsidR="00713F77" w:rsidRDefault="00713F77" w:rsidP="00713F77">
      <w:pPr>
        <w:pStyle w:val="Heading3"/>
      </w:pPr>
      <w:bookmarkStart w:id="69" w:name="_Toc230012695"/>
      <w:r>
        <w:lastRenderedPageBreak/>
        <w:t>Successful Development Experience</w:t>
      </w:r>
      <w:bookmarkEnd w:id="69"/>
    </w:p>
    <w:p w14:paraId="7E34FE47" w14:textId="7D81D9FB" w:rsidR="00FF43A7" w:rsidRDefault="00FF43A7" w:rsidP="00FF43A7">
      <w:r w:rsidRPr="00E84F60">
        <w:rPr>
          <w:b/>
          <w:bCs/>
        </w:rPr>
        <w:t>Point Option</w:t>
      </w:r>
      <w:r>
        <w:rPr>
          <w:b/>
          <w:bCs/>
        </w:rPr>
        <w:t>s</w:t>
      </w:r>
      <w:r w:rsidRPr="00E84F60">
        <w:rPr>
          <w:b/>
          <w:bCs/>
        </w:rPr>
        <w:t>:</w:t>
      </w:r>
      <w:r>
        <w:t xml:space="preserve"> </w:t>
      </w:r>
      <w:r w:rsidR="00512871">
        <w:t>Application has a g</w:t>
      </w:r>
      <w:r>
        <w:t>eneral partner, voting member, or related party</w:t>
      </w:r>
      <w:r w:rsidR="00512871">
        <w:t xml:space="preserve"> (with at least a 50% interest in the general partner/managing member) that has s</w:t>
      </w:r>
      <w:r w:rsidR="00512871" w:rsidRPr="00512871">
        <w:t>uccessfully developed and operated</w:t>
      </w:r>
      <w:r w:rsidR="00512871">
        <w:t>:</w:t>
      </w:r>
    </w:p>
    <w:p w14:paraId="3F6A82E9" w14:textId="3A4350CA" w:rsidR="00FF43A7" w:rsidRDefault="00512871" w:rsidP="00FF43A7">
      <w:pPr>
        <w:pStyle w:val="ListParagraph"/>
        <w:numPr>
          <w:ilvl w:val="0"/>
          <w:numId w:val="54"/>
        </w:numPr>
      </w:pPr>
      <w:r>
        <w:t>A</w:t>
      </w:r>
      <w:r w:rsidRPr="00512871">
        <w:t xml:space="preserve">t least </w:t>
      </w:r>
      <w:r>
        <w:t>2</w:t>
      </w:r>
      <w:r w:rsidRPr="00512871">
        <w:t xml:space="preserve"> other LIHTC projects (with at least a 50</w:t>
      </w:r>
      <w:r>
        <w:t>%</w:t>
      </w:r>
      <w:r w:rsidRPr="00512871">
        <w:t xml:space="preserve"> interest in the general partner/managing member of each project)</w:t>
      </w:r>
      <w:r w:rsidR="00F84BE4">
        <w:t xml:space="preserve"> — 3 points</w:t>
      </w:r>
    </w:p>
    <w:p w14:paraId="4F26F3B9" w14:textId="7BC5906E" w:rsidR="00512871" w:rsidRDefault="00512871" w:rsidP="00FF43A7">
      <w:pPr>
        <w:pStyle w:val="ListParagraph"/>
        <w:numPr>
          <w:ilvl w:val="0"/>
          <w:numId w:val="54"/>
        </w:numPr>
      </w:pPr>
      <w:r>
        <w:t>A</w:t>
      </w:r>
      <w:r w:rsidRPr="00512871">
        <w:t xml:space="preserve">t least </w:t>
      </w:r>
      <w:r>
        <w:t>3</w:t>
      </w:r>
      <w:r w:rsidRPr="00512871">
        <w:t xml:space="preserve"> other LIHTC projects (with at least a 20</w:t>
      </w:r>
      <w:r>
        <w:t>%</w:t>
      </w:r>
      <w:r w:rsidRPr="00512871">
        <w:t xml:space="preserve"> interest in the general partner/managing member of each project) </w:t>
      </w:r>
      <w:r>
        <w:t>AND</w:t>
      </w:r>
      <w:r w:rsidRPr="00512871">
        <w:t xml:space="preserve"> has entered into a management agreement with a property management company that has at least five years of experience monitoring LIHTC projects and a tax credit portfolio of no fewer than 300 units</w:t>
      </w:r>
      <w:r w:rsidR="00F84BE4">
        <w:t xml:space="preserve"> — 3 points</w:t>
      </w:r>
    </w:p>
    <w:p w14:paraId="6E6EB6B4" w14:textId="4DDB9457" w:rsidR="00512871" w:rsidRPr="009852BD" w:rsidRDefault="00512871" w:rsidP="00FF43A7">
      <w:pPr>
        <w:pStyle w:val="ListParagraph"/>
        <w:numPr>
          <w:ilvl w:val="0"/>
          <w:numId w:val="54"/>
        </w:numPr>
      </w:pPr>
      <w:r>
        <w:t>A</w:t>
      </w:r>
      <w:r w:rsidRPr="00512871">
        <w:t xml:space="preserve">t least </w:t>
      </w:r>
      <w:r>
        <w:t>1</w:t>
      </w:r>
      <w:r w:rsidRPr="00512871">
        <w:t xml:space="preserve"> other LIHTC project (with at least a 50</w:t>
      </w:r>
      <w:r>
        <w:t>%</w:t>
      </w:r>
      <w:r w:rsidRPr="00512871">
        <w:t xml:space="preserve"> interest in the general partner/managing member) and has entered into a management agreement with a property management company that has at least five years of experience monitoring LIHTC projects and a tax credit portfolio of no fewer than 300 units</w:t>
      </w:r>
      <w:r w:rsidR="00F84BE4">
        <w:t xml:space="preserve"> — 3 points</w:t>
      </w:r>
    </w:p>
    <w:p w14:paraId="6200BAF7" w14:textId="20A873F1" w:rsidR="00512871" w:rsidRDefault="00FF43A7" w:rsidP="00FF43A7">
      <w:pPr>
        <w:rPr>
          <w:b/>
          <w:bCs/>
        </w:rPr>
      </w:pPr>
      <w:r w:rsidRPr="00E84F60">
        <w:rPr>
          <w:b/>
          <w:bCs/>
        </w:rPr>
        <w:t>Required Information</w:t>
      </w:r>
      <w:r w:rsidR="00512871">
        <w:rPr>
          <w:b/>
          <w:bCs/>
        </w:rPr>
        <w:t>:</w:t>
      </w:r>
    </w:p>
    <w:p w14:paraId="053CF640" w14:textId="43A6C8A5" w:rsidR="00512871" w:rsidRDefault="00512871" w:rsidP="00512871">
      <w:pPr>
        <w:tabs>
          <w:tab w:val="left" w:pos="3600"/>
        </w:tabs>
      </w:pPr>
      <w:r>
        <w:t>Entity That Qualifies for Points:</w:t>
      </w:r>
      <w:r>
        <w:tab/>
        <w:t>___________________________________________________________________________</w:t>
      </w:r>
    </w:p>
    <w:p w14:paraId="6A7F874A" w14:textId="4EF7BB63" w:rsidR="00512871" w:rsidRDefault="00512871" w:rsidP="00512871">
      <w:pPr>
        <w:tabs>
          <w:tab w:val="left" w:pos="3600"/>
        </w:tabs>
      </w:pPr>
      <w:r>
        <w:t>Entity’s Interest in This Project:</w:t>
      </w:r>
      <w:r>
        <w:tab/>
        <w:t>_____ %</w:t>
      </w:r>
    </w:p>
    <w:p w14:paraId="087DE913" w14:textId="4D0CCFAE" w:rsidR="00FF43A7" w:rsidRDefault="00512871" w:rsidP="00FF43A7">
      <w:r>
        <w:t>Projects for Which You Are Claiming Points:</w:t>
      </w:r>
    </w:p>
    <w:tbl>
      <w:tblPr>
        <w:tblStyle w:val="TableGrid"/>
        <w:tblW w:w="10800" w:type="dxa"/>
        <w:tblLook w:val="04A0" w:firstRow="1" w:lastRow="0" w:firstColumn="1" w:lastColumn="0" w:noHBand="0" w:noVBand="1"/>
      </w:tblPr>
      <w:tblGrid>
        <w:gridCol w:w="4320"/>
        <w:gridCol w:w="1872"/>
        <w:gridCol w:w="720"/>
        <w:gridCol w:w="1440"/>
        <w:gridCol w:w="2448"/>
      </w:tblGrid>
      <w:tr w:rsidR="00424EB7" w14:paraId="48A69ACD" w14:textId="0CD47B89" w:rsidTr="00424EB7">
        <w:tc>
          <w:tcPr>
            <w:tcW w:w="4320" w:type="dxa"/>
            <w:vAlign w:val="center"/>
          </w:tcPr>
          <w:p w14:paraId="25BA508D" w14:textId="2E256FCD" w:rsidR="00424EB7" w:rsidRPr="004E597A" w:rsidRDefault="00424EB7" w:rsidP="00424EB7">
            <w:pPr>
              <w:jc w:val="center"/>
              <w:rPr>
                <w:b/>
                <w:bCs/>
              </w:rPr>
            </w:pPr>
            <w:r w:rsidRPr="004E597A">
              <w:rPr>
                <w:b/>
                <w:bCs/>
              </w:rPr>
              <w:t>Name</w:t>
            </w:r>
          </w:p>
        </w:tc>
        <w:tc>
          <w:tcPr>
            <w:tcW w:w="1872" w:type="dxa"/>
            <w:vAlign w:val="center"/>
          </w:tcPr>
          <w:p w14:paraId="65ECADA2" w14:textId="77777777" w:rsidR="00424EB7" w:rsidRPr="004E597A" w:rsidRDefault="00424EB7" w:rsidP="00424EB7">
            <w:pPr>
              <w:jc w:val="center"/>
              <w:rPr>
                <w:b/>
                <w:bCs/>
              </w:rPr>
            </w:pPr>
            <w:r w:rsidRPr="004E597A">
              <w:rPr>
                <w:b/>
                <w:bCs/>
              </w:rPr>
              <w:t>City (non-NJ) /</w:t>
            </w:r>
          </w:p>
          <w:p w14:paraId="5A05C465" w14:textId="1E3EAFD8" w:rsidR="00424EB7" w:rsidRPr="004E597A" w:rsidRDefault="00424EB7" w:rsidP="00424EB7">
            <w:pPr>
              <w:jc w:val="center"/>
              <w:rPr>
                <w:b/>
                <w:bCs/>
              </w:rPr>
            </w:pPr>
            <w:r w:rsidRPr="004E597A">
              <w:rPr>
                <w:b/>
                <w:bCs/>
              </w:rPr>
              <w:t>County (NJ)</w:t>
            </w:r>
          </w:p>
        </w:tc>
        <w:tc>
          <w:tcPr>
            <w:tcW w:w="720" w:type="dxa"/>
            <w:vAlign w:val="center"/>
          </w:tcPr>
          <w:p w14:paraId="2E5C4A3B" w14:textId="326A43D3" w:rsidR="00424EB7" w:rsidRPr="004E597A" w:rsidRDefault="00424EB7" w:rsidP="00424EB7">
            <w:pPr>
              <w:jc w:val="center"/>
              <w:rPr>
                <w:b/>
                <w:bCs/>
              </w:rPr>
            </w:pPr>
            <w:r w:rsidRPr="004E597A">
              <w:rPr>
                <w:b/>
                <w:bCs/>
              </w:rPr>
              <w:t>State</w:t>
            </w:r>
          </w:p>
        </w:tc>
        <w:tc>
          <w:tcPr>
            <w:tcW w:w="1440" w:type="dxa"/>
            <w:vAlign w:val="center"/>
          </w:tcPr>
          <w:p w14:paraId="7EB3DBD8" w14:textId="788C0302" w:rsidR="00424EB7" w:rsidRPr="004E597A" w:rsidRDefault="00424EB7" w:rsidP="00424EB7">
            <w:pPr>
              <w:jc w:val="center"/>
              <w:rPr>
                <w:b/>
                <w:bCs/>
              </w:rPr>
            </w:pPr>
            <w:r w:rsidRPr="004E597A">
              <w:rPr>
                <w:b/>
                <w:bCs/>
              </w:rPr>
              <w:t>LIHTC #</w:t>
            </w:r>
          </w:p>
          <w:p w14:paraId="2A4C3554" w14:textId="54DEB433" w:rsidR="00424EB7" w:rsidRPr="004E597A" w:rsidRDefault="00424EB7" w:rsidP="00424EB7">
            <w:pPr>
              <w:jc w:val="center"/>
              <w:rPr>
                <w:b/>
                <w:bCs/>
              </w:rPr>
            </w:pPr>
            <w:r w:rsidRPr="004E597A">
              <w:rPr>
                <w:b/>
                <w:bCs/>
              </w:rPr>
              <w:t>(NJ only)</w:t>
            </w:r>
          </w:p>
        </w:tc>
        <w:tc>
          <w:tcPr>
            <w:tcW w:w="2448" w:type="dxa"/>
            <w:vAlign w:val="center"/>
          </w:tcPr>
          <w:p w14:paraId="0ADBFB72" w14:textId="77777777" w:rsidR="00424EB7" w:rsidRPr="004E597A" w:rsidRDefault="00424EB7" w:rsidP="00424EB7">
            <w:pPr>
              <w:jc w:val="center"/>
            </w:pPr>
            <w:r w:rsidRPr="004E597A">
              <w:rPr>
                <w:b/>
                <w:bCs/>
              </w:rPr>
              <w:t>Permanent Debt (Y/N)</w:t>
            </w:r>
          </w:p>
          <w:p w14:paraId="4E93E73F" w14:textId="7768CF0C" w:rsidR="00424EB7" w:rsidRPr="004E597A" w:rsidRDefault="00424EB7" w:rsidP="00424EB7">
            <w:pPr>
              <w:jc w:val="center"/>
              <w:rPr>
                <w:b/>
                <w:bCs/>
              </w:rPr>
            </w:pPr>
            <w:r w:rsidRPr="004E597A">
              <w:t>If yes, identify mortgagee.</w:t>
            </w:r>
          </w:p>
        </w:tc>
      </w:tr>
      <w:tr w:rsidR="00424EB7" w14:paraId="108A4F6A" w14:textId="1B1B49BC" w:rsidTr="00424EB7">
        <w:trPr>
          <w:trHeight w:val="490"/>
        </w:trPr>
        <w:tc>
          <w:tcPr>
            <w:tcW w:w="4320" w:type="dxa"/>
            <w:vAlign w:val="center"/>
          </w:tcPr>
          <w:p w14:paraId="3A8D88A8" w14:textId="77777777" w:rsidR="00424EB7" w:rsidRDefault="00424EB7" w:rsidP="00424EB7">
            <w:pPr>
              <w:jc w:val="center"/>
            </w:pPr>
          </w:p>
        </w:tc>
        <w:tc>
          <w:tcPr>
            <w:tcW w:w="1872" w:type="dxa"/>
            <w:vAlign w:val="center"/>
          </w:tcPr>
          <w:p w14:paraId="0D447D59" w14:textId="77777777" w:rsidR="00424EB7" w:rsidRDefault="00424EB7" w:rsidP="00424EB7">
            <w:pPr>
              <w:jc w:val="center"/>
            </w:pPr>
          </w:p>
        </w:tc>
        <w:tc>
          <w:tcPr>
            <w:tcW w:w="720" w:type="dxa"/>
            <w:vAlign w:val="center"/>
          </w:tcPr>
          <w:p w14:paraId="665FD83E" w14:textId="77777777" w:rsidR="00424EB7" w:rsidRDefault="00424EB7" w:rsidP="00424EB7">
            <w:pPr>
              <w:jc w:val="center"/>
            </w:pPr>
          </w:p>
        </w:tc>
        <w:tc>
          <w:tcPr>
            <w:tcW w:w="1440" w:type="dxa"/>
            <w:vAlign w:val="center"/>
          </w:tcPr>
          <w:p w14:paraId="17897CED" w14:textId="25987F7E" w:rsidR="00424EB7" w:rsidRDefault="00424EB7" w:rsidP="00424EB7">
            <w:pPr>
              <w:jc w:val="center"/>
            </w:pPr>
          </w:p>
        </w:tc>
        <w:tc>
          <w:tcPr>
            <w:tcW w:w="2448" w:type="dxa"/>
            <w:vAlign w:val="center"/>
          </w:tcPr>
          <w:p w14:paraId="00E86FB7" w14:textId="77777777" w:rsidR="00424EB7" w:rsidRDefault="00424EB7" w:rsidP="00424EB7">
            <w:pPr>
              <w:jc w:val="center"/>
            </w:pPr>
          </w:p>
        </w:tc>
      </w:tr>
      <w:tr w:rsidR="00424EB7" w14:paraId="2703C350" w14:textId="70127EB8" w:rsidTr="00424EB7">
        <w:trPr>
          <w:trHeight w:val="490"/>
        </w:trPr>
        <w:tc>
          <w:tcPr>
            <w:tcW w:w="4320" w:type="dxa"/>
            <w:vAlign w:val="center"/>
          </w:tcPr>
          <w:p w14:paraId="25155BA5" w14:textId="77777777" w:rsidR="00424EB7" w:rsidRDefault="00424EB7" w:rsidP="00424EB7">
            <w:pPr>
              <w:jc w:val="center"/>
            </w:pPr>
          </w:p>
        </w:tc>
        <w:tc>
          <w:tcPr>
            <w:tcW w:w="1872" w:type="dxa"/>
            <w:vAlign w:val="center"/>
          </w:tcPr>
          <w:p w14:paraId="4CEDE582" w14:textId="77777777" w:rsidR="00424EB7" w:rsidRDefault="00424EB7" w:rsidP="00424EB7">
            <w:pPr>
              <w:jc w:val="center"/>
            </w:pPr>
          </w:p>
        </w:tc>
        <w:tc>
          <w:tcPr>
            <w:tcW w:w="720" w:type="dxa"/>
            <w:vAlign w:val="center"/>
          </w:tcPr>
          <w:p w14:paraId="09361671" w14:textId="77777777" w:rsidR="00424EB7" w:rsidRDefault="00424EB7" w:rsidP="00424EB7">
            <w:pPr>
              <w:jc w:val="center"/>
            </w:pPr>
          </w:p>
        </w:tc>
        <w:tc>
          <w:tcPr>
            <w:tcW w:w="1440" w:type="dxa"/>
            <w:vAlign w:val="center"/>
          </w:tcPr>
          <w:p w14:paraId="5D8A8B02" w14:textId="05F7A9B4" w:rsidR="00424EB7" w:rsidRDefault="00424EB7" w:rsidP="00424EB7">
            <w:pPr>
              <w:jc w:val="center"/>
            </w:pPr>
          </w:p>
        </w:tc>
        <w:tc>
          <w:tcPr>
            <w:tcW w:w="2448" w:type="dxa"/>
            <w:vAlign w:val="center"/>
          </w:tcPr>
          <w:p w14:paraId="10943E60" w14:textId="77777777" w:rsidR="00424EB7" w:rsidRDefault="00424EB7" w:rsidP="00424EB7">
            <w:pPr>
              <w:jc w:val="center"/>
            </w:pPr>
          </w:p>
        </w:tc>
      </w:tr>
      <w:tr w:rsidR="00424EB7" w14:paraId="49767A1A" w14:textId="2229ACB0" w:rsidTr="00424EB7">
        <w:trPr>
          <w:trHeight w:val="490"/>
        </w:trPr>
        <w:tc>
          <w:tcPr>
            <w:tcW w:w="4320" w:type="dxa"/>
            <w:vAlign w:val="center"/>
          </w:tcPr>
          <w:p w14:paraId="5668AA01" w14:textId="77777777" w:rsidR="00424EB7" w:rsidRDefault="00424EB7" w:rsidP="00424EB7">
            <w:pPr>
              <w:jc w:val="center"/>
            </w:pPr>
          </w:p>
        </w:tc>
        <w:tc>
          <w:tcPr>
            <w:tcW w:w="1872" w:type="dxa"/>
            <w:vAlign w:val="center"/>
          </w:tcPr>
          <w:p w14:paraId="52741FEE" w14:textId="77777777" w:rsidR="00424EB7" w:rsidRDefault="00424EB7" w:rsidP="00424EB7">
            <w:pPr>
              <w:jc w:val="center"/>
            </w:pPr>
          </w:p>
        </w:tc>
        <w:tc>
          <w:tcPr>
            <w:tcW w:w="720" w:type="dxa"/>
            <w:vAlign w:val="center"/>
          </w:tcPr>
          <w:p w14:paraId="6DE2B582" w14:textId="77777777" w:rsidR="00424EB7" w:rsidRDefault="00424EB7" w:rsidP="00424EB7">
            <w:pPr>
              <w:jc w:val="center"/>
            </w:pPr>
          </w:p>
        </w:tc>
        <w:tc>
          <w:tcPr>
            <w:tcW w:w="1440" w:type="dxa"/>
            <w:vAlign w:val="center"/>
          </w:tcPr>
          <w:p w14:paraId="4BF9CE91" w14:textId="7B079B6E" w:rsidR="00424EB7" w:rsidRDefault="00424EB7" w:rsidP="00424EB7">
            <w:pPr>
              <w:jc w:val="center"/>
            </w:pPr>
          </w:p>
        </w:tc>
        <w:tc>
          <w:tcPr>
            <w:tcW w:w="2448" w:type="dxa"/>
            <w:vAlign w:val="center"/>
          </w:tcPr>
          <w:p w14:paraId="33D29E2D" w14:textId="77777777" w:rsidR="00424EB7" w:rsidRDefault="00424EB7" w:rsidP="00424EB7">
            <w:pPr>
              <w:jc w:val="center"/>
            </w:pPr>
          </w:p>
        </w:tc>
      </w:tr>
    </w:tbl>
    <w:p w14:paraId="4B8782C7" w14:textId="77777777" w:rsidR="00512871" w:rsidRDefault="00512871" w:rsidP="00FF43A7"/>
    <w:p w14:paraId="61632683" w14:textId="38335924" w:rsidR="00FF43A7" w:rsidRDefault="00FF43A7" w:rsidP="00FF43A7">
      <w:r w:rsidRPr="00E84F60">
        <w:rPr>
          <w:b/>
          <w:bCs/>
        </w:rPr>
        <w:t>Required Attachments:</w:t>
      </w:r>
      <w:r>
        <w:t xml:space="preserve"> </w:t>
      </w:r>
      <w:r w:rsidR="004E597A">
        <w:t>For each project, confirmation from the applicable permanent mortgage lender (or equity investor if no permanent debt) and from the applicable housing credit agency that evidences ALL of the following as of the application deadline:</w:t>
      </w:r>
    </w:p>
    <w:p w14:paraId="7F2645C0" w14:textId="353F0095" w:rsidR="004E597A" w:rsidRDefault="004E597A" w:rsidP="004E597A">
      <w:pPr>
        <w:pStyle w:val="ListParagraph"/>
        <w:numPr>
          <w:ilvl w:val="0"/>
          <w:numId w:val="55"/>
        </w:numPr>
      </w:pPr>
      <w:r>
        <w:t>No outstanding issues of non-compliance (i.e., no uncorrected IRS Form 8823s)</w:t>
      </w:r>
    </w:p>
    <w:p w14:paraId="7A4EE449" w14:textId="77777777" w:rsidR="004E597A" w:rsidRDefault="004E597A" w:rsidP="004E597A">
      <w:pPr>
        <w:pStyle w:val="ListParagraph"/>
        <w:numPr>
          <w:ilvl w:val="0"/>
          <w:numId w:val="55"/>
        </w:numPr>
      </w:pPr>
      <w:r>
        <w:t>93% occupancy</w:t>
      </w:r>
    </w:p>
    <w:p w14:paraId="712A7688" w14:textId="57E93639" w:rsidR="004E597A" w:rsidRPr="00EC66DA" w:rsidRDefault="004E597A" w:rsidP="004E597A">
      <w:pPr>
        <w:pStyle w:val="ListParagraph"/>
        <w:numPr>
          <w:ilvl w:val="0"/>
          <w:numId w:val="55"/>
        </w:numPr>
      </w:pPr>
      <w:r>
        <w:t>At least 1.15 debt-service coverage for six consecutive months during the project’s most recent full fiscal year</w:t>
      </w:r>
    </w:p>
    <w:p w14:paraId="68ECA897" w14:textId="5A0C8863" w:rsidR="00D474A4" w:rsidRDefault="00FF43A7" w:rsidP="00FF43A7">
      <w:r w:rsidRPr="00EC66DA">
        <w:rPr>
          <w:b/>
          <w:bCs/>
        </w:rPr>
        <w:t>Notes:</w:t>
      </w:r>
    </w:p>
    <w:p w14:paraId="33C95AAA" w14:textId="3BA234E9" w:rsidR="00FF43A7" w:rsidRDefault="00D474A4" w:rsidP="00D474A4">
      <w:pPr>
        <w:pStyle w:val="ListParagraph"/>
        <w:numPr>
          <w:ilvl w:val="0"/>
          <w:numId w:val="56"/>
        </w:numPr>
      </w:pPr>
      <w:r>
        <w:t>Sample lender and investor letters can be found in the LIHTC Appendix.</w:t>
      </w:r>
    </w:p>
    <w:p w14:paraId="2526EB7D" w14:textId="2BB3B8C0" w:rsidR="00D474A4" w:rsidRDefault="005B7F12" w:rsidP="00D474A4">
      <w:pPr>
        <w:pStyle w:val="ListParagraph"/>
        <w:numPr>
          <w:ilvl w:val="0"/>
          <w:numId w:val="56"/>
        </w:numPr>
      </w:pPr>
      <w:r>
        <w:t>For non-conduit projects only, i</w:t>
      </w:r>
      <w:r w:rsidR="00D474A4">
        <w:t>f HMFA is</w:t>
      </w:r>
      <w:r w:rsidR="00D474A4" w:rsidRPr="00D474A4">
        <w:t xml:space="preserve"> the mortgage lender and/or housing credit agency, HMFA shall verify the above information</w:t>
      </w:r>
      <w:r w:rsidR="00D474A4">
        <w:t>. No attachments are required for such projects.</w:t>
      </w:r>
    </w:p>
    <w:p w14:paraId="6E28B30F" w14:textId="381EA616" w:rsidR="00D474A4" w:rsidRDefault="00D474A4" w:rsidP="00D474A4">
      <w:pPr>
        <w:pStyle w:val="ListParagraph"/>
        <w:numPr>
          <w:ilvl w:val="0"/>
          <w:numId w:val="56"/>
        </w:numPr>
      </w:pPr>
      <w:r w:rsidRPr="00D474A4">
        <w:t xml:space="preserve">If </w:t>
      </w:r>
      <w:r>
        <w:t xml:space="preserve">the </w:t>
      </w:r>
      <w:r w:rsidRPr="00D474A4">
        <w:t>permanent lender is not HMFA for an in-state project, debt service coverage must still be evidenced.</w:t>
      </w:r>
    </w:p>
    <w:p w14:paraId="1E903D72" w14:textId="3A6FE2B1" w:rsidR="00FF43A7" w:rsidRDefault="00FF43A7">
      <w:r>
        <w:br w:type="page"/>
      </w:r>
    </w:p>
    <w:p w14:paraId="767A936C" w14:textId="4B16185D" w:rsidR="00713F77" w:rsidRDefault="00713F77" w:rsidP="00713F77">
      <w:pPr>
        <w:pStyle w:val="Heading3"/>
      </w:pPr>
      <w:bookmarkStart w:id="70" w:name="_Toc230012696"/>
      <w:r>
        <w:lastRenderedPageBreak/>
        <w:t>Units Reserved for Homeless/Disabled Individuals</w:t>
      </w:r>
      <w:bookmarkEnd w:id="70"/>
    </w:p>
    <w:p w14:paraId="2FD89DEF" w14:textId="242FADF9" w:rsidR="001F36E4" w:rsidRDefault="00F84BE4" w:rsidP="00F84BE4">
      <w:r w:rsidRPr="00E84F60">
        <w:rPr>
          <w:b/>
          <w:bCs/>
        </w:rPr>
        <w:t>Point Option</w:t>
      </w:r>
      <w:r>
        <w:rPr>
          <w:b/>
          <w:bCs/>
        </w:rPr>
        <w:t>s</w:t>
      </w:r>
      <w:r w:rsidRPr="00E84F60">
        <w:rPr>
          <w:b/>
          <w:bCs/>
        </w:rPr>
        <w:t>:</w:t>
      </w:r>
    </w:p>
    <w:p w14:paraId="7876B258" w14:textId="7321CA77" w:rsidR="00F84BE4" w:rsidRDefault="001F36E4" w:rsidP="001F36E4">
      <w:pPr>
        <w:pStyle w:val="ListParagraph"/>
        <w:numPr>
          <w:ilvl w:val="0"/>
          <w:numId w:val="57"/>
        </w:numPr>
      </w:pPr>
      <w:r w:rsidRPr="001F36E4">
        <w:t>Project set</w:t>
      </w:r>
      <w:r>
        <w:t>s</w:t>
      </w:r>
      <w:r w:rsidRPr="001F36E4">
        <w:t xml:space="preserve"> aside five units or five percent of the total project units, whichever is greater, for individuals or families who are homeless</w:t>
      </w:r>
      <w:r>
        <w:t xml:space="preserve"> — 3 points</w:t>
      </w:r>
    </w:p>
    <w:p w14:paraId="04D5B0C9" w14:textId="42BC4380" w:rsidR="001F36E4" w:rsidRPr="009852BD" w:rsidRDefault="001F36E4" w:rsidP="001F36E4">
      <w:pPr>
        <w:pStyle w:val="ListParagraph"/>
        <w:numPr>
          <w:ilvl w:val="0"/>
          <w:numId w:val="57"/>
        </w:numPr>
      </w:pPr>
      <w:r w:rsidRPr="001F36E4">
        <w:t xml:space="preserve">Projects that rent five units or five percent of the total project units, whichever is greater, to individuals with disabilities who are leaving institutions pursuant to the decision in </w:t>
      </w:r>
      <w:r w:rsidRPr="001F36E4">
        <w:rPr>
          <w:i/>
          <w:iCs/>
        </w:rPr>
        <w:t>Olmstead v. L.C.</w:t>
      </w:r>
      <w:r w:rsidRPr="001F36E4">
        <w:t>, 527 U.S. 581 (1999), or individuals with disabilities who are at risk of institutionalization</w:t>
      </w:r>
      <w:r>
        <w:t xml:space="preserve"> — 2 points</w:t>
      </w:r>
    </w:p>
    <w:p w14:paraId="7CA4D29A" w14:textId="1D422B7F" w:rsidR="00F84BE4" w:rsidRDefault="00F84BE4" w:rsidP="00F84BE4">
      <w:r w:rsidRPr="00E84F60">
        <w:rPr>
          <w:b/>
          <w:bCs/>
        </w:rPr>
        <w:t>Required Information:</w:t>
      </w:r>
      <w:r>
        <w:t xml:space="preserve"> </w:t>
      </w:r>
      <w:r w:rsidR="001F36E4">
        <w:t>None (see Part II, Section 14)</w:t>
      </w:r>
    </w:p>
    <w:p w14:paraId="5A3048DE" w14:textId="0E8B7BF5" w:rsidR="00F84BE4" w:rsidRPr="00EC66DA" w:rsidRDefault="00F84BE4" w:rsidP="00F84BE4">
      <w:r w:rsidRPr="00E84F60">
        <w:rPr>
          <w:b/>
          <w:bCs/>
        </w:rPr>
        <w:t>Required Attachments:</w:t>
      </w:r>
      <w:r>
        <w:t xml:space="preserve"> </w:t>
      </w:r>
      <w:r w:rsidR="001F36E4">
        <w:t>None (see Part II, Section 14)</w:t>
      </w:r>
    </w:p>
    <w:p w14:paraId="09684E49" w14:textId="72B76A24" w:rsidR="00F84BE4" w:rsidRDefault="00F84BE4" w:rsidP="00F84BE4">
      <w:r w:rsidRPr="00EC66DA">
        <w:rPr>
          <w:b/>
          <w:bCs/>
        </w:rPr>
        <w:t>Notes:</w:t>
      </w:r>
    </w:p>
    <w:p w14:paraId="5A291B66" w14:textId="77777777" w:rsidR="001F36E4" w:rsidRDefault="001F36E4" w:rsidP="001F36E4">
      <w:pPr>
        <w:pStyle w:val="ListParagraph"/>
        <w:numPr>
          <w:ilvl w:val="0"/>
          <w:numId w:val="58"/>
        </w:numPr>
      </w:pPr>
      <w:r>
        <w:t xml:space="preserve">To receive points for this category, </w:t>
      </w:r>
      <w:r w:rsidRPr="001F36E4">
        <w:t>project</w:t>
      </w:r>
      <w:r>
        <w:t>s</w:t>
      </w:r>
      <w:r w:rsidRPr="001F36E4">
        <w:t xml:space="preserve"> </w:t>
      </w:r>
      <w:r>
        <w:t xml:space="preserve">must </w:t>
      </w:r>
      <w:r w:rsidRPr="001F36E4">
        <w:t>meet the criteria at N.J.A.C. 5:80-33.12(c)14</w:t>
      </w:r>
      <w:r>
        <w:t>.</w:t>
      </w:r>
    </w:p>
    <w:p w14:paraId="38F72579" w14:textId="38D13CD5" w:rsidR="00FF43A7" w:rsidRDefault="001F36E4" w:rsidP="001F36E4">
      <w:pPr>
        <w:pStyle w:val="ListParagraph"/>
        <w:numPr>
          <w:ilvl w:val="0"/>
          <w:numId w:val="58"/>
        </w:numPr>
      </w:pPr>
      <w:r>
        <w:t>For projects</w:t>
      </w:r>
      <w:r w:rsidRPr="001F36E4">
        <w:t xml:space="preserve"> </w:t>
      </w:r>
      <w:r>
        <w:t>electing the first point option, a</w:t>
      </w:r>
      <w:r w:rsidRPr="001F36E4">
        <w:t xml:space="preserve">fter the project is placed in service, the project </w:t>
      </w:r>
      <w:r>
        <w:t>must</w:t>
      </w:r>
      <w:r w:rsidRPr="001F36E4">
        <w:t xml:space="preserve"> register the</w:t>
      </w:r>
      <w:r>
        <w:t>se</w:t>
      </w:r>
      <w:r w:rsidRPr="001F36E4">
        <w:t xml:space="preserve"> units and collect tenant data in HMIS.</w:t>
      </w:r>
    </w:p>
    <w:p w14:paraId="163F5302" w14:textId="37BAE13B" w:rsidR="001F36E4" w:rsidRDefault="001F36E4" w:rsidP="001F36E4">
      <w:pPr>
        <w:pStyle w:val="ListParagraph"/>
        <w:numPr>
          <w:ilvl w:val="0"/>
          <w:numId w:val="58"/>
        </w:numPr>
      </w:pPr>
      <w:r>
        <w:t>For</w:t>
      </w:r>
      <w:r w:rsidRPr="001F36E4">
        <w:t xml:space="preserve"> Family Cycle</w:t>
      </w:r>
      <w:r>
        <w:t xml:space="preserve"> projects electing the first point option</w:t>
      </w:r>
      <w:r w:rsidRPr="001F36E4">
        <w:t>, the mix of these units</w:t>
      </w:r>
      <w:r>
        <w:t xml:space="preserve"> must </w:t>
      </w:r>
      <w:r w:rsidRPr="001F36E4">
        <w:t>proportionate to one one-bedroom, two two-bedroom, and two three-bedroom units</w:t>
      </w:r>
      <w:r>
        <w:t>.</w:t>
      </w:r>
    </w:p>
    <w:p w14:paraId="250959A4" w14:textId="77777777" w:rsidR="001F36E4" w:rsidRDefault="001F36E4" w:rsidP="001F36E4"/>
    <w:p w14:paraId="1C19AE07" w14:textId="34A97B44" w:rsidR="00713F77" w:rsidRDefault="00713F77" w:rsidP="00713F77">
      <w:pPr>
        <w:pStyle w:val="Heading3"/>
      </w:pPr>
      <w:bookmarkStart w:id="71" w:name="_Toc230012697"/>
      <w:r>
        <w:t>Affordability</w:t>
      </w:r>
      <w:bookmarkEnd w:id="71"/>
    </w:p>
    <w:p w14:paraId="41B794E1" w14:textId="3AD7592D" w:rsidR="001F36E4" w:rsidRDefault="00F84BE4" w:rsidP="00F84BE4">
      <w:r w:rsidRPr="00E84F60">
        <w:rPr>
          <w:b/>
          <w:bCs/>
        </w:rPr>
        <w:t>Point Option</w:t>
      </w:r>
      <w:r>
        <w:rPr>
          <w:b/>
          <w:bCs/>
        </w:rPr>
        <w:t>s</w:t>
      </w:r>
      <w:r w:rsidRPr="00E84F60">
        <w:rPr>
          <w:b/>
          <w:bCs/>
        </w:rPr>
        <w:t>:</w:t>
      </w:r>
    </w:p>
    <w:p w14:paraId="07E85231" w14:textId="77777777" w:rsidR="001F36E4" w:rsidRDefault="001F36E4" w:rsidP="001F36E4">
      <w:pPr>
        <w:pStyle w:val="ListParagraph"/>
        <w:numPr>
          <w:ilvl w:val="0"/>
          <w:numId w:val="59"/>
        </w:numPr>
      </w:pPr>
      <w:r>
        <w:t>Project elects the 20% at 50% federal set-aside and all LIHTC units are restricted at 50% AMI — 8 points</w:t>
      </w:r>
    </w:p>
    <w:p w14:paraId="67EE92FA" w14:textId="7D34D168" w:rsidR="00F84BE4" w:rsidRPr="009852BD" w:rsidRDefault="001F36E4" w:rsidP="001F36E4">
      <w:pPr>
        <w:pStyle w:val="ListParagraph"/>
        <w:numPr>
          <w:ilvl w:val="0"/>
          <w:numId w:val="59"/>
        </w:numPr>
      </w:pPr>
      <w:r>
        <w:t>Project elects to restrict 10% of the LIHTC units to households earning 30% AMI or below — 8 points</w:t>
      </w:r>
    </w:p>
    <w:p w14:paraId="46896869" w14:textId="260EB4FE" w:rsidR="00F84BE4" w:rsidRDefault="00F84BE4" w:rsidP="00F84BE4">
      <w:r w:rsidRPr="00E84F60">
        <w:rPr>
          <w:b/>
          <w:bCs/>
        </w:rPr>
        <w:t>Required Information:</w:t>
      </w:r>
      <w:r>
        <w:t xml:space="preserve"> </w:t>
      </w:r>
      <w:r w:rsidR="001F36E4">
        <w:t>None</w:t>
      </w:r>
    </w:p>
    <w:p w14:paraId="20774F60" w14:textId="78655196" w:rsidR="00F84BE4" w:rsidRPr="00EC66DA" w:rsidRDefault="00F84BE4" w:rsidP="00F84BE4">
      <w:r w:rsidRPr="00E84F60">
        <w:rPr>
          <w:b/>
          <w:bCs/>
        </w:rPr>
        <w:t>Required Attachments:</w:t>
      </w:r>
      <w:r>
        <w:t xml:space="preserve"> </w:t>
      </w:r>
      <w:r w:rsidR="001F36E4">
        <w:t>None</w:t>
      </w:r>
    </w:p>
    <w:p w14:paraId="0BD76471" w14:textId="6134E7D7" w:rsidR="001F36E4" w:rsidRDefault="00F84BE4" w:rsidP="00F84BE4">
      <w:r w:rsidRPr="00EC66DA">
        <w:rPr>
          <w:b/>
          <w:bCs/>
        </w:rPr>
        <w:t>Notes:</w:t>
      </w:r>
    </w:p>
    <w:p w14:paraId="11EAC6F4" w14:textId="77777777" w:rsidR="001F36E4" w:rsidRDefault="001F36E4" w:rsidP="001F36E4">
      <w:pPr>
        <w:pStyle w:val="ListParagraph"/>
        <w:numPr>
          <w:ilvl w:val="0"/>
          <w:numId w:val="60"/>
        </w:numPr>
      </w:pPr>
      <w:r>
        <w:t>E</w:t>
      </w:r>
      <w:r w:rsidRPr="001F36E4">
        <w:t>lection</w:t>
      </w:r>
      <w:r>
        <w:t>s</w:t>
      </w:r>
      <w:r w:rsidRPr="001F36E4">
        <w:t xml:space="preserve"> </w:t>
      </w:r>
      <w:r>
        <w:t>wi</w:t>
      </w:r>
      <w:r w:rsidRPr="001F36E4">
        <w:t>ll be reflected on each building’s IRS Form 8609 and/or on the deed of easement and restrictive covenant.</w:t>
      </w:r>
    </w:p>
    <w:p w14:paraId="1C2CD771" w14:textId="56FD9C47" w:rsidR="00F84BE4" w:rsidRDefault="001F36E4" w:rsidP="001F36E4">
      <w:pPr>
        <w:pStyle w:val="ListParagraph"/>
        <w:numPr>
          <w:ilvl w:val="0"/>
          <w:numId w:val="60"/>
        </w:numPr>
      </w:pPr>
      <w:r w:rsidRPr="001F36E4">
        <w:t>Projects that select the 10</w:t>
      </w:r>
      <w:r>
        <w:t>%</w:t>
      </w:r>
      <w:r w:rsidRPr="001F36E4">
        <w:t xml:space="preserve"> at 30</w:t>
      </w:r>
      <w:r>
        <w:t>%</w:t>
      </w:r>
      <w:r w:rsidRPr="001F36E4">
        <w:t xml:space="preserve"> option must still satisfy the Code</w:t>
      </w:r>
      <w:r>
        <w:t>’s</w:t>
      </w:r>
      <w:r w:rsidRPr="001F36E4">
        <w:t xml:space="preserve"> minimum tenant income elections at </w:t>
      </w:r>
      <w:r>
        <w:t xml:space="preserve">§ </w:t>
      </w:r>
      <w:r w:rsidRPr="001F36E4">
        <w:t>42(g)(1)(A) or (B) and demonstrate that best efforts will be made to distribute the 30 percent units proportionately across all unit sizes.</w:t>
      </w:r>
    </w:p>
    <w:p w14:paraId="4DF76522" w14:textId="26EF9E66" w:rsidR="00FF43A7" w:rsidRDefault="00FF43A7">
      <w:r>
        <w:br w:type="page"/>
      </w:r>
    </w:p>
    <w:p w14:paraId="0110B777" w14:textId="1B470970" w:rsidR="00713F77" w:rsidRDefault="00713F77" w:rsidP="00713F77">
      <w:pPr>
        <w:pStyle w:val="Heading3"/>
      </w:pPr>
      <w:bookmarkStart w:id="72" w:name="_Toc230012698"/>
      <w:r>
        <w:lastRenderedPageBreak/>
        <w:t>Age-Friendly Senior Cycle Points</w:t>
      </w:r>
      <w:bookmarkEnd w:id="72"/>
    </w:p>
    <w:p w14:paraId="4B67298B" w14:textId="4FB19489" w:rsidR="00C47FEA" w:rsidRDefault="00C47FEA" w:rsidP="00C47FEA">
      <w:r w:rsidRPr="00E84F60">
        <w:rPr>
          <w:b/>
          <w:bCs/>
        </w:rPr>
        <w:t>Point Option</w:t>
      </w:r>
      <w:r>
        <w:rPr>
          <w:b/>
          <w:bCs/>
        </w:rPr>
        <w:t>s</w:t>
      </w:r>
      <w:r w:rsidRPr="00E84F60">
        <w:rPr>
          <w:b/>
          <w:bCs/>
        </w:rPr>
        <w:t>:</w:t>
      </w:r>
    </w:p>
    <w:p w14:paraId="31D0EB6D" w14:textId="001AC281" w:rsidR="00C47FEA" w:rsidRDefault="00C47FEA" w:rsidP="00C47FEA">
      <w:pPr>
        <w:pStyle w:val="ListParagraph"/>
        <w:numPr>
          <w:ilvl w:val="0"/>
          <w:numId w:val="61"/>
        </w:numPr>
      </w:pPr>
      <w:r>
        <w:t>P</w:t>
      </w:r>
      <w:r w:rsidRPr="00C47FEA">
        <w:t xml:space="preserve">roject fully located within a municipality where </w:t>
      </w:r>
      <w:r>
        <w:t xml:space="preserve">at least </w:t>
      </w:r>
      <w:r w:rsidRPr="00C47FEA">
        <w:t>25% of the residents are 55 years of age or older</w:t>
      </w:r>
      <w:r>
        <w:t xml:space="preserve"> — 1 point</w:t>
      </w:r>
      <w:r w:rsidR="00063D87">
        <w:t xml:space="preserve"> (see </w:t>
      </w:r>
      <w:hyperlink r:id="rId28" w:history="1">
        <w:r w:rsidR="00063D87" w:rsidRPr="008C3C1E">
          <w:rPr>
            <w:rStyle w:val="Hyperlink"/>
          </w:rPr>
          <w:t>https://www.nj.gov/dca/hmfa/developers/docs/lihtc/tax/QAP_CalculationsAgedPopulationStatistics.pdf</w:t>
        </w:r>
      </w:hyperlink>
      <w:r w:rsidR="00063D87">
        <w:t>)</w:t>
      </w:r>
    </w:p>
    <w:p w14:paraId="51893FAC" w14:textId="587AEAEB" w:rsidR="00C47FEA" w:rsidRDefault="00C47FEA" w:rsidP="00C47FEA">
      <w:pPr>
        <w:pStyle w:val="ListParagraph"/>
        <w:numPr>
          <w:ilvl w:val="0"/>
          <w:numId w:val="61"/>
        </w:numPr>
      </w:pPr>
      <w:r>
        <w:t>Up to 9 points for:</w:t>
      </w:r>
    </w:p>
    <w:p w14:paraId="3B0BC2D5" w14:textId="02DB9606" w:rsidR="00C47FEA" w:rsidRDefault="00C47FEA" w:rsidP="00C47FEA">
      <w:pPr>
        <w:pStyle w:val="ListParagraph"/>
        <w:numPr>
          <w:ilvl w:val="1"/>
          <w:numId w:val="61"/>
        </w:numPr>
      </w:pPr>
      <w:r w:rsidRPr="00063D87">
        <w:rPr>
          <w:b/>
          <w:bCs/>
        </w:rPr>
        <w:t>On-site transportation at least once per week — 3 points</w:t>
      </w:r>
      <w:r w:rsidR="00063D87">
        <w:br/>
      </w:r>
      <w:r w:rsidR="00063D87">
        <w:br/>
      </w:r>
      <w:r w:rsidR="00063D87" w:rsidRPr="00063D87">
        <w:t xml:space="preserve">On-site transportation must be provided at least once a week and available to all residents. </w:t>
      </w:r>
      <w:r w:rsidR="00063D87">
        <w:t>You must submit e</w:t>
      </w:r>
      <w:r w:rsidR="00063D87" w:rsidRPr="00063D87">
        <w:t xml:space="preserve">vidence of existing service and/or an executed contract stipulating fees and frequency of service </w:t>
      </w:r>
      <w:r w:rsidR="00063D87">
        <w:t>with your</w:t>
      </w:r>
      <w:r w:rsidR="00063D87" w:rsidRPr="00063D87">
        <w:t xml:space="preserve"> application</w:t>
      </w:r>
      <w:r w:rsidR="00063D87">
        <w:t>, as well as</w:t>
      </w:r>
      <w:r w:rsidR="00063D87" w:rsidRPr="00063D87">
        <w:t xml:space="preserve"> </w:t>
      </w:r>
      <w:r w:rsidR="00063D87">
        <w:t>e</w:t>
      </w:r>
      <w:r w:rsidR="00063D87" w:rsidRPr="00063D87">
        <w:t>vidence of funding</w:t>
      </w:r>
      <w:r w:rsidR="00063D87">
        <w:t>.</w:t>
      </w:r>
      <w:r w:rsidR="00063D87" w:rsidRPr="00063D87">
        <w:t xml:space="preserve"> A nominal fee may be charged to the residents that utilize the service and it must be a scheduled service at least once a week. The schedule should be provided to the residents in advance for planning purposes. A letter indicating that the project will be on a bus stop on a general route or a service that is provided free of charge to all residents/seniors of a county or municipality based solely on residency status </w:t>
      </w:r>
      <w:r w:rsidR="00063D87">
        <w:t>will</w:t>
      </w:r>
      <w:r w:rsidR="00063D87" w:rsidRPr="00063D87">
        <w:t xml:space="preserve"> not qualify for points in this category.</w:t>
      </w:r>
    </w:p>
    <w:p w14:paraId="4D3E3926" w14:textId="1300B0ED" w:rsidR="00C47FEA" w:rsidRPr="00063D87" w:rsidRDefault="00C47FEA" w:rsidP="00C47FEA">
      <w:pPr>
        <w:pStyle w:val="ListParagraph"/>
        <w:numPr>
          <w:ilvl w:val="1"/>
          <w:numId w:val="61"/>
        </w:numPr>
        <w:rPr>
          <w:b/>
          <w:bCs/>
        </w:rPr>
      </w:pPr>
      <w:r w:rsidRPr="00063D87">
        <w:rPr>
          <w:b/>
          <w:bCs/>
        </w:rPr>
        <w:t>Participation in Services for Independent Living (SIL) program — 3 points</w:t>
      </w:r>
      <w:r w:rsidR="00063D87" w:rsidRPr="00063D87">
        <w:br/>
      </w:r>
      <w:r w:rsidR="00063D87" w:rsidRPr="00063D87">
        <w:br/>
        <w:t xml:space="preserve">The SIL program provides social service coordinators the opportunity for training at least three times a year, resource materials, and a network of partnerships with other projects and state and local organizations that serve the aging adult population. Please be advised all participants must sign a Participation Agreement, which outlines the requirements and responsibilities for the Owner for a minimum of three years. </w:t>
      </w:r>
      <w:r w:rsidR="00063D87" w:rsidRPr="00FF77F0">
        <w:rPr>
          <w:color w:val="C00000"/>
        </w:rPr>
        <w:t>A social service coordinator must be dedicated to the project for a minimum of 20 hours per week. An extended vacancy of the social service coordinator position (longer than 2 months) may result in non-compliance.</w:t>
      </w:r>
    </w:p>
    <w:p w14:paraId="6723437D" w14:textId="62CE9A20" w:rsidR="00C47FEA" w:rsidRDefault="00C47FEA" w:rsidP="00C47FEA">
      <w:pPr>
        <w:pStyle w:val="ListParagraph"/>
        <w:numPr>
          <w:ilvl w:val="1"/>
          <w:numId w:val="61"/>
        </w:numPr>
      </w:pPr>
      <w:r w:rsidRPr="00063D87">
        <w:rPr>
          <w:b/>
          <w:bCs/>
        </w:rPr>
        <w:t>On-site healthcare provider with private room</w:t>
      </w:r>
      <w:r w:rsidR="00063D87" w:rsidRPr="00063D87">
        <w:rPr>
          <w:b/>
          <w:bCs/>
        </w:rPr>
        <w:t xml:space="preserve"> offered regularly</w:t>
      </w:r>
      <w:r w:rsidRPr="00063D87">
        <w:rPr>
          <w:b/>
          <w:bCs/>
        </w:rPr>
        <w:t xml:space="preserve"> — 2 points</w:t>
      </w:r>
      <w:r w:rsidR="00063D87">
        <w:br/>
      </w:r>
      <w:r w:rsidR="00063D87">
        <w:br/>
      </w:r>
      <w:r w:rsidR="00063D87" w:rsidRPr="00063D87">
        <w:t>Please refer to the HUD Notice of Funding Availability for “Supportive Services Demonstration for Elderly Households in HUD-Assisted Multifamily Housing” for a better understanding of the type of on-site health provider the Agency is encouraging, specifically the Qualifications and Job Responsibilities of the Wellness Nurse, which can be found here:</w:t>
      </w:r>
      <w:r w:rsidR="00063D87">
        <w:t xml:space="preserve"> </w:t>
      </w:r>
      <w:hyperlink r:id="rId29" w:history="1">
        <w:r w:rsidR="00063D87" w:rsidRPr="008C3C1E">
          <w:rPr>
            <w:rStyle w:val="Hyperlink"/>
          </w:rPr>
          <w:t>https://www.hud.gov/sites/documents/2015SSDEMO-NOFA.PDF</w:t>
        </w:r>
      </w:hyperlink>
      <w:r w:rsidR="00063D87">
        <w:br/>
      </w:r>
      <w:r w:rsidR="00063D87">
        <w:br/>
        <w:t>T</w:t>
      </w:r>
      <w:r w:rsidR="00063D87" w:rsidRPr="00063D87">
        <w:t>he Owner should contract with a third-party agency (Medicare Certified Home Health Provider or similar agency or organization) for this service. A firm agreement and information on the capacity and experience of the selected third-party agency must be submitted. The Agency considers “regularly” to mean that the on-site health professional’s services are available at least twice per month, for at least 20 hours total (that is, four five-hour-long sessions held every week or two 10-hour-long sessions held every two weeks), according to a set schedule circulated to residents in advance.</w:t>
      </w:r>
    </w:p>
    <w:p w14:paraId="4EE106B3" w14:textId="4CFADB4B" w:rsidR="00C47FEA" w:rsidRDefault="00C47FEA" w:rsidP="00C47FEA">
      <w:pPr>
        <w:pStyle w:val="ListParagraph"/>
        <w:numPr>
          <w:ilvl w:val="1"/>
          <w:numId w:val="61"/>
        </w:numPr>
      </w:pPr>
      <w:r w:rsidRPr="00063D87">
        <w:rPr>
          <w:b/>
          <w:bCs/>
        </w:rPr>
        <w:t>On-site pharmacy or wellness clinic, satellite hospital office, Program of All-Inclusive Care for the Elderly (PACE), medical day-care program, licensed assisted living facility, Assisted Living Program (ALP), or similar partnership with a hospital or managed-care organization — 2 points</w:t>
      </w:r>
      <w:r w:rsidR="00063D87">
        <w:br/>
      </w:r>
      <w:r w:rsidR="00063D87">
        <w:br/>
      </w:r>
      <w:r w:rsidR="00063D87" w:rsidRPr="00063D87">
        <w:t>The Agency defers to the third-party providers to establish the requirements for the use of space. For all of these options, the Agency expects that the owner will make available space to an appropriate entity. In all cases, a firm agreement with the entity must be submitted in the application.</w:t>
      </w:r>
    </w:p>
    <w:p w14:paraId="29CAD746" w14:textId="2821EBDC" w:rsidR="00C47FEA" w:rsidRDefault="00C47FEA" w:rsidP="00C47FEA">
      <w:pPr>
        <w:pStyle w:val="ListParagraph"/>
        <w:numPr>
          <w:ilvl w:val="1"/>
          <w:numId w:val="61"/>
        </w:numPr>
      </w:pPr>
      <w:r w:rsidRPr="00063D87">
        <w:rPr>
          <w:b/>
          <w:bCs/>
        </w:rPr>
        <w:lastRenderedPageBreak/>
        <w:t>Accessible outdoor community spaces</w:t>
      </w:r>
      <w:r w:rsidR="00063D87" w:rsidRPr="00063D87">
        <w:rPr>
          <w:b/>
          <w:bCs/>
        </w:rPr>
        <w:t xml:space="preserve"> — 1 point</w:t>
      </w:r>
      <w:r w:rsidR="00063D87">
        <w:br/>
      </w:r>
      <w:r w:rsidR="00063D87">
        <w:br/>
      </w:r>
      <w:r w:rsidR="00063D87" w:rsidRPr="00063D87">
        <w:t xml:space="preserve">Outdoor space must be set aside for use by all residents, comprising at least 25% of the project’s permanent open space, of which at least 80% is unpaved. Rooftop gardens can be included in open space calculations if the roof area is accessible to and can be used by all residents </w:t>
      </w:r>
      <w:r w:rsidR="00063D87">
        <w:t xml:space="preserve">(e.g., </w:t>
      </w:r>
      <w:r w:rsidR="00063D87" w:rsidRPr="00063D87">
        <w:t>gardens with walkways and/or benches</w:t>
      </w:r>
      <w:r w:rsidR="00063D87">
        <w:t>)</w:t>
      </w:r>
      <w:r w:rsidR="00063D87" w:rsidRPr="00063D87">
        <w:t>.</w:t>
      </w:r>
      <w:r w:rsidR="00063D87">
        <w:t xml:space="preserve"> </w:t>
      </w:r>
      <w:r w:rsidR="00063D87" w:rsidRPr="00063D87">
        <w:t>The owner must submit drawings illustrating the accessible outdoor spaces.</w:t>
      </w:r>
    </w:p>
    <w:p w14:paraId="6A749A60" w14:textId="6E898ACA" w:rsidR="00C47FEA" w:rsidRPr="009852BD" w:rsidRDefault="00C47FEA" w:rsidP="00C47FEA">
      <w:pPr>
        <w:pStyle w:val="ListParagraph"/>
        <w:numPr>
          <w:ilvl w:val="1"/>
          <w:numId w:val="61"/>
        </w:numPr>
      </w:pPr>
      <w:r w:rsidRPr="00063D87">
        <w:rPr>
          <w:b/>
          <w:bCs/>
        </w:rPr>
        <w:t>Exercise room</w:t>
      </w:r>
      <w:r w:rsidR="00063D87" w:rsidRPr="00063D87">
        <w:rPr>
          <w:b/>
          <w:bCs/>
        </w:rPr>
        <w:t xml:space="preserve"> — 1 point</w:t>
      </w:r>
      <w:r w:rsidR="00063D87">
        <w:br/>
      </w:r>
      <w:r w:rsidR="00063D87">
        <w:br/>
      </w:r>
      <w:r w:rsidR="00063D87" w:rsidRPr="00063D87">
        <w:t>Owners must provide space and equipment for residents to exercise and</w:t>
      </w:r>
      <w:r w:rsidR="00063D87">
        <w:t>,</w:t>
      </w:r>
      <w:r w:rsidR="00063D87" w:rsidRPr="00063D87">
        <w:t xml:space="preserve"> if desired, coaching and fitness training.</w:t>
      </w:r>
    </w:p>
    <w:p w14:paraId="36E47B42" w14:textId="493AF23A" w:rsidR="00C47FEA" w:rsidRDefault="00C47FEA" w:rsidP="00C47FEA">
      <w:r w:rsidRPr="00E84F60">
        <w:rPr>
          <w:b/>
          <w:bCs/>
        </w:rPr>
        <w:t>Required Information:</w:t>
      </w:r>
      <w:r>
        <w:t xml:space="preserve"> </w:t>
      </w:r>
      <w:r w:rsidR="00063D87">
        <w:t>None</w:t>
      </w:r>
    </w:p>
    <w:p w14:paraId="76595177" w14:textId="74D5D497" w:rsidR="00C47FEA" w:rsidRDefault="00C47FEA" w:rsidP="00C47FEA">
      <w:r w:rsidRPr="00E84F60">
        <w:rPr>
          <w:b/>
          <w:bCs/>
        </w:rPr>
        <w:t>Required Attachments:</w:t>
      </w:r>
    </w:p>
    <w:p w14:paraId="7878B544" w14:textId="641515B9" w:rsidR="00660D42" w:rsidRDefault="00660D42" w:rsidP="00660D42">
      <w:pPr>
        <w:pStyle w:val="ListParagraph"/>
        <w:numPr>
          <w:ilvl w:val="0"/>
          <w:numId w:val="62"/>
        </w:numPr>
      </w:pPr>
      <w:r>
        <w:t>Optional, but highly recommended — a letter of support from the local/county Office of Aging</w:t>
      </w:r>
      <w:r>
        <w:br/>
        <w:t xml:space="preserve">(see </w:t>
      </w:r>
      <w:hyperlink r:id="rId30" w:history="1">
        <w:r w:rsidRPr="008C3C1E">
          <w:rPr>
            <w:rStyle w:val="Hyperlink"/>
          </w:rPr>
          <w:t>https://www.nj.gov/humanservices/doas/assistance/county-offices/index.shtml</w:t>
        </w:r>
      </w:hyperlink>
      <w:r>
        <w:t xml:space="preserve"> for a list of the 21 county offices)</w:t>
      </w:r>
    </w:p>
    <w:p w14:paraId="5217C462" w14:textId="3034E66D" w:rsidR="00063D87" w:rsidRDefault="00660D42" w:rsidP="00063D87">
      <w:pPr>
        <w:pStyle w:val="ListParagraph"/>
        <w:numPr>
          <w:ilvl w:val="0"/>
          <w:numId w:val="62"/>
        </w:numPr>
      </w:pPr>
      <w:r>
        <w:t>On-site transportation: E</w:t>
      </w:r>
      <w:r w:rsidRPr="00063D87">
        <w:t>vidence of existing service and/or an executed contract stipulating fees and frequency of service</w:t>
      </w:r>
      <w:r>
        <w:t>; E</w:t>
      </w:r>
      <w:r w:rsidRPr="00063D87">
        <w:t>vidence of funding</w:t>
      </w:r>
    </w:p>
    <w:p w14:paraId="50DB6F3B" w14:textId="698C317B" w:rsidR="00660D42" w:rsidRDefault="00660D42" w:rsidP="00063D87">
      <w:pPr>
        <w:pStyle w:val="ListParagraph"/>
        <w:numPr>
          <w:ilvl w:val="0"/>
          <w:numId w:val="62"/>
        </w:numPr>
      </w:pPr>
      <w:r>
        <w:t>SIL: None</w:t>
      </w:r>
    </w:p>
    <w:p w14:paraId="35774998" w14:textId="750C381A" w:rsidR="00660D42" w:rsidRDefault="00660D42" w:rsidP="00063D87">
      <w:pPr>
        <w:pStyle w:val="ListParagraph"/>
        <w:numPr>
          <w:ilvl w:val="0"/>
          <w:numId w:val="62"/>
        </w:numPr>
      </w:pPr>
      <w:r>
        <w:t>On-site healthcare provider: F</w:t>
      </w:r>
      <w:r w:rsidRPr="00063D87">
        <w:t>irm agreement</w:t>
      </w:r>
      <w:r>
        <w:t xml:space="preserve"> with third-party provider;</w:t>
      </w:r>
      <w:r w:rsidRPr="00063D87">
        <w:t xml:space="preserve"> </w:t>
      </w:r>
      <w:r>
        <w:t>I</w:t>
      </w:r>
      <w:r w:rsidRPr="00063D87">
        <w:t>nformation on the capacity and experience of the selected third-party</w:t>
      </w:r>
      <w:r>
        <w:t xml:space="preserve"> provider</w:t>
      </w:r>
    </w:p>
    <w:p w14:paraId="2262A73B" w14:textId="57243BAF" w:rsidR="00660D42" w:rsidRDefault="00660D42" w:rsidP="00063D87">
      <w:pPr>
        <w:pStyle w:val="ListParagraph"/>
        <w:numPr>
          <w:ilvl w:val="0"/>
          <w:numId w:val="62"/>
        </w:numPr>
      </w:pPr>
      <w:r>
        <w:t>On-site pharmacy, wellness clinic, etc.: F</w:t>
      </w:r>
      <w:r w:rsidRPr="00063D87">
        <w:t>irm agreement</w:t>
      </w:r>
      <w:r>
        <w:t xml:space="preserve"> with third-party provider</w:t>
      </w:r>
    </w:p>
    <w:p w14:paraId="743BF886" w14:textId="3CA0A0E2" w:rsidR="00660D42" w:rsidRDefault="00660D42" w:rsidP="00063D87">
      <w:pPr>
        <w:pStyle w:val="ListParagraph"/>
        <w:numPr>
          <w:ilvl w:val="0"/>
          <w:numId w:val="62"/>
        </w:numPr>
      </w:pPr>
      <w:r>
        <w:t>Accessible outdoor community spaces: D</w:t>
      </w:r>
      <w:r w:rsidRPr="00063D87">
        <w:t>rawings illustrating the accessible outdoor spaces</w:t>
      </w:r>
    </w:p>
    <w:p w14:paraId="796BD769" w14:textId="0407898F" w:rsidR="00660D42" w:rsidRPr="00EC66DA" w:rsidRDefault="00660D42" w:rsidP="00063D87">
      <w:pPr>
        <w:pStyle w:val="ListParagraph"/>
        <w:numPr>
          <w:ilvl w:val="0"/>
          <w:numId w:val="62"/>
        </w:numPr>
      </w:pPr>
      <w:r>
        <w:t>Exercise room: None</w:t>
      </w:r>
    </w:p>
    <w:p w14:paraId="5B972ECD" w14:textId="61078DF7" w:rsidR="00C47FEA" w:rsidRDefault="00C47FEA" w:rsidP="00C47FEA">
      <w:r w:rsidRPr="00EC66DA">
        <w:rPr>
          <w:b/>
          <w:bCs/>
        </w:rPr>
        <w:t>Note:</w:t>
      </w:r>
      <w:r>
        <w:t xml:space="preserve"> </w:t>
      </w:r>
      <w:r w:rsidR="00660D42" w:rsidRPr="00660D42">
        <w:t>It is also suggested that housing sponsors contact the county Office on Aging well in advance of the deadline for submission of tax credit applications to discuss the project and keep them informed of anticipated leasing timelines.</w:t>
      </w:r>
    </w:p>
    <w:p w14:paraId="4AA8A694" w14:textId="430B6916" w:rsidR="00FF43A7" w:rsidRDefault="00FF43A7">
      <w:r>
        <w:br w:type="page"/>
      </w:r>
    </w:p>
    <w:p w14:paraId="695CD143" w14:textId="3FD22DA5" w:rsidR="00713F77" w:rsidRDefault="00713F77" w:rsidP="00713F77">
      <w:pPr>
        <w:pStyle w:val="Heading3"/>
      </w:pPr>
      <w:bookmarkStart w:id="73" w:name="_Toc230012699"/>
      <w:r>
        <w:lastRenderedPageBreak/>
        <w:t>Supportive Housing Cycle Points</w:t>
      </w:r>
      <w:bookmarkEnd w:id="73"/>
    </w:p>
    <w:p w14:paraId="6B9E7883" w14:textId="2F49D822" w:rsidR="00AD1916" w:rsidRPr="00AD1916" w:rsidRDefault="00AD1916" w:rsidP="00AD1916">
      <w:r>
        <w:t xml:space="preserve">For reference, </w:t>
      </w:r>
      <w:r w:rsidR="003E76F3">
        <w:t xml:space="preserve">this page lists </w:t>
      </w:r>
      <w:r>
        <w:t xml:space="preserve">the point options for the Supportive Housing Cycle. </w:t>
      </w:r>
      <w:r w:rsidR="007C1D51">
        <w:t>All</w:t>
      </w:r>
      <w:r>
        <w:t xml:space="preserve"> requirements are at Part II, Section 14</w:t>
      </w:r>
      <w:r w:rsidR="003E76F3">
        <w:t>, or at Part III, Section C.20.</w:t>
      </w:r>
    </w:p>
    <w:p w14:paraId="08ACDCF6" w14:textId="5EA233FB" w:rsidR="00AD0174" w:rsidRPr="000C7CAD" w:rsidRDefault="00AD0174" w:rsidP="000C7CAD">
      <w:pPr>
        <w:rPr>
          <w:b/>
          <w:bCs/>
        </w:rPr>
      </w:pPr>
      <w:r w:rsidRPr="000C7CAD">
        <w:rPr>
          <w:b/>
          <w:bCs/>
        </w:rPr>
        <w:t>Supportive Housing High Opportunity Areas — up to 3 points for:</w:t>
      </w:r>
    </w:p>
    <w:p w14:paraId="0AF35929" w14:textId="7D20E448" w:rsidR="00AD0174" w:rsidRDefault="00AD0174" w:rsidP="000C7CAD">
      <w:pPr>
        <w:pStyle w:val="ListParagraph"/>
        <w:numPr>
          <w:ilvl w:val="0"/>
          <w:numId w:val="64"/>
        </w:numPr>
      </w:pPr>
      <w:r>
        <w:t>O</w:t>
      </w:r>
      <w:r w:rsidRPr="00AD0174">
        <w:t>n-site transportation at least once per week</w:t>
      </w:r>
      <w:r>
        <w:t xml:space="preserve"> — 2 points</w:t>
      </w:r>
    </w:p>
    <w:p w14:paraId="166E5C23" w14:textId="0E309D9C" w:rsidR="00AD0174" w:rsidRDefault="00AD0174" w:rsidP="000C7CAD">
      <w:pPr>
        <w:pStyle w:val="ListParagraph"/>
        <w:numPr>
          <w:ilvl w:val="0"/>
          <w:numId w:val="64"/>
        </w:numPr>
      </w:pPr>
      <w:r>
        <w:t>Non-age-restricted p</w:t>
      </w:r>
      <w:r w:rsidRPr="00AD0174">
        <w:t xml:space="preserve">roject fully located within a school district where </w:t>
      </w:r>
      <w:r>
        <w:t xml:space="preserve">at least </w:t>
      </w:r>
      <w:r w:rsidRPr="00AD0174">
        <w:t>40</w:t>
      </w:r>
      <w:r>
        <w:t>%</w:t>
      </w:r>
      <w:r w:rsidRPr="00AD0174">
        <w:t xml:space="preserve"> of the students are </w:t>
      </w:r>
      <w:r w:rsidR="00D8235D">
        <w:t>Level 4/5</w:t>
      </w:r>
      <w:r w:rsidRPr="00AD0174">
        <w:t xml:space="preserve"> on the Grade 4 </w:t>
      </w:r>
      <w:r w:rsidR="00D8235D">
        <w:t>NJ</w:t>
      </w:r>
      <w:r w:rsidRPr="00AD0174">
        <w:t xml:space="preserve"> Student Learning Assessments (NJSLA) in both Math and English Language Arts (ELA) </w:t>
      </w:r>
      <w:r>
        <w:t xml:space="preserve">— 1 </w:t>
      </w:r>
      <w:r w:rsidRPr="00AD0174">
        <w:t>point</w:t>
      </w:r>
    </w:p>
    <w:p w14:paraId="6CAB6468" w14:textId="61AB10F1" w:rsidR="00AD0174" w:rsidRDefault="00AD0174" w:rsidP="000C7CAD">
      <w:pPr>
        <w:pStyle w:val="ListParagraph"/>
        <w:numPr>
          <w:ilvl w:val="0"/>
          <w:numId w:val="64"/>
        </w:numPr>
      </w:pPr>
      <w:r>
        <w:t xml:space="preserve">Age-restricted project </w:t>
      </w:r>
      <w:r w:rsidRPr="00AD0174">
        <w:t>fully located in municipality w</w:t>
      </w:r>
      <w:r w:rsidR="00F737E1">
        <w:t>ith</w:t>
      </w:r>
      <w:r w:rsidRPr="00AD0174">
        <w:t xml:space="preserve"> </w:t>
      </w:r>
      <w:r>
        <w:t xml:space="preserve">at least </w:t>
      </w:r>
      <w:r w:rsidRPr="00AD0174">
        <w:t>25</w:t>
      </w:r>
      <w:r>
        <w:t>%</w:t>
      </w:r>
      <w:r w:rsidRPr="00AD0174">
        <w:t xml:space="preserve"> of residents 55 years of age or older</w:t>
      </w:r>
      <w:r>
        <w:t xml:space="preserve"> — 1 point</w:t>
      </w:r>
    </w:p>
    <w:p w14:paraId="1303F4F1" w14:textId="690BA19B" w:rsidR="00AD0174" w:rsidRPr="000C7CAD" w:rsidRDefault="00AD0174" w:rsidP="000C7CAD">
      <w:pPr>
        <w:rPr>
          <w:b/>
          <w:bCs/>
        </w:rPr>
      </w:pPr>
      <w:r w:rsidRPr="000C7CAD">
        <w:rPr>
          <w:b/>
          <w:bCs/>
        </w:rPr>
        <w:t>Supportive Housing Points — up to 20 points for:</w:t>
      </w:r>
    </w:p>
    <w:p w14:paraId="348687EB" w14:textId="2370CCC2" w:rsidR="00AD1916" w:rsidRDefault="00AD1916" w:rsidP="000C7CAD">
      <w:pPr>
        <w:pStyle w:val="ListParagraph"/>
        <w:numPr>
          <w:ilvl w:val="0"/>
          <w:numId w:val="64"/>
        </w:numPr>
      </w:pPr>
      <w:r>
        <w:t>Social services plan with: descriptions of the supportive service needs of the target population, experience of provider(s); facilitation of tenant-landlord relations, tenant selection and screening, etc.; provision of one of: (1) 24/7 crisis response, (2) financial training, (3) ongoing healthcare/prevention services; and annual mandatory staff training on matters specific to the special needs population(s) — 5 points</w:t>
      </w:r>
    </w:p>
    <w:p w14:paraId="28190B6E" w14:textId="28184EF8" w:rsidR="00AD1916" w:rsidRDefault="00AD1916" w:rsidP="000C7CAD">
      <w:pPr>
        <w:pStyle w:val="ListParagraph"/>
        <w:numPr>
          <w:ilvl w:val="0"/>
          <w:numId w:val="64"/>
        </w:numPr>
      </w:pPr>
      <w:r>
        <w:t>On-site healthy lifestyles education and programming — 1 point</w:t>
      </w:r>
    </w:p>
    <w:p w14:paraId="63D83242" w14:textId="3A19F1A5" w:rsidR="00AD1916" w:rsidRDefault="00AD1916" w:rsidP="000C7CAD">
      <w:pPr>
        <w:pStyle w:val="ListParagraph"/>
        <w:numPr>
          <w:ilvl w:val="0"/>
          <w:numId w:val="64"/>
        </w:numPr>
      </w:pPr>
      <w:r>
        <w:t>Job training and job search assistance and support — 1 point</w:t>
      </w:r>
    </w:p>
    <w:p w14:paraId="780CE9C3" w14:textId="2F4CD644" w:rsidR="00AD1916" w:rsidRDefault="00AD1916" w:rsidP="000C7CAD">
      <w:pPr>
        <w:pStyle w:val="ListParagraph"/>
        <w:numPr>
          <w:ilvl w:val="0"/>
          <w:numId w:val="64"/>
        </w:numPr>
      </w:pPr>
      <w:r>
        <w:t>All units developed as lease-based permanent supportive housing — 2 points</w:t>
      </w:r>
    </w:p>
    <w:p w14:paraId="2270CB3D" w14:textId="1D6535A1" w:rsidR="00AD1916" w:rsidRDefault="00AD1916" w:rsidP="000C7CAD">
      <w:pPr>
        <w:pStyle w:val="ListParagraph"/>
        <w:numPr>
          <w:ilvl w:val="0"/>
          <w:numId w:val="64"/>
        </w:numPr>
      </w:pPr>
      <w:r>
        <w:t>Government-funded project-based or sponsor-based rental assistance for all special needs units — 2 points</w:t>
      </w:r>
    </w:p>
    <w:p w14:paraId="5C319E21" w14:textId="1AB09976" w:rsidR="00AD1916" w:rsidRDefault="00AD1916" w:rsidP="000C7CAD">
      <w:pPr>
        <w:pStyle w:val="ListParagraph"/>
        <w:numPr>
          <w:ilvl w:val="0"/>
          <w:numId w:val="64"/>
        </w:numPr>
      </w:pPr>
      <w:r>
        <w:t>Integrated community living opportunities (mixed-income, mixed-special needs, scattered-site) — 2 points</w:t>
      </w:r>
    </w:p>
    <w:p w14:paraId="087F94CA" w14:textId="60279785" w:rsidR="00AD1916" w:rsidRDefault="00AD1916" w:rsidP="000C7CAD">
      <w:pPr>
        <w:pStyle w:val="ListParagraph"/>
        <w:numPr>
          <w:ilvl w:val="0"/>
          <w:numId w:val="64"/>
        </w:numPr>
      </w:pPr>
      <w:r>
        <w:t>All four minimum living standards met: (1) dwelling units in which each bedroom measures not less than 100 sq. ft.; (2) unrelated residents have their own bedroom; (3) no more than four unrelated adults share a bathroom; and (4) Residents have access to a full kitchen for meal preparation — 5 points</w:t>
      </w:r>
    </w:p>
    <w:p w14:paraId="68A26A4A" w14:textId="5D44F13A" w:rsidR="00D8235D" w:rsidRDefault="00D8235D" w:rsidP="000C7CAD">
      <w:pPr>
        <w:pStyle w:val="ListParagraph"/>
        <w:numPr>
          <w:ilvl w:val="0"/>
          <w:numId w:val="64"/>
        </w:numPr>
      </w:pPr>
      <w:r>
        <w:t>EITHER:</w:t>
      </w:r>
    </w:p>
    <w:p w14:paraId="2DB14271" w14:textId="6AAAA43A" w:rsidR="00AD1916" w:rsidRDefault="00AD1916" w:rsidP="00D8235D">
      <w:pPr>
        <w:pStyle w:val="ListParagraph"/>
        <w:numPr>
          <w:ilvl w:val="1"/>
          <w:numId w:val="64"/>
        </w:numPr>
      </w:pPr>
      <w:r>
        <w:t>Q</w:t>
      </w:r>
      <w:r w:rsidRPr="00AD1916">
        <w:t xml:space="preserve">ualified nonprofit </w:t>
      </w:r>
      <w:r w:rsidR="00D8235D">
        <w:t>has</w:t>
      </w:r>
      <w:r w:rsidRPr="00AD1916">
        <w:t xml:space="preserve"> 100</w:t>
      </w:r>
      <w:r>
        <w:t>%</w:t>
      </w:r>
      <w:r w:rsidRPr="00AD1916">
        <w:t xml:space="preserve"> of </w:t>
      </w:r>
      <w:r>
        <w:t>GP</w:t>
      </w:r>
      <w:r w:rsidRPr="00AD1916">
        <w:t xml:space="preserve"> interest in the final ownership entity </w:t>
      </w:r>
      <w:r>
        <w:t>— 2 points</w:t>
      </w:r>
      <w:r w:rsidR="00D8235D">
        <w:t>; OR</w:t>
      </w:r>
    </w:p>
    <w:p w14:paraId="2B1E3EA9" w14:textId="56F5D0E4" w:rsidR="00AD1916" w:rsidRDefault="00AD1916" w:rsidP="00D8235D">
      <w:pPr>
        <w:pStyle w:val="ListParagraph"/>
        <w:numPr>
          <w:ilvl w:val="1"/>
          <w:numId w:val="64"/>
        </w:numPr>
      </w:pPr>
      <w:r>
        <w:t>Q</w:t>
      </w:r>
      <w:r w:rsidRPr="00AD1916">
        <w:t xml:space="preserve">ualified nonprofit </w:t>
      </w:r>
      <w:r w:rsidR="00D8235D">
        <w:t>has</w:t>
      </w:r>
      <w:r w:rsidRPr="00AD1916">
        <w:t xml:space="preserve"> </w:t>
      </w:r>
      <w:r>
        <w:t>at least 5</w:t>
      </w:r>
      <w:r w:rsidRPr="00AD1916">
        <w:t>0</w:t>
      </w:r>
      <w:r>
        <w:t>%, but less than 100%,</w:t>
      </w:r>
      <w:r w:rsidRPr="00AD1916">
        <w:t xml:space="preserve"> of </w:t>
      </w:r>
      <w:r>
        <w:t>GP</w:t>
      </w:r>
      <w:r w:rsidRPr="00AD1916">
        <w:t xml:space="preserve"> interest in the final ownership entity </w:t>
      </w:r>
      <w:r>
        <w:t>— 1 point</w:t>
      </w:r>
    </w:p>
    <w:p w14:paraId="69DB4672" w14:textId="0D6A1004" w:rsidR="003E76F3" w:rsidRDefault="003E76F3">
      <w:r>
        <w:br w:type="page"/>
      </w:r>
    </w:p>
    <w:p w14:paraId="65C8DF2B" w14:textId="77777777" w:rsidR="003E76F3" w:rsidRDefault="003E76F3" w:rsidP="003E76F3">
      <w:pPr>
        <w:pStyle w:val="Heading3"/>
      </w:pPr>
      <w:bookmarkStart w:id="74" w:name="_Toc230012700"/>
      <w:r>
        <w:lastRenderedPageBreak/>
        <w:t>Qualified Nonprofit Sponsor</w:t>
      </w:r>
      <w:bookmarkEnd w:id="74"/>
    </w:p>
    <w:p w14:paraId="1D2F2F1D" w14:textId="6E6D2F26" w:rsidR="003E76F3" w:rsidRPr="003E76F3" w:rsidRDefault="003E76F3" w:rsidP="003E76F3">
      <w:pPr>
        <w:rPr>
          <w:b/>
          <w:bCs/>
        </w:rPr>
      </w:pPr>
      <w:r w:rsidRPr="003E76F3">
        <w:rPr>
          <w:b/>
          <w:bCs/>
        </w:rPr>
        <w:t>Required Attachments:</w:t>
      </w:r>
    </w:p>
    <w:p w14:paraId="66265C2C" w14:textId="55CC6443" w:rsidR="003E76F3" w:rsidRDefault="003E76F3" w:rsidP="003E76F3">
      <w:r>
        <w:t>If this is a nonprofit-sponsored project, for each general partner that is a qualified nonprofit organization under the meaning of the Code as well as under the 2026 Qualified Allocation Plan, complete and include all of the following documents:</w:t>
      </w:r>
    </w:p>
    <w:p w14:paraId="68AADEDF" w14:textId="77777777" w:rsidR="003E76F3" w:rsidRDefault="003E76F3" w:rsidP="003E76F3">
      <w:pPr>
        <w:pStyle w:val="ListParagraph"/>
        <w:numPr>
          <w:ilvl w:val="0"/>
          <w:numId w:val="33"/>
        </w:numPr>
      </w:pPr>
      <w:r w:rsidRPr="00761BEF">
        <w:t>Nonprofit Certification (see LIHTC Appendix);</w:t>
      </w:r>
    </w:p>
    <w:p w14:paraId="7E34F783" w14:textId="77777777" w:rsidR="003E76F3" w:rsidRDefault="003E76F3" w:rsidP="003E76F3">
      <w:pPr>
        <w:pStyle w:val="ListParagraph"/>
        <w:numPr>
          <w:ilvl w:val="0"/>
          <w:numId w:val="33"/>
        </w:numPr>
      </w:pPr>
      <w:r>
        <w:t>Summary of the qualified nonprofit general partner’s proposed material participation in the development of the project;</w:t>
      </w:r>
    </w:p>
    <w:p w14:paraId="51084903" w14:textId="77777777" w:rsidR="003E76F3" w:rsidRDefault="003E76F3" w:rsidP="003E76F3">
      <w:pPr>
        <w:pStyle w:val="ListParagraph"/>
        <w:numPr>
          <w:ilvl w:val="0"/>
          <w:numId w:val="33"/>
        </w:numPr>
      </w:pPr>
      <w:r w:rsidRPr="00761BEF">
        <w:t>R</w:t>
      </w:r>
      <w:r w:rsidRPr="00456251">
        <w:t>é</w:t>
      </w:r>
      <w:r w:rsidRPr="00761BEF">
        <w:t>sum</w:t>
      </w:r>
      <w:r w:rsidRPr="00456251">
        <w:t>é</w:t>
      </w:r>
      <w:r w:rsidRPr="00761BEF">
        <w:t>;</w:t>
      </w:r>
    </w:p>
    <w:p w14:paraId="45E5CBA3" w14:textId="77777777" w:rsidR="003E76F3" w:rsidRDefault="003E76F3" w:rsidP="003E76F3">
      <w:pPr>
        <w:pStyle w:val="ListParagraph"/>
        <w:numPr>
          <w:ilvl w:val="0"/>
          <w:numId w:val="33"/>
        </w:numPr>
      </w:pPr>
      <w:r w:rsidRPr="00761BEF">
        <w:t>By-Laws/Articles of Incorporation;</w:t>
      </w:r>
    </w:p>
    <w:p w14:paraId="1BC1F400" w14:textId="77777777" w:rsidR="003E76F3" w:rsidRDefault="003E76F3" w:rsidP="003E76F3">
      <w:pPr>
        <w:pStyle w:val="ListParagraph"/>
        <w:numPr>
          <w:ilvl w:val="0"/>
          <w:numId w:val="33"/>
        </w:numPr>
      </w:pPr>
      <w:r w:rsidRPr="00761BEF">
        <w:t>List of board members/officers; and</w:t>
      </w:r>
    </w:p>
    <w:p w14:paraId="7ABA57EC" w14:textId="77777777" w:rsidR="003E76F3" w:rsidRDefault="003E76F3" w:rsidP="003E76F3">
      <w:pPr>
        <w:pStyle w:val="ListParagraph"/>
        <w:numPr>
          <w:ilvl w:val="0"/>
          <w:numId w:val="33"/>
        </w:numPr>
      </w:pPr>
      <w:r w:rsidRPr="00761BEF">
        <w:t>If applicable, a copy of the turnkey/development agreement between the developer and limited partnership or the joint venture agreement that clearly defines the nonprofit’s ownership interest.</w:t>
      </w:r>
    </w:p>
    <w:p w14:paraId="4B52B14F" w14:textId="33B827B5" w:rsidR="00727D91" w:rsidRDefault="00727D91"/>
    <w:p w14:paraId="1D0A3916" w14:textId="77777777" w:rsidR="00BF0683" w:rsidRDefault="00BF0683" w:rsidP="00BF0683">
      <w:pPr>
        <w:pStyle w:val="Heading3"/>
      </w:pPr>
      <w:bookmarkStart w:id="75" w:name="_Toc230012701"/>
      <w:r>
        <w:t>Bonus Point</w:t>
      </w:r>
      <w:bookmarkEnd w:id="75"/>
    </w:p>
    <w:p w14:paraId="44DC690B" w14:textId="52904902" w:rsidR="009950B4" w:rsidRDefault="009950B4" w:rsidP="009950B4">
      <w:r w:rsidRPr="00E84F60">
        <w:rPr>
          <w:b/>
          <w:bCs/>
        </w:rPr>
        <w:t>Point Option</w:t>
      </w:r>
      <w:r>
        <w:rPr>
          <w:b/>
          <w:bCs/>
        </w:rPr>
        <w:t>s</w:t>
      </w:r>
      <w:r w:rsidRPr="00E84F60">
        <w:rPr>
          <w:b/>
          <w:bCs/>
        </w:rPr>
        <w:t>:</w:t>
      </w:r>
    </w:p>
    <w:p w14:paraId="30B60952" w14:textId="1AD87E14" w:rsidR="009950B4" w:rsidRDefault="009950B4" w:rsidP="009950B4">
      <w:pPr>
        <w:pStyle w:val="ListParagraph"/>
        <w:numPr>
          <w:ilvl w:val="0"/>
          <w:numId w:val="63"/>
        </w:numPr>
      </w:pPr>
      <w:r w:rsidRPr="009950B4">
        <w:t>At least 20</w:t>
      </w:r>
      <w:r>
        <w:t>%</w:t>
      </w:r>
      <w:r w:rsidRPr="009950B4">
        <w:t xml:space="preserve"> of the units are set aside for unrestricted, market-rate tenants </w:t>
      </w:r>
      <w:r>
        <w:t>and project does NOT request</w:t>
      </w:r>
      <w:r w:rsidRPr="009950B4">
        <w:t xml:space="preserve"> the 130</w:t>
      </w:r>
      <w:r>
        <w:t>%</w:t>
      </w:r>
      <w:r w:rsidRPr="009950B4">
        <w:t xml:space="preserve"> basis boost</w:t>
      </w:r>
      <w:r>
        <w:t xml:space="preserve"> </w:t>
      </w:r>
      <w:r w:rsidRPr="009950B4">
        <w:t>authorized pursuant to the Housing and Economic Recovery Act of 2008 (HERA)</w:t>
      </w:r>
      <w:r>
        <w:t xml:space="preserve"> — 1 point</w:t>
      </w:r>
    </w:p>
    <w:p w14:paraId="719E7F29" w14:textId="6F34B508" w:rsidR="009950B4" w:rsidRDefault="009950B4" w:rsidP="009950B4">
      <w:pPr>
        <w:pStyle w:val="ListParagraph"/>
        <w:numPr>
          <w:ilvl w:val="0"/>
          <w:numId w:val="63"/>
        </w:numPr>
      </w:pPr>
      <w:r w:rsidRPr="009950B4">
        <w:t>At least 20</w:t>
      </w:r>
      <w:r>
        <w:t xml:space="preserve">% </w:t>
      </w:r>
      <w:r w:rsidRPr="009950B4">
        <w:t>of the units are underwritten at or below 30</w:t>
      </w:r>
      <w:r>
        <w:t xml:space="preserve">% of </w:t>
      </w:r>
      <w:r w:rsidRPr="009950B4">
        <w:t>AM</w:t>
      </w:r>
      <w:r>
        <w:t>I</w:t>
      </w:r>
      <w:r w:rsidRPr="009950B4">
        <w:t xml:space="preserve"> </w:t>
      </w:r>
      <w:r>
        <w:t>and do not receive</w:t>
      </w:r>
      <w:r w:rsidRPr="009950B4">
        <w:t xml:space="preserve"> rental assistance </w:t>
      </w:r>
      <w:r>
        <w:t>— 1 point</w:t>
      </w:r>
    </w:p>
    <w:p w14:paraId="4D2286B3" w14:textId="5C555FBF" w:rsidR="009950B4" w:rsidRPr="009852BD" w:rsidRDefault="009950B4" w:rsidP="009950B4">
      <w:pPr>
        <w:pStyle w:val="ListParagraph"/>
        <w:numPr>
          <w:ilvl w:val="0"/>
          <w:numId w:val="63"/>
        </w:numPr>
      </w:pPr>
      <w:r w:rsidRPr="009950B4">
        <w:t>Traditional multifamily pooled permanent bond financing through NJHMFA</w:t>
      </w:r>
      <w:r>
        <w:t xml:space="preserve"> — 1 point</w:t>
      </w:r>
    </w:p>
    <w:p w14:paraId="56B6AE20" w14:textId="338CA16E" w:rsidR="009950B4" w:rsidRDefault="009950B4" w:rsidP="009950B4">
      <w:r w:rsidRPr="00E84F60">
        <w:rPr>
          <w:b/>
          <w:bCs/>
        </w:rPr>
        <w:t>Required Information:</w:t>
      </w:r>
    </w:p>
    <w:p w14:paraId="30C827BE" w14:textId="621E7230" w:rsidR="00727D91" w:rsidRDefault="00727D91" w:rsidP="009950B4">
      <w:r>
        <w:t>If you selected the first or second bonus point option,</w:t>
      </w:r>
    </w:p>
    <w:p w14:paraId="6AD5CC10" w14:textId="6D5BF66F" w:rsidR="00727D91" w:rsidRDefault="00727D91" w:rsidP="00727D91">
      <w:pPr>
        <w:tabs>
          <w:tab w:val="left" w:pos="1440"/>
          <w:tab w:val="left" w:pos="4320"/>
          <w:tab w:val="left" w:pos="5040"/>
          <w:tab w:val="left" w:pos="5760"/>
        </w:tabs>
      </w:pPr>
      <w:r>
        <w:t xml:space="preserve">Market-Rate Units </w:t>
      </w:r>
      <w:r w:rsidR="003E76F3">
        <w:t>or</w:t>
      </w:r>
      <w:r>
        <w:t xml:space="preserve"> 30% AMI Units:</w:t>
      </w:r>
      <w:r>
        <w:tab/>
      </w:r>
      <w:r>
        <w:tab/>
        <w:t>_____</w:t>
      </w:r>
      <w:r>
        <w:tab/>
        <w:t>units</w:t>
      </w:r>
      <w:r>
        <w:br/>
        <w:t>divided by</w:t>
      </w:r>
      <w:r>
        <w:tab/>
        <w:t>Total Units:</w:t>
      </w:r>
      <w:r>
        <w:tab/>
        <w:t>÷</w:t>
      </w:r>
      <w:r>
        <w:tab/>
        <w:t>_____</w:t>
      </w:r>
      <w:r>
        <w:tab/>
        <w:t>units</w:t>
      </w:r>
    </w:p>
    <w:p w14:paraId="76670FCB" w14:textId="5F538B7E" w:rsidR="00727D91" w:rsidRDefault="00727D91" w:rsidP="00727D91">
      <w:r>
        <w:t>Equals</w:t>
      </w:r>
      <w:r>
        <w:tab/>
        <w:t>Bonus Point Unit Percentage:</w:t>
      </w:r>
      <w:r>
        <w:tab/>
      </w:r>
      <w:r>
        <w:tab/>
        <w:t>=</w:t>
      </w:r>
      <w:r>
        <w:tab/>
        <w:t>_____</w:t>
      </w:r>
      <w:r>
        <w:tab/>
        <w:t>%</w:t>
      </w:r>
    </w:p>
    <w:p w14:paraId="3942E761" w14:textId="55E7B910" w:rsidR="009950B4" w:rsidRDefault="009950B4" w:rsidP="009950B4">
      <w:r w:rsidRPr="00E84F60">
        <w:rPr>
          <w:b/>
          <w:bCs/>
        </w:rPr>
        <w:t>Required Attachments:</w:t>
      </w:r>
      <w:r>
        <w:t xml:space="preserve"> None</w:t>
      </w:r>
    </w:p>
    <w:p w14:paraId="35A090CC" w14:textId="6BDFAE02" w:rsidR="000C7CAD" w:rsidRDefault="000C7CAD">
      <w:r>
        <w:br w:type="page"/>
      </w:r>
    </w:p>
    <w:p w14:paraId="4745C9A5" w14:textId="77777777" w:rsidR="00BF0683" w:rsidRDefault="00BF0683" w:rsidP="00BF0683">
      <w:pPr>
        <w:pStyle w:val="Heading3"/>
      </w:pPr>
      <w:bookmarkStart w:id="76" w:name="_Toc230012702"/>
      <w:r>
        <w:lastRenderedPageBreak/>
        <w:t>Negative Points</w:t>
      </w:r>
      <w:bookmarkEnd w:id="76"/>
    </w:p>
    <w:p w14:paraId="62EC6945" w14:textId="290137F8" w:rsidR="00C65B69" w:rsidRDefault="002C5F20" w:rsidP="00C65B69">
      <w:r>
        <w:t>Check “Yes” or “No” for each of the following statements that apply to any general partner, voting member, developer, or related party for the application. Failure by the general partner, voting member, developer, or related party to respond will result in the deduction of points as provided.</w:t>
      </w:r>
    </w:p>
    <w:p w14:paraId="56B8DAC2" w14:textId="77777777" w:rsidR="007C12CE" w:rsidRDefault="007C12CE" w:rsidP="00C65B69"/>
    <w:p w14:paraId="64EC964F" w14:textId="216779BA" w:rsidR="002C5F20" w:rsidRPr="002C5F20" w:rsidRDefault="002C5F20" w:rsidP="002C5F20">
      <w:pPr>
        <w:rPr>
          <w:b/>
          <w:bCs/>
        </w:rPr>
      </w:pPr>
      <w:r w:rsidRPr="002C5F20">
        <w:rPr>
          <w:b/>
          <w:bCs/>
        </w:rPr>
        <w:t>Uncorrected Non</w:t>
      </w:r>
      <w:r w:rsidR="000C7CAD">
        <w:rPr>
          <w:b/>
          <w:bCs/>
        </w:rPr>
        <w:t>c</w:t>
      </w:r>
      <w:r w:rsidRPr="002C5F20">
        <w:rPr>
          <w:b/>
          <w:bCs/>
        </w:rPr>
        <w:t>ompliance:</w:t>
      </w:r>
    </w:p>
    <w:p w14:paraId="634F2ED6" w14:textId="6297EB25" w:rsidR="002C5F20" w:rsidRDefault="002C5F20" w:rsidP="002C5F20">
      <w:r>
        <w:t>The general partner, voting member, developer, or any related party has an uncorrected noncompliance for a N</w:t>
      </w:r>
      <w:r w:rsidR="004B2951">
        <w:t xml:space="preserve">ew </w:t>
      </w:r>
      <w:r>
        <w:t>J</w:t>
      </w:r>
      <w:r w:rsidR="004B2951">
        <w:t>ersey</w:t>
      </w:r>
      <w:r>
        <w:t xml:space="preserve"> LIHTC project(s) for </w:t>
      </w:r>
      <w:r w:rsidR="004B2951">
        <w:t xml:space="preserve">any of </w:t>
      </w:r>
      <w:r>
        <w:t>the following reasons:</w:t>
      </w:r>
    </w:p>
    <w:p w14:paraId="6FC4B549" w14:textId="20B0DFA0" w:rsidR="002C5F20" w:rsidRDefault="004B2951" w:rsidP="00454F1E">
      <w:pPr>
        <w:pStyle w:val="ListParagraph"/>
        <w:numPr>
          <w:ilvl w:val="1"/>
          <w:numId w:val="66"/>
        </w:numPr>
      </w:pPr>
      <w:r>
        <w:t>V</w:t>
      </w:r>
      <w:r w:rsidR="002C5F20">
        <w:t>iolation of State and local building codes or health ordinances — minus 15 points</w:t>
      </w:r>
      <w:r w:rsidR="00F737E1">
        <w:t>.</w:t>
      </w:r>
    </w:p>
    <w:p w14:paraId="686BA0C9" w14:textId="423727BE" w:rsidR="002C5F20" w:rsidRDefault="002C5F20" w:rsidP="00454F1E">
      <w:pPr>
        <w:pStyle w:val="ListParagraph"/>
        <w:numPr>
          <w:ilvl w:val="1"/>
          <w:numId w:val="66"/>
        </w:numPr>
      </w:pPr>
      <w:r>
        <w:t>Failure of one or more major systems (e.g., roof, HVAC, elevators, plumbing, electric) — minus 15 points</w:t>
      </w:r>
      <w:r w:rsidR="00F737E1">
        <w:t>.</w:t>
      </w:r>
    </w:p>
    <w:p w14:paraId="0404352F" w14:textId="58FC7CAA" w:rsidR="002C5F20" w:rsidRDefault="002C5F20" w:rsidP="00454F1E">
      <w:pPr>
        <w:pStyle w:val="ListParagraph"/>
        <w:numPr>
          <w:ilvl w:val="1"/>
          <w:numId w:val="66"/>
        </w:numPr>
      </w:pPr>
      <w:r>
        <w:t xml:space="preserve">Failure to fulfill any QAP provisions as represented by an owner in a project’s NJ LIHTC application </w:t>
      </w:r>
      <w:r w:rsidR="000C7CAD">
        <w:t xml:space="preserve">— minus </w:t>
      </w:r>
      <w:r>
        <w:t>10 p</w:t>
      </w:r>
      <w:r w:rsidR="000C7CAD">
        <w:t>oints</w:t>
      </w:r>
      <w:r w:rsidR="00F737E1">
        <w:t>.</w:t>
      </w:r>
    </w:p>
    <w:p w14:paraId="28F33609" w14:textId="21437227" w:rsidR="000A425D" w:rsidRDefault="000A425D" w:rsidP="002C5F20">
      <w:r>
        <w:fldChar w:fldCharType="begin">
          <w:ffData>
            <w:name w:val="Check13"/>
            <w:enabled/>
            <w:calcOnExit w:val="0"/>
            <w:checkBox>
              <w:sizeAuto/>
              <w:default w:val="0"/>
            </w:checkBox>
          </w:ffData>
        </w:fldChar>
      </w:r>
      <w:bookmarkStart w:id="77" w:name="Check13"/>
      <w:r>
        <w:instrText xml:space="preserve"> FORMCHECKBOX </w:instrText>
      </w:r>
      <w:r w:rsidR="00FB3676">
        <w:fldChar w:fldCharType="separate"/>
      </w:r>
      <w:r>
        <w:fldChar w:fldCharType="end"/>
      </w:r>
      <w:bookmarkEnd w:id="77"/>
      <w:r>
        <w:t xml:space="preserve"> Yes</w:t>
      </w:r>
      <w:r>
        <w:tab/>
      </w:r>
      <w:r>
        <w:fldChar w:fldCharType="begin">
          <w:ffData>
            <w:name w:val="Check14"/>
            <w:enabled/>
            <w:calcOnExit w:val="0"/>
            <w:checkBox>
              <w:sizeAuto/>
              <w:default w:val="0"/>
            </w:checkBox>
          </w:ffData>
        </w:fldChar>
      </w:r>
      <w:bookmarkStart w:id="78" w:name="Check14"/>
      <w:r>
        <w:instrText xml:space="preserve"> FORMCHECKBOX </w:instrText>
      </w:r>
      <w:r w:rsidR="00FB3676">
        <w:fldChar w:fldCharType="separate"/>
      </w:r>
      <w:r>
        <w:fldChar w:fldCharType="end"/>
      </w:r>
      <w:bookmarkEnd w:id="78"/>
      <w:r>
        <w:t xml:space="preserve"> No</w:t>
      </w:r>
    </w:p>
    <w:p w14:paraId="2F82D848" w14:textId="29A13822" w:rsidR="002C5F20" w:rsidRDefault="002C5F20" w:rsidP="002C5F20">
      <w:r>
        <w:t>If yes, provide on a separate page the name</w:t>
      </w:r>
      <w:r w:rsidR="000C7CAD">
        <w:t>(s)</w:t>
      </w:r>
      <w:r>
        <w:t xml:space="preserve"> of the project(s) </w:t>
      </w:r>
      <w:r w:rsidR="000C7CAD">
        <w:t>with</w:t>
      </w:r>
      <w:r>
        <w:t xml:space="preserve"> description</w:t>
      </w:r>
      <w:r w:rsidR="000C7CAD">
        <w:t>(s)</w:t>
      </w:r>
      <w:r>
        <w:t xml:space="preserve"> of the noncomplian</w:t>
      </w:r>
      <w:r w:rsidR="004B2951">
        <w:t>ce(s)</w:t>
      </w:r>
      <w:r>
        <w:t>.</w:t>
      </w:r>
    </w:p>
    <w:p w14:paraId="0AC421FB" w14:textId="77777777" w:rsidR="007C12CE" w:rsidRDefault="007C12CE" w:rsidP="002C5F20"/>
    <w:p w14:paraId="49B0048B" w14:textId="7AB5D001" w:rsidR="002C5F20" w:rsidRPr="00F737E1" w:rsidRDefault="002C5F20" w:rsidP="002C5F20">
      <w:pPr>
        <w:rPr>
          <w:b/>
          <w:bCs/>
        </w:rPr>
      </w:pPr>
      <w:r w:rsidRPr="00F737E1">
        <w:rPr>
          <w:b/>
          <w:bCs/>
        </w:rPr>
        <w:t>Full Credit Return Involvement</w:t>
      </w:r>
      <w:r w:rsidR="00F737E1" w:rsidRPr="00F737E1">
        <w:rPr>
          <w:b/>
          <w:bCs/>
        </w:rPr>
        <w:t>:</w:t>
      </w:r>
    </w:p>
    <w:p w14:paraId="3FEF5350" w14:textId="1C2206FE" w:rsidR="002C5F20" w:rsidRDefault="002C5F20" w:rsidP="002C5F20">
      <w:r>
        <w:t>The general partner</w:t>
      </w:r>
      <w:r w:rsidR="00F737E1">
        <w:t>,</w:t>
      </w:r>
      <w:r>
        <w:t xml:space="preserve"> voting member</w:t>
      </w:r>
      <w:r w:rsidR="00F737E1">
        <w:t xml:space="preserve">, </w:t>
      </w:r>
      <w:r>
        <w:t>developer</w:t>
      </w:r>
      <w:r w:rsidR="00F737E1">
        <w:t>,</w:t>
      </w:r>
      <w:r>
        <w:t xml:space="preserve"> or any related party has been involved in a full credit return in the State of New Jersey for a </w:t>
      </w:r>
      <w:r w:rsidR="00F737E1">
        <w:t>LIHTC project — minus 5 points.</w:t>
      </w:r>
    </w:p>
    <w:p w14:paraId="32434F17" w14:textId="77777777" w:rsidR="000A425D" w:rsidRDefault="000A425D" w:rsidP="000A425D">
      <w:r>
        <w:fldChar w:fldCharType="begin">
          <w:ffData>
            <w:name w:val="Check13"/>
            <w:enabled/>
            <w:calcOnExit w:val="0"/>
            <w:checkBox>
              <w:sizeAuto/>
              <w:default w:val="0"/>
            </w:checkBox>
          </w:ffData>
        </w:fldChar>
      </w:r>
      <w:r>
        <w:instrText xml:space="preserve"> FORMCHECKBOX </w:instrText>
      </w:r>
      <w:r w:rsidR="00FB3676">
        <w:fldChar w:fldCharType="separate"/>
      </w:r>
      <w:r>
        <w:fldChar w:fldCharType="end"/>
      </w:r>
      <w:r>
        <w:t xml:space="preserve"> Yes</w:t>
      </w:r>
      <w:r>
        <w:tab/>
      </w:r>
      <w:r>
        <w:fldChar w:fldCharType="begin">
          <w:ffData>
            <w:name w:val="Check14"/>
            <w:enabled/>
            <w:calcOnExit w:val="0"/>
            <w:checkBox>
              <w:sizeAuto/>
              <w:default w:val="0"/>
            </w:checkBox>
          </w:ffData>
        </w:fldChar>
      </w:r>
      <w:r>
        <w:instrText xml:space="preserve"> FORMCHECKBOX </w:instrText>
      </w:r>
      <w:r w:rsidR="00FB3676">
        <w:fldChar w:fldCharType="separate"/>
      </w:r>
      <w:r>
        <w:fldChar w:fldCharType="end"/>
      </w:r>
      <w:r>
        <w:t xml:space="preserve"> No</w:t>
      </w:r>
    </w:p>
    <w:p w14:paraId="5B5BF01D" w14:textId="5EF7CCC5" w:rsidR="002C5F20" w:rsidRDefault="002C5F20" w:rsidP="002C5F20">
      <w:r>
        <w:t>If yes, provide on a separate page the name</w:t>
      </w:r>
      <w:r w:rsidR="00F737E1">
        <w:t>(s)</w:t>
      </w:r>
      <w:r>
        <w:t xml:space="preserve"> of the project(s) and the date</w:t>
      </w:r>
      <w:r w:rsidR="00F737E1">
        <w:t>(s)</w:t>
      </w:r>
      <w:r>
        <w:t xml:space="preserve"> of the tax credit return</w:t>
      </w:r>
      <w:r w:rsidR="00F737E1">
        <w:t>(s)</w:t>
      </w:r>
      <w:r>
        <w:t>.</w:t>
      </w:r>
    </w:p>
    <w:p w14:paraId="6C3F4F41" w14:textId="77777777" w:rsidR="007C12CE" w:rsidRDefault="007C12CE" w:rsidP="002C5F20"/>
    <w:p w14:paraId="1FF64D3A" w14:textId="53F4A7B8" w:rsidR="002C5F20" w:rsidRPr="004B2951" w:rsidRDefault="002C5F20" w:rsidP="002C5F20">
      <w:pPr>
        <w:rPr>
          <w:b/>
          <w:bCs/>
        </w:rPr>
      </w:pPr>
      <w:r w:rsidRPr="004B2951">
        <w:rPr>
          <w:b/>
          <w:bCs/>
        </w:rPr>
        <w:t>Failure to Pay Monitoring Fees</w:t>
      </w:r>
      <w:r w:rsidR="004B2951" w:rsidRPr="004B2951">
        <w:rPr>
          <w:b/>
          <w:bCs/>
        </w:rPr>
        <w:t>:</w:t>
      </w:r>
    </w:p>
    <w:p w14:paraId="032B1C51" w14:textId="6C74115F" w:rsidR="002C5F20" w:rsidRDefault="002C5F20" w:rsidP="002C5F20">
      <w:r>
        <w:t>The general partner, voting member, developer</w:t>
      </w:r>
      <w:r w:rsidR="004B2951">
        <w:t>,</w:t>
      </w:r>
      <w:r>
        <w:t xml:space="preserve"> or any related party has failed to pay NJHMFA monitoring fees for a tax credit project</w:t>
      </w:r>
      <w:r w:rsidR="004B2951">
        <w:t xml:space="preserve"> — minus </w:t>
      </w:r>
      <w:r>
        <w:t>15 p</w:t>
      </w:r>
      <w:r w:rsidR="004B2951">
        <w:t>oints.</w:t>
      </w:r>
    </w:p>
    <w:p w14:paraId="5B3DEF9C" w14:textId="77777777" w:rsidR="000A425D" w:rsidRDefault="000A425D" w:rsidP="000A425D">
      <w:r>
        <w:fldChar w:fldCharType="begin">
          <w:ffData>
            <w:name w:val="Check13"/>
            <w:enabled/>
            <w:calcOnExit w:val="0"/>
            <w:checkBox>
              <w:sizeAuto/>
              <w:default w:val="0"/>
            </w:checkBox>
          </w:ffData>
        </w:fldChar>
      </w:r>
      <w:r>
        <w:instrText xml:space="preserve"> FORMCHECKBOX </w:instrText>
      </w:r>
      <w:r w:rsidR="00FB3676">
        <w:fldChar w:fldCharType="separate"/>
      </w:r>
      <w:r>
        <w:fldChar w:fldCharType="end"/>
      </w:r>
      <w:r>
        <w:t xml:space="preserve"> Yes</w:t>
      </w:r>
      <w:r>
        <w:tab/>
      </w:r>
      <w:r>
        <w:fldChar w:fldCharType="begin">
          <w:ffData>
            <w:name w:val="Check14"/>
            <w:enabled/>
            <w:calcOnExit w:val="0"/>
            <w:checkBox>
              <w:sizeAuto/>
              <w:default w:val="0"/>
            </w:checkBox>
          </w:ffData>
        </w:fldChar>
      </w:r>
      <w:r>
        <w:instrText xml:space="preserve"> FORMCHECKBOX </w:instrText>
      </w:r>
      <w:r w:rsidR="00FB3676">
        <w:fldChar w:fldCharType="separate"/>
      </w:r>
      <w:r>
        <w:fldChar w:fldCharType="end"/>
      </w:r>
      <w:r>
        <w:t xml:space="preserve"> No</w:t>
      </w:r>
    </w:p>
    <w:p w14:paraId="27EA047A" w14:textId="3D829266" w:rsidR="002C5F20" w:rsidRDefault="002C5F20" w:rsidP="002C5F20">
      <w:r>
        <w:t>If yes, provide on a separate page the name</w:t>
      </w:r>
      <w:r w:rsidR="004B2951">
        <w:t>(s)</w:t>
      </w:r>
      <w:r>
        <w:t xml:space="preserve"> of the project(s).</w:t>
      </w:r>
    </w:p>
    <w:p w14:paraId="7C0F4FEB" w14:textId="77777777" w:rsidR="007C12CE" w:rsidRDefault="007C12CE" w:rsidP="002C5F20"/>
    <w:p w14:paraId="29D525F4" w14:textId="57C3F110" w:rsidR="002C5F20" w:rsidRPr="004B2951" w:rsidRDefault="002C5F20" w:rsidP="002C5F20">
      <w:pPr>
        <w:rPr>
          <w:b/>
          <w:bCs/>
        </w:rPr>
      </w:pPr>
      <w:r w:rsidRPr="004B2951">
        <w:rPr>
          <w:b/>
          <w:bCs/>
        </w:rPr>
        <w:t>Failure to Submit Annual Project Certifications and/or Annual Tenant Data via the Agency’s Web System</w:t>
      </w:r>
      <w:r w:rsidR="004B2951">
        <w:rPr>
          <w:b/>
          <w:bCs/>
        </w:rPr>
        <w:t>:</w:t>
      </w:r>
    </w:p>
    <w:p w14:paraId="1F8E4579" w14:textId="25E12355" w:rsidR="002C5F20" w:rsidRDefault="002C5F20" w:rsidP="002C5F20">
      <w:r>
        <w:t>The general partner</w:t>
      </w:r>
      <w:r w:rsidR="004B2951">
        <w:t xml:space="preserve">, </w:t>
      </w:r>
      <w:r>
        <w:t>voting member</w:t>
      </w:r>
      <w:r w:rsidR="004B2951">
        <w:t xml:space="preserve">, </w:t>
      </w:r>
      <w:r>
        <w:t xml:space="preserve">developer, or </w:t>
      </w:r>
      <w:r w:rsidR="004B2951">
        <w:t xml:space="preserve">any </w:t>
      </w:r>
      <w:r>
        <w:t xml:space="preserve">related party has failed to submit the Owner Certification of Continuing Program Compliance and/or Tenant Data for a NJ tax credit project </w:t>
      </w:r>
      <w:r w:rsidR="004B2951">
        <w:t xml:space="preserve">— minus </w:t>
      </w:r>
      <w:r>
        <w:t>15 p</w:t>
      </w:r>
      <w:r w:rsidR="004B2951">
        <w:t>oints.</w:t>
      </w:r>
    </w:p>
    <w:p w14:paraId="721E0DBC" w14:textId="77777777" w:rsidR="000A425D" w:rsidRDefault="000A425D" w:rsidP="000A425D">
      <w:r>
        <w:fldChar w:fldCharType="begin">
          <w:ffData>
            <w:name w:val="Check13"/>
            <w:enabled/>
            <w:calcOnExit w:val="0"/>
            <w:checkBox>
              <w:sizeAuto/>
              <w:default w:val="0"/>
            </w:checkBox>
          </w:ffData>
        </w:fldChar>
      </w:r>
      <w:r>
        <w:instrText xml:space="preserve"> FORMCHECKBOX </w:instrText>
      </w:r>
      <w:r w:rsidR="00FB3676">
        <w:fldChar w:fldCharType="separate"/>
      </w:r>
      <w:r>
        <w:fldChar w:fldCharType="end"/>
      </w:r>
      <w:r>
        <w:t xml:space="preserve"> Yes</w:t>
      </w:r>
      <w:r>
        <w:tab/>
      </w:r>
      <w:r>
        <w:fldChar w:fldCharType="begin">
          <w:ffData>
            <w:name w:val="Check14"/>
            <w:enabled/>
            <w:calcOnExit w:val="0"/>
            <w:checkBox>
              <w:sizeAuto/>
              <w:default w:val="0"/>
            </w:checkBox>
          </w:ffData>
        </w:fldChar>
      </w:r>
      <w:r>
        <w:instrText xml:space="preserve"> FORMCHECKBOX </w:instrText>
      </w:r>
      <w:r w:rsidR="00FB3676">
        <w:fldChar w:fldCharType="separate"/>
      </w:r>
      <w:r>
        <w:fldChar w:fldCharType="end"/>
      </w:r>
      <w:r>
        <w:t xml:space="preserve"> No</w:t>
      </w:r>
    </w:p>
    <w:p w14:paraId="300BF439" w14:textId="3250AB0D" w:rsidR="002C5F20" w:rsidRDefault="002C5F20" w:rsidP="002C5F20">
      <w:r>
        <w:t>If yes, provide on a separate page the name of the project(s).</w:t>
      </w:r>
    </w:p>
    <w:p w14:paraId="7CD3EE48" w14:textId="77777777" w:rsidR="007C12CE" w:rsidRDefault="007C12CE"/>
    <w:p w14:paraId="20BE479F" w14:textId="7279D7EA" w:rsidR="007C12CE" w:rsidRDefault="007C12CE">
      <w:pPr>
        <w:rPr>
          <w:b/>
          <w:bCs/>
        </w:rPr>
      </w:pPr>
      <w:r>
        <w:t>(continued on next page)</w:t>
      </w:r>
      <w:r>
        <w:rPr>
          <w:b/>
          <w:bCs/>
        </w:rPr>
        <w:br w:type="page"/>
      </w:r>
    </w:p>
    <w:p w14:paraId="32B988E9" w14:textId="279BD81B" w:rsidR="002C5F20" w:rsidRPr="004B2951" w:rsidRDefault="002C5F20" w:rsidP="002C5F20">
      <w:pPr>
        <w:rPr>
          <w:b/>
          <w:bCs/>
        </w:rPr>
      </w:pPr>
      <w:r w:rsidRPr="004B2951">
        <w:rPr>
          <w:b/>
          <w:bCs/>
        </w:rPr>
        <w:lastRenderedPageBreak/>
        <w:t>Finding of Discrimination</w:t>
      </w:r>
      <w:r w:rsidR="004B2951" w:rsidRPr="004B2951">
        <w:rPr>
          <w:b/>
          <w:bCs/>
        </w:rPr>
        <w:t>:</w:t>
      </w:r>
    </w:p>
    <w:p w14:paraId="250B0909" w14:textId="77777777" w:rsidR="004B2951" w:rsidRDefault="002C5F20" w:rsidP="002C5F20">
      <w:r>
        <w:t xml:space="preserve">The general partner, voting member, developer, or </w:t>
      </w:r>
      <w:r w:rsidR="004B2951">
        <w:t xml:space="preserve">any </w:t>
      </w:r>
      <w:r>
        <w:t>related party owns a managing or controlling interest in a New Jersey LIHTC project that, within the last four years, has</w:t>
      </w:r>
      <w:r w:rsidR="004B2951">
        <w:t>:</w:t>
      </w:r>
    </w:p>
    <w:p w14:paraId="496750BF" w14:textId="624131A1" w:rsidR="004B2951" w:rsidRDefault="004B2951" w:rsidP="00454F1E">
      <w:pPr>
        <w:pStyle w:val="ListParagraph"/>
        <w:numPr>
          <w:ilvl w:val="0"/>
          <w:numId w:val="65"/>
        </w:numPr>
      </w:pPr>
      <w:r>
        <w:t>R</w:t>
      </w:r>
      <w:r w:rsidR="002C5F20">
        <w:t>eceived a finding of discrimination pursuant to the Fair Housing Act</w:t>
      </w:r>
      <w:r>
        <w:t xml:space="preserve"> — minus 15 points</w:t>
      </w:r>
    </w:p>
    <w:p w14:paraId="1E25713D" w14:textId="4A724186" w:rsidR="004B2951" w:rsidRDefault="004B2951" w:rsidP="00454F1E">
      <w:pPr>
        <w:pStyle w:val="ListParagraph"/>
        <w:numPr>
          <w:ilvl w:val="0"/>
          <w:numId w:val="65"/>
        </w:numPr>
      </w:pPr>
      <w:r>
        <w:t xml:space="preserve">Received a </w:t>
      </w:r>
      <w:r w:rsidR="002C5F20">
        <w:t>finding of discrimination pursuant to the New Jersey Law Against Discrimination</w:t>
      </w:r>
      <w:r>
        <w:t xml:space="preserve"> — minus 15 points</w:t>
      </w:r>
    </w:p>
    <w:p w14:paraId="44423FDC" w14:textId="1C489749" w:rsidR="004B2951" w:rsidRDefault="004B2951" w:rsidP="00454F1E">
      <w:pPr>
        <w:pStyle w:val="ListParagraph"/>
        <w:numPr>
          <w:ilvl w:val="0"/>
          <w:numId w:val="65"/>
        </w:numPr>
      </w:pPr>
      <w:r>
        <w:t>F</w:t>
      </w:r>
      <w:r w:rsidR="002C5F20">
        <w:t>ailed to comply with NJ fair housing policies or tenant selection standards</w:t>
      </w:r>
      <w:r>
        <w:t xml:space="preserve"> — minus 15 points</w:t>
      </w:r>
    </w:p>
    <w:p w14:paraId="54BCE437" w14:textId="27E08AB0" w:rsidR="002C5F20" w:rsidRDefault="004B2951" w:rsidP="00454F1E">
      <w:pPr>
        <w:pStyle w:val="ListParagraph"/>
        <w:numPr>
          <w:ilvl w:val="0"/>
          <w:numId w:val="65"/>
        </w:numPr>
      </w:pPr>
      <w:r>
        <w:t>B</w:t>
      </w:r>
      <w:r w:rsidR="002C5F20">
        <w:t>een issued a monetary penalty pursuant to the Fair Chance in Housing Act</w:t>
      </w:r>
      <w:r>
        <w:t xml:space="preserve"> — minus 15 points</w:t>
      </w:r>
    </w:p>
    <w:p w14:paraId="0601CBE1" w14:textId="77777777" w:rsidR="000A425D" w:rsidRDefault="000A425D" w:rsidP="000A425D">
      <w:r>
        <w:fldChar w:fldCharType="begin">
          <w:ffData>
            <w:name w:val="Check13"/>
            <w:enabled/>
            <w:calcOnExit w:val="0"/>
            <w:checkBox>
              <w:sizeAuto/>
              <w:default w:val="0"/>
            </w:checkBox>
          </w:ffData>
        </w:fldChar>
      </w:r>
      <w:r>
        <w:instrText xml:space="preserve"> FORMCHECKBOX </w:instrText>
      </w:r>
      <w:r w:rsidR="00FB3676">
        <w:fldChar w:fldCharType="separate"/>
      </w:r>
      <w:r>
        <w:fldChar w:fldCharType="end"/>
      </w:r>
      <w:r>
        <w:t xml:space="preserve"> Yes</w:t>
      </w:r>
      <w:r>
        <w:tab/>
      </w:r>
      <w:r>
        <w:fldChar w:fldCharType="begin">
          <w:ffData>
            <w:name w:val="Check14"/>
            <w:enabled/>
            <w:calcOnExit w:val="0"/>
            <w:checkBox>
              <w:sizeAuto/>
              <w:default w:val="0"/>
            </w:checkBox>
          </w:ffData>
        </w:fldChar>
      </w:r>
      <w:r>
        <w:instrText xml:space="preserve"> FORMCHECKBOX </w:instrText>
      </w:r>
      <w:r w:rsidR="00FB3676">
        <w:fldChar w:fldCharType="separate"/>
      </w:r>
      <w:r>
        <w:fldChar w:fldCharType="end"/>
      </w:r>
      <w:r>
        <w:t xml:space="preserve"> No</w:t>
      </w:r>
    </w:p>
    <w:p w14:paraId="70D07D6C" w14:textId="4211FAEA" w:rsidR="000A425D" w:rsidRDefault="000A425D" w:rsidP="002C5F20">
      <w:r>
        <w:t>If yes, provide on a separate page description(s) of the finding(s)/compliance issue(s)/penalty issuance(s).</w:t>
      </w:r>
    </w:p>
    <w:p w14:paraId="6D8BE48D" w14:textId="573E8E10" w:rsidR="002C5F20" w:rsidRDefault="000A425D" w:rsidP="002C5F20">
      <w:r>
        <w:t xml:space="preserve">NOTE: </w:t>
      </w:r>
      <w:r w:rsidR="002C5F20">
        <w:t>A finding of discrimination includes an adverse final decision by the Secretary of HUD, by a substantially equivalent State or local fair housing agency, or from a Federal or State court.</w:t>
      </w:r>
    </w:p>
    <w:p w14:paraId="59F20255" w14:textId="77777777" w:rsidR="007C12CE" w:rsidRDefault="007C12CE" w:rsidP="002C5F20"/>
    <w:p w14:paraId="4019676B" w14:textId="1162D74F" w:rsidR="000A425D" w:rsidRPr="000A425D" w:rsidRDefault="000A425D" w:rsidP="002C5F20">
      <w:pPr>
        <w:rPr>
          <w:b/>
          <w:bCs/>
        </w:rPr>
      </w:pPr>
      <w:r w:rsidRPr="000A425D">
        <w:rPr>
          <w:b/>
          <w:bCs/>
        </w:rPr>
        <w:t>NJHMFA Arrearages:</w:t>
      </w:r>
    </w:p>
    <w:p w14:paraId="22018A01" w14:textId="636F10CC" w:rsidR="000A425D" w:rsidRDefault="000A425D" w:rsidP="000A425D">
      <w:r w:rsidRPr="000A425D">
        <w:t>The general partner, voting member, developer, or related party owns a managing or controlling interest in an NJHMFA-financed property with three or more months of arrearages, with no workout plan (as approved by the Executive Director).</w:t>
      </w:r>
    </w:p>
    <w:p w14:paraId="17EAA135" w14:textId="1F3727E0" w:rsidR="000A425D" w:rsidRDefault="000A425D" w:rsidP="000A425D">
      <w:r>
        <w:fldChar w:fldCharType="begin">
          <w:ffData>
            <w:name w:val="Check13"/>
            <w:enabled/>
            <w:calcOnExit w:val="0"/>
            <w:checkBox>
              <w:sizeAuto/>
              <w:default w:val="0"/>
            </w:checkBox>
          </w:ffData>
        </w:fldChar>
      </w:r>
      <w:r>
        <w:instrText xml:space="preserve"> FORMCHECKBOX </w:instrText>
      </w:r>
      <w:r w:rsidR="00FB3676">
        <w:fldChar w:fldCharType="separate"/>
      </w:r>
      <w:r>
        <w:fldChar w:fldCharType="end"/>
      </w:r>
      <w:r>
        <w:t xml:space="preserve"> Yes</w:t>
      </w:r>
      <w:r>
        <w:tab/>
      </w:r>
      <w:r>
        <w:fldChar w:fldCharType="begin">
          <w:ffData>
            <w:name w:val="Check14"/>
            <w:enabled/>
            <w:calcOnExit w:val="0"/>
            <w:checkBox>
              <w:sizeAuto/>
              <w:default w:val="0"/>
            </w:checkBox>
          </w:ffData>
        </w:fldChar>
      </w:r>
      <w:r>
        <w:instrText xml:space="preserve"> FORMCHECKBOX </w:instrText>
      </w:r>
      <w:r w:rsidR="00FB3676">
        <w:fldChar w:fldCharType="separate"/>
      </w:r>
      <w:r>
        <w:fldChar w:fldCharType="end"/>
      </w:r>
      <w:r>
        <w:t xml:space="preserve"> No</w:t>
      </w:r>
    </w:p>
    <w:p w14:paraId="385C74B3" w14:textId="59CAB86E" w:rsidR="002C5F20" w:rsidRDefault="002C5F20" w:rsidP="002C5F20">
      <w:r>
        <w:t>If yes, provide on a separate page the name</w:t>
      </w:r>
      <w:r w:rsidR="000A425D">
        <w:t>(s)</w:t>
      </w:r>
      <w:r>
        <w:t xml:space="preserve"> of the project(s).</w:t>
      </w:r>
    </w:p>
    <w:p w14:paraId="43AA29AB" w14:textId="77777777" w:rsidR="000A425D" w:rsidRDefault="000A425D" w:rsidP="002C5F20"/>
    <w:p w14:paraId="5B75748C" w14:textId="321603FA" w:rsidR="002C5F20" w:rsidRPr="00FF77F0" w:rsidRDefault="002C5F20" w:rsidP="002C5F20">
      <w:pPr>
        <w:rPr>
          <w:color w:val="C00000"/>
        </w:rPr>
      </w:pPr>
      <w:r w:rsidRPr="00FF77F0">
        <w:rPr>
          <w:color w:val="C00000"/>
        </w:rPr>
        <w:t xml:space="preserve">REMINDER: Applications that receive negative points </w:t>
      </w:r>
      <w:r w:rsidR="000A425D" w:rsidRPr="00FF77F0">
        <w:rPr>
          <w:color w:val="C00000"/>
        </w:rPr>
        <w:t>pursuant to</w:t>
      </w:r>
      <w:r w:rsidRPr="00FF77F0">
        <w:rPr>
          <w:color w:val="C00000"/>
        </w:rPr>
        <w:t xml:space="preserve"> N.J.A.C. 5:80-33.15(a)15, 17</w:t>
      </w:r>
      <w:r w:rsidR="000A425D" w:rsidRPr="00FF77F0">
        <w:rPr>
          <w:color w:val="C00000"/>
        </w:rPr>
        <w:t>,</w:t>
      </w:r>
      <w:r w:rsidRPr="00FF77F0">
        <w:rPr>
          <w:color w:val="C00000"/>
        </w:rPr>
        <w:t xml:space="preserve"> 18</w:t>
      </w:r>
      <w:r w:rsidR="000A425D" w:rsidRPr="00FF77F0">
        <w:rPr>
          <w:color w:val="C00000"/>
        </w:rPr>
        <w:t>, or 19</w:t>
      </w:r>
      <w:r w:rsidRPr="00FF77F0">
        <w:rPr>
          <w:color w:val="C00000"/>
        </w:rPr>
        <w:t xml:space="preserve"> </w:t>
      </w:r>
      <w:r w:rsidR="000A425D" w:rsidRPr="00FF77F0">
        <w:rPr>
          <w:color w:val="C00000"/>
        </w:rPr>
        <w:t>are</w:t>
      </w:r>
      <w:r w:rsidRPr="00FF77F0">
        <w:rPr>
          <w:color w:val="C00000"/>
        </w:rPr>
        <w:t xml:space="preserve"> not eligible to compete in the set-asides described at N.J.A.C. 5:80-33.4</w:t>
      </w:r>
      <w:r w:rsidR="007C12CE" w:rsidRPr="00FF77F0">
        <w:rPr>
          <w:color w:val="C00000"/>
        </w:rPr>
        <w:t>, 33.5,</w:t>
      </w:r>
      <w:r w:rsidR="000A425D" w:rsidRPr="00FF77F0">
        <w:rPr>
          <w:color w:val="C00000"/>
        </w:rPr>
        <w:t xml:space="preserve"> and </w:t>
      </w:r>
      <w:r w:rsidRPr="00FF77F0">
        <w:rPr>
          <w:color w:val="C00000"/>
        </w:rPr>
        <w:t>33.</w:t>
      </w:r>
      <w:r w:rsidR="007C12CE" w:rsidRPr="00FF77F0">
        <w:rPr>
          <w:color w:val="C00000"/>
        </w:rPr>
        <w:t>6</w:t>
      </w:r>
      <w:r w:rsidR="000A425D" w:rsidRPr="00FF77F0">
        <w:rPr>
          <w:color w:val="C00000"/>
        </w:rPr>
        <w:t>.</w:t>
      </w:r>
    </w:p>
    <w:p w14:paraId="5AF94F30" w14:textId="77777777" w:rsidR="000A425D" w:rsidRPr="00FF77F0" w:rsidRDefault="000A425D" w:rsidP="002C5F20">
      <w:pPr>
        <w:rPr>
          <w:color w:val="C00000"/>
        </w:rPr>
      </w:pPr>
    </w:p>
    <w:p w14:paraId="2B790EA7" w14:textId="1B1FEB7B" w:rsidR="00B22112" w:rsidRDefault="00B22112" w:rsidP="00B22112">
      <w:pPr>
        <w:pStyle w:val="Heading1"/>
      </w:pPr>
      <w:bookmarkStart w:id="79" w:name="_Toc230012703"/>
      <w:r>
        <w:lastRenderedPageBreak/>
        <w:t>Part IV — Sponsor Certification and Breakdown of Costs &amp; Basis</w:t>
      </w:r>
      <w:bookmarkEnd w:id="79"/>
    </w:p>
    <w:p w14:paraId="4AB13D61" w14:textId="68CFAACC" w:rsidR="00B22112" w:rsidRDefault="00713F77" w:rsidP="009647BF">
      <w:pPr>
        <w:pStyle w:val="Heading3"/>
        <w:numPr>
          <w:ilvl w:val="0"/>
          <w:numId w:val="4"/>
        </w:numPr>
        <w:ind w:left="360"/>
      </w:pPr>
      <w:bookmarkStart w:id="80" w:name="_Toc230012704"/>
      <w:r>
        <w:t>Sponsor Certification</w:t>
      </w:r>
      <w:bookmarkEnd w:id="80"/>
    </w:p>
    <w:p w14:paraId="30BE8DBB" w14:textId="0528A7FF" w:rsidR="00F97C8D" w:rsidRDefault="00AE6954" w:rsidP="00F97C8D">
      <w:r>
        <w:t xml:space="preserve">See next </w:t>
      </w:r>
      <w:r w:rsidR="002A3B53">
        <w:t xml:space="preserve">three </w:t>
      </w:r>
      <w:r>
        <w:t>page</w:t>
      </w:r>
      <w:r w:rsidR="002A3B53">
        <w:t>s</w:t>
      </w:r>
      <w:r>
        <w:t>.</w:t>
      </w:r>
    </w:p>
    <w:p w14:paraId="670A4EBC" w14:textId="117B6BCD" w:rsidR="00AE6954" w:rsidRDefault="00AE6954">
      <w:r>
        <w:br w:type="page"/>
      </w:r>
    </w:p>
    <w:p w14:paraId="46E3415C" w14:textId="5657304D" w:rsidR="00AE6954" w:rsidRPr="00AE6954" w:rsidRDefault="00AE6954" w:rsidP="00AE6954">
      <w:pPr>
        <w:jc w:val="center"/>
        <w:rPr>
          <w:u w:val="single"/>
        </w:rPr>
      </w:pPr>
      <w:r w:rsidRPr="00AE6954">
        <w:rPr>
          <w:u w:val="single"/>
        </w:rPr>
        <w:lastRenderedPageBreak/>
        <w:t>SPONSOR CERTIFICATION</w:t>
      </w:r>
    </w:p>
    <w:p w14:paraId="250062BC" w14:textId="00412205" w:rsidR="00AE6954" w:rsidRDefault="00AE6954" w:rsidP="00F97C8D">
      <w:r>
        <w:fldChar w:fldCharType="begin">
          <w:ffData>
            <w:name w:val="Check15"/>
            <w:enabled/>
            <w:calcOnExit w:val="0"/>
            <w:checkBox>
              <w:sizeAuto/>
              <w:default w:val="0"/>
            </w:checkBox>
          </w:ffData>
        </w:fldChar>
      </w:r>
      <w:bookmarkStart w:id="81" w:name="Check15"/>
      <w:r>
        <w:instrText xml:space="preserve"> FORMCHECKBOX </w:instrText>
      </w:r>
      <w:r w:rsidR="00FB3676">
        <w:fldChar w:fldCharType="separate"/>
      </w:r>
      <w:r>
        <w:fldChar w:fldCharType="end"/>
      </w:r>
      <w:bookmarkEnd w:id="81"/>
      <w:r>
        <w:t xml:space="preserve"> Application</w:t>
      </w:r>
      <w:r>
        <w:br/>
      </w:r>
      <w:r>
        <w:fldChar w:fldCharType="begin">
          <w:ffData>
            <w:name w:val="Check16"/>
            <w:enabled/>
            <w:calcOnExit w:val="0"/>
            <w:checkBox>
              <w:sizeAuto/>
              <w:default w:val="0"/>
            </w:checkBox>
          </w:ffData>
        </w:fldChar>
      </w:r>
      <w:bookmarkStart w:id="82" w:name="Check16"/>
      <w:r>
        <w:instrText xml:space="preserve"> FORMCHECKBOX </w:instrText>
      </w:r>
      <w:r w:rsidR="00FB3676">
        <w:fldChar w:fldCharType="separate"/>
      </w:r>
      <w:r>
        <w:fldChar w:fldCharType="end"/>
      </w:r>
      <w:bookmarkEnd w:id="82"/>
      <w:r>
        <w:t xml:space="preserve"> Reapplication</w:t>
      </w:r>
      <w:r>
        <w:br/>
      </w:r>
      <w:r>
        <w:fldChar w:fldCharType="begin">
          <w:ffData>
            <w:name w:val="Check17"/>
            <w:enabled/>
            <w:calcOnExit w:val="0"/>
            <w:checkBox>
              <w:sizeAuto/>
              <w:default w:val="0"/>
            </w:checkBox>
          </w:ffData>
        </w:fldChar>
      </w:r>
      <w:bookmarkStart w:id="83" w:name="Check17"/>
      <w:r>
        <w:instrText xml:space="preserve"> FORMCHECKBOX </w:instrText>
      </w:r>
      <w:r w:rsidR="00FB3676">
        <w:fldChar w:fldCharType="separate"/>
      </w:r>
      <w:r>
        <w:fldChar w:fldCharType="end"/>
      </w:r>
      <w:bookmarkEnd w:id="83"/>
      <w:r>
        <w:t xml:space="preserve"> Carryover</w:t>
      </w:r>
      <w:r>
        <w:br/>
      </w:r>
      <w:r>
        <w:fldChar w:fldCharType="begin">
          <w:ffData>
            <w:name w:val="Check18"/>
            <w:enabled/>
            <w:calcOnExit w:val="0"/>
            <w:checkBox>
              <w:sizeAuto/>
              <w:default w:val="0"/>
            </w:checkBox>
          </w:ffData>
        </w:fldChar>
      </w:r>
      <w:bookmarkStart w:id="84" w:name="Check18"/>
      <w:r>
        <w:instrText xml:space="preserve"> FORMCHECKBOX </w:instrText>
      </w:r>
      <w:r w:rsidR="00FB3676">
        <w:fldChar w:fldCharType="separate"/>
      </w:r>
      <w:r>
        <w:fldChar w:fldCharType="end"/>
      </w:r>
      <w:bookmarkEnd w:id="84"/>
      <w:r>
        <w:t xml:space="preserve"> Placed-in-Service</w:t>
      </w:r>
    </w:p>
    <w:p w14:paraId="62A2540C" w14:textId="7408C8C3" w:rsidR="00AE6954" w:rsidRDefault="00AE6954" w:rsidP="00AE6954">
      <w:pPr>
        <w:tabs>
          <w:tab w:val="left" w:pos="2160"/>
        </w:tabs>
      </w:pPr>
      <w:r>
        <w:t>State of ____________________</w:t>
      </w:r>
      <w:r>
        <w:br/>
      </w:r>
      <w:r>
        <w:tab/>
        <w:t>SS.</w:t>
      </w:r>
      <w:r>
        <w:br/>
        <w:t>County of ____________________</w:t>
      </w:r>
    </w:p>
    <w:p w14:paraId="087D01F5" w14:textId="78E3C51D" w:rsidR="00AE6954" w:rsidRDefault="00AE6954" w:rsidP="00216EBA">
      <w:pPr>
        <w:tabs>
          <w:tab w:val="left" w:pos="2160"/>
        </w:tabs>
        <w:jc w:val="both"/>
      </w:pPr>
      <w:r>
        <w:t>The</w:t>
      </w:r>
      <w:r w:rsidR="00102DD9">
        <w:t xml:space="preserve"> </w:t>
      </w:r>
      <w:r w:rsidR="00102DD9" w:rsidRPr="00102DD9">
        <w:t>undersigned, as the duly authorized representative o</w:t>
      </w:r>
      <w:r w:rsidR="00102DD9">
        <w:t xml:space="preserve">f ____________________________________________________________, the developer/applicant </w:t>
      </w:r>
      <w:r w:rsidR="00102DD9" w:rsidRPr="00102DD9">
        <w:t>and/or the recipient of an allocation by the New Jersey Housing and Mortgage Finance Agency ("NJHMFA") of a Low-Income Housing Tax Credit pursuant to Section 42 of the Internal Revenue Code of 1986 ("Code"), as amended, for the project known as</w:t>
      </w:r>
      <w:r w:rsidR="00102DD9">
        <w:t xml:space="preserve"> ________________________________________________________________________________, acknowledges and certifies as follows:</w:t>
      </w:r>
    </w:p>
    <w:p w14:paraId="0F688508" w14:textId="1E89DFB9" w:rsidR="00102DD9" w:rsidRDefault="00102DD9" w:rsidP="00216EBA">
      <w:pPr>
        <w:pStyle w:val="ListParagraph"/>
        <w:numPr>
          <w:ilvl w:val="0"/>
          <w:numId w:val="75"/>
        </w:numPr>
        <w:tabs>
          <w:tab w:val="left" w:pos="2160"/>
        </w:tabs>
        <w:jc w:val="both"/>
      </w:pPr>
      <w:r w:rsidRPr="00102DD9">
        <w:rPr>
          <w:i/>
          <w:iCs/>
        </w:rPr>
        <w:t xml:space="preserve">You must check and complete </w:t>
      </w:r>
      <w:r w:rsidRPr="00102DD9">
        <w:rPr>
          <w:i/>
          <w:iCs/>
          <w:u w:val="single"/>
        </w:rPr>
        <w:t>one</w:t>
      </w:r>
      <w:r w:rsidRPr="00102DD9">
        <w:rPr>
          <w:i/>
          <w:iCs/>
        </w:rPr>
        <w:t xml:space="preserve"> of the following:</w:t>
      </w:r>
    </w:p>
    <w:p w14:paraId="06A6895E" w14:textId="45392F98" w:rsidR="00102DD9" w:rsidRDefault="00102DD9" w:rsidP="00216EBA">
      <w:pPr>
        <w:pStyle w:val="ListParagraph"/>
        <w:tabs>
          <w:tab w:val="left" w:pos="2160"/>
        </w:tabs>
        <w:jc w:val="both"/>
      </w:pPr>
      <w:r>
        <w:fldChar w:fldCharType="begin">
          <w:ffData>
            <w:name w:val="Check19"/>
            <w:enabled/>
            <w:calcOnExit w:val="0"/>
            <w:checkBox>
              <w:sizeAuto/>
              <w:default w:val="0"/>
            </w:checkBox>
          </w:ffData>
        </w:fldChar>
      </w:r>
      <w:bookmarkStart w:id="85" w:name="Check19"/>
      <w:r>
        <w:instrText xml:space="preserve"> FORMCHECKBOX </w:instrText>
      </w:r>
      <w:r w:rsidR="00FB3676">
        <w:fldChar w:fldCharType="separate"/>
      </w:r>
      <w:r>
        <w:fldChar w:fldCharType="end"/>
      </w:r>
      <w:bookmarkEnd w:id="85"/>
      <w:r>
        <w:t xml:space="preserve"> It is anticipated that the project will be placed in service on, or prior to, December 31, _____</w:t>
      </w:r>
      <w:r w:rsidR="00216EBA">
        <w:t>_____</w:t>
      </w:r>
      <w:r>
        <w:t>_____</w:t>
      </w:r>
      <w:r w:rsidR="00216EBA">
        <w:t>.</w:t>
      </w:r>
    </w:p>
    <w:p w14:paraId="3DF083D6" w14:textId="77777777" w:rsidR="00102DD9" w:rsidRDefault="00102DD9" w:rsidP="00216EBA">
      <w:pPr>
        <w:pStyle w:val="ListParagraph"/>
        <w:tabs>
          <w:tab w:val="left" w:pos="2160"/>
        </w:tabs>
        <w:jc w:val="both"/>
      </w:pPr>
      <w:r>
        <w:t>OR</w:t>
      </w:r>
    </w:p>
    <w:p w14:paraId="4EFE746B" w14:textId="77777777" w:rsidR="00102DD9" w:rsidRDefault="00102DD9" w:rsidP="00216EBA">
      <w:pPr>
        <w:pStyle w:val="ListParagraph"/>
        <w:tabs>
          <w:tab w:val="left" w:pos="2160"/>
        </w:tabs>
        <w:jc w:val="both"/>
      </w:pPr>
      <w:r>
        <w:fldChar w:fldCharType="begin">
          <w:ffData>
            <w:name w:val="Check20"/>
            <w:enabled/>
            <w:calcOnExit w:val="0"/>
            <w:checkBox>
              <w:sizeAuto/>
              <w:default w:val="0"/>
            </w:checkBox>
          </w:ffData>
        </w:fldChar>
      </w:r>
      <w:bookmarkStart w:id="86" w:name="Check20"/>
      <w:r>
        <w:instrText xml:space="preserve"> FORMCHECKBOX </w:instrText>
      </w:r>
      <w:r w:rsidR="00FB3676">
        <w:fldChar w:fldCharType="separate"/>
      </w:r>
      <w:r>
        <w:fldChar w:fldCharType="end"/>
      </w:r>
      <w:bookmarkEnd w:id="86"/>
      <w:r>
        <w:t xml:space="preserve"> The project was placed in service on _______________ ___, _____.</w:t>
      </w:r>
    </w:p>
    <w:p w14:paraId="02E160E1" w14:textId="161BC1F9" w:rsidR="00102DD9" w:rsidRDefault="00102DD9" w:rsidP="00216EBA">
      <w:pPr>
        <w:pStyle w:val="ListParagraph"/>
        <w:numPr>
          <w:ilvl w:val="0"/>
          <w:numId w:val="75"/>
        </w:numPr>
        <w:tabs>
          <w:tab w:val="left" w:pos="2160"/>
        </w:tabs>
        <w:jc w:val="both"/>
      </w:pPr>
      <w:r>
        <w:t>The</w:t>
      </w:r>
      <w:r w:rsidRPr="00102DD9">
        <w:t xml:space="preserve"> developer/applicant/recipient fully intends to abide by all applicable federal laws and state laws and regulations relating to the Low-Income Housing Tax Credit and the Qualified Allocation Plan, </w:t>
      </w:r>
      <w:r w:rsidRPr="00102DD9">
        <w:rPr>
          <w:u w:val="single"/>
        </w:rPr>
        <w:t>including, but not limited to, fully disclosing all financial interests in all general partner, developer, and managing member entities, including any individual or entity acting as a guarantor or surety of any such entity</w:t>
      </w:r>
      <w:r w:rsidRPr="00102DD9">
        <w:t>.</w:t>
      </w:r>
    </w:p>
    <w:p w14:paraId="448A9AAA" w14:textId="5A3FD733" w:rsidR="00102DD9" w:rsidRDefault="00102DD9" w:rsidP="00216EBA">
      <w:pPr>
        <w:pStyle w:val="ListParagraph"/>
        <w:numPr>
          <w:ilvl w:val="0"/>
          <w:numId w:val="75"/>
        </w:numPr>
        <w:tabs>
          <w:tab w:val="left" w:pos="2160"/>
        </w:tabs>
        <w:jc w:val="both"/>
      </w:pPr>
      <w:r w:rsidRPr="00102DD9">
        <w:t>The developer/applicant/recipient is not relying on any NJHMFA statements or representations as to the value of the allocation of the low-income housing tax credit, including, but not limited to, representations or statements concerning the initial and continuing project eligibility under applicable federal law, calculation of qualified basis and eligible basis, determination of whether federal subsidy is involved, term of the tax credit, term of the compliance, potential impact of future changes in federal law and applicability of recapture requirements and penalties.</w:t>
      </w:r>
    </w:p>
    <w:p w14:paraId="6DBB5D8F" w14:textId="77777777" w:rsidR="00216EBA" w:rsidRDefault="00102DD9" w:rsidP="00216EBA">
      <w:pPr>
        <w:pStyle w:val="ListParagraph"/>
        <w:numPr>
          <w:ilvl w:val="0"/>
          <w:numId w:val="75"/>
        </w:numPr>
        <w:tabs>
          <w:tab w:val="left" w:pos="2160"/>
        </w:tabs>
        <w:jc w:val="both"/>
      </w:pPr>
      <w:r>
        <w:t>The developer/applicant/recipient must enter into an extended low-income housing commitment with NJHMFA pursuant to Section 42 (h)(6) of the Code in which the taxpayer and their successors agree to meet the elected set aside and the applicable fraction of low-income occupancy for an extended use period of at least fifteen years beyond the agreed compliance period (subject to possible termination of the extended use period under circumstances described in the Code). The agreement incorporates a Deed of Easement and Restrictive Covenant to be executed by the tax credit recipient and recorded by NJHMFA. The Deed of Easement and Restrictive Covenant must be executed in the form required by NJHMFA and delivered to NJHMFA once the deed/lease conveying title to the final ownership entity has been recorded.</w:t>
      </w:r>
    </w:p>
    <w:p w14:paraId="14BF64B7" w14:textId="34FD1FD7" w:rsidR="00216EBA" w:rsidRDefault="00102DD9" w:rsidP="00216EBA">
      <w:pPr>
        <w:pStyle w:val="ListParagraph"/>
        <w:tabs>
          <w:tab w:val="left" w:pos="2160"/>
        </w:tabs>
        <w:jc w:val="both"/>
      </w:pPr>
      <w:r>
        <w:t>It is further acknowledged that the terms of the Deed of Easement and Restrictive Covenant will be enforceable by NJHMFA or by qualified prospective, present or former low-income occupants of the Project in the state courts during the compliance and extended use period. The Deed of Easement and Restrictive Covenant may have a negative effect on the future value of the Project.</w:t>
      </w:r>
    </w:p>
    <w:p w14:paraId="396A7CE2" w14:textId="038E64D1" w:rsidR="00102DD9" w:rsidRDefault="00102DD9" w:rsidP="00216EBA">
      <w:pPr>
        <w:pStyle w:val="ListParagraph"/>
        <w:tabs>
          <w:tab w:val="left" w:pos="2160"/>
        </w:tabs>
        <w:jc w:val="both"/>
      </w:pPr>
      <w:r>
        <w:t xml:space="preserve">The undersigned further acknowledges that the developer/applicant/recipient will need the consent of any present mortgage holders on the subject property to record the restrictive covenant since any foreclosing taxpayer may neither </w:t>
      </w:r>
      <w:r>
        <w:lastRenderedPageBreak/>
        <w:t>evict without cause nor increase the gross rent on low-income units until three years after they foreclose on the project and terminate the extended use period.</w:t>
      </w:r>
    </w:p>
    <w:p w14:paraId="1F3314F8" w14:textId="78281735" w:rsidR="00102DD9" w:rsidRDefault="00102DD9" w:rsidP="00216EBA">
      <w:pPr>
        <w:pStyle w:val="ListParagraph"/>
        <w:numPr>
          <w:ilvl w:val="0"/>
          <w:numId w:val="75"/>
        </w:numPr>
        <w:tabs>
          <w:tab w:val="left" w:pos="2160"/>
        </w:tabs>
        <w:jc w:val="both"/>
      </w:pPr>
      <w:r>
        <w:t>The development costs of the project (as of this time) as detailed in the attached breakdown of costs and basis were prepared by the developer/applicant/recipient or their agents and are accurate to best of their knowledge.</w:t>
      </w:r>
    </w:p>
    <w:p w14:paraId="5B1F5563" w14:textId="13AFEB10" w:rsidR="00102DD9" w:rsidRDefault="00102DD9" w:rsidP="00216EBA">
      <w:pPr>
        <w:pStyle w:val="ListParagraph"/>
        <w:numPr>
          <w:ilvl w:val="0"/>
          <w:numId w:val="75"/>
        </w:numPr>
        <w:tabs>
          <w:tab w:val="left" w:pos="2160"/>
        </w:tabs>
        <w:jc w:val="both"/>
      </w:pPr>
      <w:r>
        <w:t>Section 42(m)(2) of the Code dictates that the housing credit agency shall not allocate tax credits exceeding the amount needed for project feasibility. Consequently, the developer/applicant/ recipient consents with this certification to a possible reduction of credits subsequent to needs analyses conducted by NJHMFA at carryover and placed in service dates.</w:t>
      </w:r>
    </w:p>
    <w:p w14:paraId="5C1B8BC8" w14:textId="15B98E7F" w:rsidR="00102DD9" w:rsidRDefault="00102DD9" w:rsidP="00216EBA">
      <w:pPr>
        <w:pStyle w:val="ListParagraph"/>
        <w:numPr>
          <w:ilvl w:val="0"/>
          <w:numId w:val="75"/>
        </w:numPr>
        <w:tabs>
          <w:tab w:val="left" w:pos="2160"/>
        </w:tabs>
        <w:jc w:val="both"/>
      </w:pPr>
      <w:r>
        <w:t>Pursuant to Section 42(m)(2) of the Code, the undersigned hereby certifies that the developer/applicant/recipient has disclosed to the State Housing Agency, in writing, the full extent of all Federal, State and local subsidies which apply (or which developer/applicant/recipient expects to apply) with respect to the Project.</w:t>
      </w:r>
    </w:p>
    <w:p w14:paraId="34A59DF1" w14:textId="6917D78C" w:rsidR="00102DD9" w:rsidRDefault="00102DD9" w:rsidP="00216EBA">
      <w:pPr>
        <w:pStyle w:val="ListParagraph"/>
        <w:numPr>
          <w:ilvl w:val="0"/>
          <w:numId w:val="75"/>
        </w:numPr>
        <w:tabs>
          <w:tab w:val="left" w:pos="2160"/>
        </w:tabs>
        <w:jc w:val="both"/>
      </w:pPr>
      <w:r>
        <w:rPr>
          <w:i/>
          <w:iCs/>
        </w:rPr>
        <w:t>If</w:t>
      </w:r>
      <w:r w:rsidRPr="00102DD9">
        <w:rPr>
          <w:i/>
          <w:iCs/>
        </w:rPr>
        <w:t xml:space="preserve"> this is a reapplication, you must check </w:t>
      </w:r>
      <w:r w:rsidRPr="00102DD9">
        <w:rPr>
          <w:i/>
          <w:iCs/>
          <w:u w:val="single"/>
        </w:rPr>
        <w:t>one</w:t>
      </w:r>
      <w:r w:rsidRPr="00102DD9">
        <w:rPr>
          <w:i/>
          <w:iCs/>
        </w:rPr>
        <w:t xml:space="preserve"> of the following:</w:t>
      </w:r>
    </w:p>
    <w:p w14:paraId="7EC00B27" w14:textId="672C55C0" w:rsidR="00102DD9" w:rsidRDefault="00102DD9" w:rsidP="00216EBA">
      <w:pPr>
        <w:pStyle w:val="ListParagraph"/>
        <w:tabs>
          <w:tab w:val="left" w:pos="2160"/>
        </w:tabs>
        <w:jc w:val="both"/>
      </w:pPr>
      <w:r>
        <w:fldChar w:fldCharType="begin">
          <w:ffData>
            <w:name w:val="Check21"/>
            <w:enabled/>
            <w:calcOnExit w:val="0"/>
            <w:checkBox>
              <w:sizeAuto/>
              <w:default w:val="0"/>
            </w:checkBox>
          </w:ffData>
        </w:fldChar>
      </w:r>
      <w:bookmarkStart w:id="87" w:name="Check21"/>
      <w:r>
        <w:instrText xml:space="preserve"> FORMCHECKBOX </w:instrText>
      </w:r>
      <w:r w:rsidR="00FB3676">
        <w:fldChar w:fldCharType="separate"/>
      </w:r>
      <w:r>
        <w:fldChar w:fldCharType="end"/>
      </w:r>
      <w:bookmarkEnd w:id="87"/>
      <w:r>
        <w:t xml:space="preserve"> Project did not receive full credit amount supportable by the project’s eligible basis in a prior year</w:t>
      </w:r>
    </w:p>
    <w:p w14:paraId="2878C8FC" w14:textId="1569FEF1" w:rsidR="00102DD9" w:rsidRDefault="00102DD9" w:rsidP="00216EBA">
      <w:pPr>
        <w:pStyle w:val="ListParagraph"/>
        <w:tabs>
          <w:tab w:val="left" w:pos="2160"/>
        </w:tabs>
        <w:jc w:val="both"/>
      </w:pPr>
      <w:r>
        <w:fldChar w:fldCharType="begin">
          <w:ffData>
            <w:name w:val="Check22"/>
            <w:enabled/>
            <w:calcOnExit w:val="0"/>
            <w:checkBox>
              <w:sizeAuto/>
              <w:default w:val="0"/>
            </w:checkBox>
          </w:ffData>
        </w:fldChar>
      </w:r>
      <w:bookmarkStart w:id="88" w:name="Check22"/>
      <w:r>
        <w:instrText xml:space="preserve"> FORMCHECKBOX </w:instrText>
      </w:r>
      <w:r w:rsidR="00FB3676">
        <w:fldChar w:fldCharType="separate"/>
      </w:r>
      <w:r>
        <w:fldChar w:fldCharType="end"/>
      </w:r>
      <w:bookmarkEnd w:id="88"/>
      <w:r>
        <w:t xml:space="preserve"> Project did not receive allocation in a previous cycle</w:t>
      </w:r>
    </w:p>
    <w:p w14:paraId="3CC34217" w14:textId="45AA062B" w:rsidR="00102DD9" w:rsidRDefault="00102DD9" w:rsidP="00216EBA">
      <w:pPr>
        <w:pStyle w:val="ListParagraph"/>
        <w:tabs>
          <w:tab w:val="left" w:pos="2160"/>
        </w:tabs>
        <w:jc w:val="both"/>
      </w:pPr>
      <w:r>
        <w:fldChar w:fldCharType="begin">
          <w:ffData>
            <w:name w:val="Check23"/>
            <w:enabled/>
            <w:calcOnExit w:val="0"/>
            <w:checkBox>
              <w:sizeAuto/>
              <w:default w:val="0"/>
            </w:checkBox>
          </w:ffData>
        </w:fldChar>
      </w:r>
      <w:bookmarkStart w:id="89" w:name="Check23"/>
      <w:r>
        <w:instrText xml:space="preserve"> FORMCHECKBOX </w:instrText>
      </w:r>
      <w:r w:rsidR="00FB3676">
        <w:fldChar w:fldCharType="separate"/>
      </w:r>
      <w:r>
        <w:fldChar w:fldCharType="end"/>
      </w:r>
      <w:bookmarkEnd w:id="89"/>
      <w:r>
        <w:t xml:space="preserve"> Project is seeking additional credits</w:t>
      </w:r>
    </w:p>
    <w:p w14:paraId="28FEDAC2" w14:textId="77777777" w:rsidR="00216EBA" w:rsidRDefault="00102DD9" w:rsidP="00216EBA">
      <w:pPr>
        <w:pStyle w:val="ListParagraph"/>
        <w:numPr>
          <w:ilvl w:val="0"/>
          <w:numId w:val="75"/>
        </w:numPr>
        <w:tabs>
          <w:tab w:val="left" w:pos="2160"/>
        </w:tabs>
        <w:jc w:val="both"/>
      </w:pPr>
      <w:r>
        <w:t>The developer/applicant/recipient acknowledges its continuing affirmative obligation under the Qualified Allocation Plan to advise NJHMFA of any changes to any aspect of the project.</w:t>
      </w:r>
    </w:p>
    <w:p w14:paraId="7522EB6A" w14:textId="541B135F" w:rsidR="00102DD9" w:rsidRDefault="00102DD9" w:rsidP="00216EBA">
      <w:pPr>
        <w:pStyle w:val="ListParagraph"/>
        <w:tabs>
          <w:tab w:val="left" w:pos="2160"/>
        </w:tabs>
        <w:jc w:val="both"/>
      </w:pPr>
      <w:r w:rsidRPr="002A3B53">
        <w:rPr>
          <w:i/>
          <w:iCs/>
        </w:rPr>
        <w:t xml:space="preserve">If this is a reapplication or request for Carryover Allocation or Part I of the IRS Form 8609, you must check </w:t>
      </w:r>
      <w:r w:rsidRPr="002A3B53">
        <w:rPr>
          <w:i/>
          <w:iCs/>
          <w:u w:val="single"/>
        </w:rPr>
        <w:t>one</w:t>
      </w:r>
      <w:r w:rsidRPr="002A3B53">
        <w:rPr>
          <w:i/>
          <w:iCs/>
        </w:rPr>
        <w:t xml:space="preserve"> of the following:</w:t>
      </w:r>
    </w:p>
    <w:p w14:paraId="4EE5C549" w14:textId="52631B09" w:rsidR="00102DD9" w:rsidRDefault="002A3B53" w:rsidP="00216EBA">
      <w:pPr>
        <w:pStyle w:val="ListParagraph"/>
        <w:tabs>
          <w:tab w:val="left" w:pos="2160"/>
        </w:tabs>
        <w:jc w:val="both"/>
      </w:pPr>
      <w:r>
        <w:fldChar w:fldCharType="begin">
          <w:ffData>
            <w:name w:val="Check24"/>
            <w:enabled/>
            <w:calcOnExit w:val="0"/>
            <w:checkBox>
              <w:sizeAuto/>
              <w:default w:val="0"/>
            </w:checkBox>
          </w:ffData>
        </w:fldChar>
      </w:r>
      <w:bookmarkStart w:id="90" w:name="Check24"/>
      <w:r>
        <w:instrText xml:space="preserve"> FORMCHECKBOX </w:instrText>
      </w:r>
      <w:r w:rsidR="00FB3676">
        <w:fldChar w:fldCharType="separate"/>
      </w:r>
      <w:r>
        <w:fldChar w:fldCharType="end"/>
      </w:r>
      <w:bookmarkEnd w:id="90"/>
      <w:r>
        <w:t xml:space="preserve"> </w:t>
      </w:r>
      <w:r w:rsidR="00102DD9">
        <w:t>NO changes to the project as previously submitted in the application have been made.</w:t>
      </w:r>
    </w:p>
    <w:p w14:paraId="63F3131E" w14:textId="7E51D673" w:rsidR="00102DD9" w:rsidRDefault="002A3B53" w:rsidP="00216EBA">
      <w:pPr>
        <w:pStyle w:val="ListParagraph"/>
        <w:tabs>
          <w:tab w:val="left" w:pos="2160"/>
        </w:tabs>
        <w:jc w:val="both"/>
      </w:pPr>
      <w:r>
        <w:fldChar w:fldCharType="begin">
          <w:ffData>
            <w:name w:val="Check25"/>
            <w:enabled/>
            <w:calcOnExit w:val="0"/>
            <w:checkBox>
              <w:sizeAuto/>
              <w:default w:val="0"/>
            </w:checkBox>
          </w:ffData>
        </w:fldChar>
      </w:r>
      <w:bookmarkStart w:id="91" w:name="Check25"/>
      <w:r>
        <w:instrText xml:space="preserve"> FORMCHECKBOX </w:instrText>
      </w:r>
      <w:r w:rsidR="00FB3676">
        <w:fldChar w:fldCharType="separate"/>
      </w:r>
      <w:r>
        <w:fldChar w:fldCharType="end"/>
      </w:r>
      <w:bookmarkEnd w:id="91"/>
      <w:r>
        <w:t xml:space="preserve"> </w:t>
      </w:r>
      <w:r w:rsidR="00102DD9">
        <w:t>Changes have been made to aspects of the project since the original application. Documentation fully disclosing and substantiating these changes are included as required by the Qualified Allocation Plan.</w:t>
      </w:r>
    </w:p>
    <w:p w14:paraId="30C35AE3" w14:textId="77777777" w:rsidR="002A3B53" w:rsidRDefault="00F97C8D" w:rsidP="00216EBA">
      <w:pPr>
        <w:jc w:val="both"/>
      </w:pPr>
      <w:r>
        <w:br w:type="page"/>
      </w:r>
    </w:p>
    <w:p w14:paraId="185158BC" w14:textId="1095C118" w:rsidR="002A3B53" w:rsidRDefault="00216EBA" w:rsidP="009C2E74">
      <w:pPr>
        <w:spacing w:line="240" w:lineRule="auto"/>
        <w:jc w:val="center"/>
      </w:pPr>
      <w:r>
        <w:lastRenderedPageBreak/>
        <w:t>CERTIFICATION</w:t>
      </w:r>
    </w:p>
    <w:p w14:paraId="726FF145" w14:textId="52A5A895" w:rsidR="00216EBA" w:rsidRDefault="00216EBA" w:rsidP="009C2E74">
      <w:pPr>
        <w:spacing w:line="240" w:lineRule="auto"/>
        <w:ind w:firstLine="720"/>
        <w:jc w:val="both"/>
      </w:pPr>
      <w:r w:rsidRPr="00216EBA">
        <w:t>I, _______________________________________</w:t>
      </w:r>
      <w:r>
        <w:t>_</w:t>
      </w:r>
      <w:r w:rsidRPr="00216EBA">
        <w:t>, hereby represent and state that the foregoing information, and all information submitted for the purpose of applying for Low-Income Housing Tax Credits, is true and complete. I acknowledge that New Jersey Housing and Mortgage Finance Agency is relying on said information and thereby acknowledge that the undersigned entity is under a continuing obligation, from the date of this Certification through the completion of the Project, to notify NJHMFA in writing of any changes to the information contained in this certification and in the application. Under penalty of perjury, I acknowledge that I am aware that it is a criminal offense to make a false statement or misrepresentation in this certification, and if I do so, I recognize that I am and/or the undersigned entity is subject to criminal prosecution under the law, possible loss of tax credit allocation, and disqualification from future participation in the Low-Income Housing Tax Credit Program in New Jersey.</w:t>
      </w:r>
    </w:p>
    <w:p w14:paraId="17A29435" w14:textId="5C7F538B" w:rsidR="00216EBA" w:rsidRDefault="00216EBA" w:rsidP="009C2E74">
      <w:pPr>
        <w:spacing w:line="240" w:lineRule="auto"/>
      </w:pPr>
      <w:r>
        <w:t>Sworn and subscribed to before the undersigned</w:t>
      </w:r>
      <w:r w:rsidR="007821B8">
        <w:br/>
      </w:r>
      <w:r>
        <w:t>Notary Public on the date appearing below:</w:t>
      </w:r>
    </w:p>
    <w:p w14:paraId="24FEC9F3" w14:textId="5928BAFE" w:rsidR="00216EBA" w:rsidRDefault="00216EBA" w:rsidP="009C2E74">
      <w:pPr>
        <w:tabs>
          <w:tab w:val="left" w:pos="5760"/>
          <w:tab w:val="left" w:pos="6480"/>
        </w:tabs>
        <w:spacing w:line="240" w:lineRule="auto"/>
      </w:pPr>
      <w:r>
        <w:t>________________________________________</w:t>
      </w:r>
      <w:r>
        <w:tab/>
        <w:t>By:</w:t>
      </w:r>
      <w:r>
        <w:tab/>
        <w:t>________________________________________</w:t>
      </w:r>
      <w:r>
        <w:br/>
        <w:t>Witness/Attest (Secretary)</w:t>
      </w:r>
      <w:r>
        <w:tab/>
      </w:r>
      <w:r>
        <w:tab/>
        <w:t>Authorized Representative/</w:t>
      </w:r>
      <w:r>
        <w:br/>
      </w:r>
      <w:r>
        <w:tab/>
      </w:r>
      <w:r>
        <w:tab/>
        <w:t>President of Corporation</w:t>
      </w:r>
    </w:p>
    <w:p w14:paraId="22B94405" w14:textId="4784E9E2" w:rsidR="00216EBA" w:rsidRDefault="00216EBA" w:rsidP="009C2E74">
      <w:pPr>
        <w:tabs>
          <w:tab w:val="left" w:pos="5760"/>
          <w:tab w:val="left" w:pos="6480"/>
        </w:tabs>
        <w:spacing w:line="240" w:lineRule="auto"/>
      </w:pPr>
      <w:r>
        <w:tab/>
      </w:r>
      <w:r>
        <w:tab/>
        <w:t>________________________________________</w:t>
      </w:r>
      <w:r>
        <w:br/>
      </w:r>
      <w:r>
        <w:tab/>
      </w:r>
      <w:r>
        <w:tab/>
        <w:t>Print Name and Title</w:t>
      </w:r>
    </w:p>
    <w:p w14:paraId="341F8157" w14:textId="5CB2BD2B" w:rsidR="00216EBA" w:rsidRDefault="00216EBA" w:rsidP="009C2E74">
      <w:pPr>
        <w:spacing w:line="240" w:lineRule="auto"/>
        <w:jc w:val="center"/>
      </w:pPr>
      <w:r>
        <w:t>ACKNOWLEDGEMENT</w:t>
      </w:r>
    </w:p>
    <w:p w14:paraId="667C815A" w14:textId="40C03055" w:rsidR="00216EBA" w:rsidRDefault="00216EBA" w:rsidP="009C2E74">
      <w:pPr>
        <w:spacing w:line="240" w:lineRule="auto"/>
      </w:pPr>
      <w:r w:rsidRPr="007821B8">
        <w:rPr>
          <w:u w:val="single"/>
        </w:rPr>
        <w:t>CORPORATIONS</w:t>
      </w:r>
    </w:p>
    <w:p w14:paraId="482D881D" w14:textId="49F6279C" w:rsidR="00216EBA" w:rsidRDefault="007821B8" w:rsidP="009C2E74">
      <w:pPr>
        <w:spacing w:line="240" w:lineRule="auto"/>
        <w:jc w:val="both"/>
      </w:pPr>
      <w:r>
        <w:tab/>
      </w:r>
      <w:r w:rsidRPr="007821B8">
        <w:t>I CERTIFY that on ____________________________________________</w:t>
      </w:r>
      <w:r w:rsidR="00042014">
        <w:t xml:space="preserve"> _____</w:t>
      </w:r>
      <w:r w:rsidRPr="007821B8">
        <w:t>, ____________,</w:t>
      </w:r>
      <w:r>
        <w:t xml:space="preserve"> </w:t>
      </w:r>
      <w:r w:rsidRPr="007821B8">
        <w:t xml:space="preserve">_______________________________________________________ personally came before me, and acknowledged under oath, to my satisfaction, that </w:t>
      </w:r>
      <w:r>
        <w:t>they</w:t>
      </w:r>
      <w:r w:rsidRPr="007821B8">
        <w:t xml:space="preserve"> </w:t>
      </w:r>
      <w:r>
        <w:t>are</w:t>
      </w:r>
      <w:r w:rsidRPr="007821B8">
        <w:t xml:space="preserve"> the Secretary of __________________________________________________, the Corporation named in the within Instrument; that ___________________________________________________ is the President of said Corporation; that the execution, as well as the making of this Instrument, has been duly authorized by a proper resolution of the Board of Directors of the said Corporation and said Instrument is signed and delivered by said President as and for the voluntary act and deed of said Corporation, in the presence of deponent, who thereupon subscribed </w:t>
      </w:r>
      <w:r>
        <w:t>their</w:t>
      </w:r>
      <w:r w:rsidRPr="007821B8">
        <w:t xml:space="preserve"> name thereto as attesting witness.</w:t>
      </w:r>
    </w:p>
    <w:p w14:paraId="3E83CB55" w14:textId="6A6EBB5E" w:rsidR="00216EBA" w:rsidRPr="007821B8" w:rsidRDefault="00216EBA" w:rsidP="009C2E74">
      <w:pPr>
        <w:spacing w:line="240" w:lineRule="auto"/>
        <w:rPr>
          <w:u w:val="single"/>
        </w:rPr>
      </w:pPr>
      <w:r w:rsidRPr="007821B8">
        <w:rPr>
          <w:u w:val="single"/>
        </w:rPr>
        <w:t>LIMITED PARTNERSHIPS</w:t>
      </w:r>
    </w:p>
    <w:p w14:paraId="4B162ED4" w14:textId="54B000A3" w:rsidR="00216EBA" w:rsidRDefault="007821B8" w:rsidP="009C2E74">
      <w:pPr>
        <w:spacing w:line="240" w:lineRule="auto"/>
        <w:ind w:firstLine="720"/>
        <w:jc w:val="both"/>
      </w:pPr>
      <w:r w:rsidRPr="007821B8">
        <w:t>I CERTIFY that on __________________________________________</w:t>
      </w:r>
      <w:r w:rsidR="00042014">
        <w:t xml:space="preserve"> _____</w:t>
      </w:r>
      <w:r w:rsidRPr="007821B8">
        <w:t xml:space="preserve">, ______________, _________________________________________________ personally came before me, and acknowledged under oath, to my satisfaction, that (a) </w:t>
      </w:r>
      <w:r>
        <w:t>they</w:t>
      </w:r>
      <w:r w:rsidRPr="007821B8">
        <w:t xml:space="preserve"> </w:t>
      </w:r>
      <w:r>
        <w:t>are</w:t>
      </w:r>
      <w:r w:rsidRPr="007821B8">
        <w:t xml:space="preserve"> the president of _______________________________________________________, the general partner of _______________________________________________________, the Limited Partnership named in this document; (b) </w:t>
      </w:r>
      <w:r>
        <w:t>they were</w:t>
      </w:r>
      <w:r w:rsidRPr="007821B8">
        <w:t xml:space="preserve"> authorized to execute this document on behalf of the partnership and; (c) this document was signed and delivered by </w:t>
      </w:r>
      <w:r>
        <w:t>them</w:t>
      </w:r>
      <w:r w:rsidRPr="007821B8">
        <w:t xml:space="preserve"> as the voluntary act of the general partner and the limited partnership.</w:t>
      </w:r>
    </w:p>
    <w:p w14:paraId="4295ABF1" w14:textId="33CE206F" w:rsidR="00216EBA" w:rsidRPr="007821B8" w:rsidRDefault="00216EBA" w:rsidP="009C2E74">
      <w:pPr>
        <w:spacing w:line="240" w:lineRule="auto"/>
        <w:rPr>
          <w:u w:val="single"/>
        </w:rPr>
      </w:pPr>
      <w:r w:rsidRPr="007821B8">
        <w:rPr>
          <w:u w:val="single"/>
        </w:rPr>
        <w:t>LIMITED LIABILITY COMPANIES/PARTNERSHIPS</w:t>
      </w:r>
    </w:p>
    <w:p w14:paraId="0FC7E783" w14:textId="798E8E51" w:rsidR="00216EBA" w:rsidRDefault="007821B8" w:rsidP="009C2E74">
      <w:pPr>
        <w:spacing w:line="240" w:lineRule="auto"/>
        <w:ind w:firstLine="720"/>
        <w:jc w:val="both"/>
      </w:pPr>
      <w:r w:rsidRPr="007821B8">
        <w:t>I CERTIFY that on ________________________________________</w:t>
      </w:r>
      <w:r w:rsidR="00042014">
        <w:t xml:space="preserve"> _____</w:t>
      </w:r>
      <w:r w:rsidRPr="007821B8">
        <w:t xml:space="preserve">, _______________, _________________________________________________ personally came before me, and acknowledged under oath, to my satisfaction, that (a) </w:t>
      </w:r>
      <w:r>
        <w:t>they are</w:t>
      </w:r>
      <w:r w:rsidRPr="007821B8">
        <w:t xml:space="preserve"> the president of ________________________________________________________, the voting member of ________________________________________________, the Limited Liability Company/Partnership ("LLC/LLP") named in this document; (b) </w:t>
      </w:r>
      <w:r>
        <w:t>they were</w:t>
      </w:r>
      <w:r w:rsidRPr="007821B8">
        <w:t xml:space="preserve"> authorized to execute this document on behalf of the LLC/LLP and; (c) this document was signed and delivered by </w:t>
      </w:r>
      <w:r>
        <w:t>them</w:t>
      </w:r>
      <w:r w:rsidRPr="007821B8">
        <w:t xml:space="preserve"> as the voluntary act of the voting member and the LLC/LLP.</w:t>
      </w:r>
    </w:p>
    <w:p w14:paraId="13CF0AA7" w14:textId="7616E2B7" w:rsidR="00216EBA" w:rsidRDefault="00216EBA" w:rsidP="009C2E74">
      <w:pPr>
        <w:spacing w:line="240" w:lineRule="auto"/>
      </w:pPr>
      <w:r>
        <w:t>SWORN TO AND SUBSCRIBED before me this __________ day of _______________, _____.</w:t>
      </w:r>
    </w:p>
    <w:p w14:paraId="71D2AFEE" w14:textId="5BE59C16" w:rsidR="00216EBA" w:rsidRDefault="00216EBA" w:rsidP="009C2E74">
      <w:pPr>
        <w:spacing w:line="240" w:lineRule="auto"/>
      </w:pPr>
      <w:r>
        <w:t>__________________________________________________</w:t>
      </w:r>
    </w:p>
    <w:p w14:paraId="67E9E84B" w14:textId="70379D9A" w:rsidR="00216EBA" w:rsidRDefault="00216EBA" w:rsidP="009C2E74">
      <w:pPr>
        <w:spacing w:line="240" w:lineRule="auto"/>
      </w:pPr>
      <w:r>
        <w:t>A Notary Public of ___________________________________</w:t>
      </w:r>
    </w:p>
    <w:p w14:paraId="2AC0535D" w14:textId="4E9CCB7F" w:rsidR="00216EBA" w:rsidRDefault="00216EBA" w:rsidP="009C2E74">
      <w:pPr>
        <w:spacing w:line="240" w:lineRule="auto"/>
      </w:pPr>
      <w:r>
        <w:t>My Commission Expires on: _________________________</w:t>
      </w:r>
    </w:p>
    <w:p w14:paraId="30BC36A3" w14:textId="31BE6FC5" w:rsidR="002A3B53" w:rsidRDefault="002A3B53">
      <w:r>
        <w:br w:type="page"/>
      </w:r>
    </w:p>
    <w:p w14:paraId="60C30E47" w14:textId="7B01EFF1" w:rsidR="00713F77" w:rsidRDefault="00713F77" w:rsidP="00713F77">
      <w:pPr>
        <w:pStyle w:val="Heading3"/>
      </w:pPr>
      <w:bookmarkStart w:id="92" w:name="_Toc230012705"/>
      <w:r>
        <w:lastRenderedPageBreak/>
        <w:t>H.E.R.A. Basis Boost Request</w:t>
      </w:r>
      <w:r w:rsidR="00454F1E">
        <w:t xml:space="preserve"> (if applicable, 9% ONLY)</w:t>
      </w:r>
      <w:bookmarkEnd w:id="92"/>
    </w:p>
    <w:p w14:paraId="4C42D15C" w14:textId="2F6113C4" w:rsidR="00454F1E" w:rsidRDefault="00454F1E" w:rsidP="00454F1E">
      <w:pPr>
        <w:ind w:left="720" w:hanging="720"/>
      </w:pPr>
      <w:r>
        <w:fldChar w:fldCharType="begin">
          <w:ffData>
            <w:name w:val="Check12"/>
            <w:enabled/>
            <w:calcOnExit w:val="0"/>
            <w:checkBox>
              <w:sizeAuto/>
              <w:default w:val="0"/>
            </w:checkBox>
          </w:ffData>
        </w:fldChar>
      </w:r>
      <w:r>
        <w:instrText xml:space="preserve"> FORMCHECKBOX </w:instrText>
      </w:r>
      <w:r w:rsidR="00FB3676">
        <w:fldChar w:fldCharType="separate"/>
      </w:r>
      <w:r>
        <w:fldChar w:fldCharType="end"/>
      </w:r>
      <w:r>
        <w:tab/>
        <w:t>By checking this section, the applicant requests an additional boost in eligible basis, up to 30%, afforded projects pursuant to the Housing and Economic Recovery Act of 2008 (H.E.R.A.).</w:t>
      </w:r>
    </w:p>
    <w:p w14:paraId="3A66A2D8" w14:textId="526A7189" w:rsidR="00454F1E" w:rsidRDefault="00454F1E" w:rsidP="00454F1E">
      <w:pPr>
        <w:tabs>
          <w:tab w:val="left" w:pos="5040"/>
        </w:tabs>
        <w:ind w:left="720" w:hanging="720"/>
      </w:pPr>
      <w:r>
        <w:tab/>
        <w:t>Basis Boost Percentage Requested (max. 30%):</w:t>
      </w:r>
      <w:r>
        <w:tab/>
        <w:t>_____ %</w:t>
      </w:r>
    </w:p>
    <w:p w14:paraId="0E820BF1" w14:textId="10892FB6" w:rsidR="00454F1E" w:rsidRDefault="00454F1E" w:rsidP="00454F1E">
      <w:r>
        <w:t>Additionally, submit a narrative (and any supporting documentation) justifying the financial need for the basis boost.</w:t>
      </w:r>
    </w:p>
    <w:p w14:paraId="3F85ECAC" w14:textId="039D73DF" w:rsidR="00454F1E" w:rsidRDefault="00454F1E" w:rsidP="00454F1E">
      <w:r>
        <w:t>Notes:</w:t>
      </w:r>
    </w:p>
    <w:p w14:paraId="3353CFAC" w14:textId="03E3A751" w:rsidR="00454F1E" w:rsidRDefault="00454F1E" w:rsidP="00454F1E">
      <w:pPr>
        <w:pStyle w:val="ListParagraph"/>
        <w:numPr>
          <w:ilvl w:val="0"/>
          <w:numId w:val="74"/>
        </w:numPr>
      </w:pPr>
      <w:r>
        <w:t>A project located in a Qualified Census Tract (QCT) or Small Difficult Development Area (SDDA) designated by HUD is already entitled to a 30% basis boost and need not request the H.E.R.A. basis boost.</w:t>
      </w:r>
    </w:p>
    <w:p w14:paraId="5DAE9952" w14:textId="726A97E3" w:rsidR="00454F1E" w:rsidRPr="00FF77F0" w:rsidRDefault="00454F1E" w:rsidP="00454F1E">
      <w:pPr>
        <w:pStyle w:val="ListParagraph"/>
        <w:numPr>
          <w:ilvl w:val="0"/>
          <w:numId w:val="74"/>
        </w:numPr>
        <w:rPr>
          <w:b/>
          <w:bCs/>
          <w:color w:val="C00000"/>
        </w:rPr>
      </w:pPr>
      <w:r w:rsidRPr="00FF77F0">
        <w:rPr>
          <w:b/>
          <w:bCs/>
          <w:color w:val="C00000"/>
        </w:rPr>
        <w:t>Please be advised that the discretionary H.E.R.A. 130% basis boost is subject to the needs analysis at Carryover and at 8609. If the project no longer needs the 130% basis boost at Carryover or at 8609 to support the credit allocation, NJHMFA is not permitted to grant the boost.</w:t>
      </w:r>
    </w:p>
    <w:p w14:paraId="6D68F8F1" w14:textId="77777777" w:rsidR="00F97C8D" w:rsidRPr="00F97C8D" w:rsidRDefault="00F97C8D" w:rsidP="00F97C8D"/>
    <w:p w14:paraId="48D8A314" w14:textId="0E59A5F9" w:rsidR="00713F77" w:rsidRDefault="00713F77" w:rsidP="00713F77">
      <w:pPr>
        <w:pStyle w:val="Heading3"/>
      </w:pPr>
      <w:bookmarkStart w:id="93" w:name="_Toc230012706"/>
      <w:r>
        <w:t>Breakdown of Costs and Basis</w:t>
      </w:r>
      <w:bookmarkEnd w:id="93"/>
    </w:p>
    <w:p w14:paraId="3987116A" w14:textId="13BCED61" w:rsidR="00CA597C" w:rsidRDefault="00CA597C" w:rsidP="00CA597C">
      <w:r>
        <w:t xml:space="preserve">See UNIAP Part IV — </w:t>
      </w:r>
      <w:r w:rsidR="003F5837">
        <w:t>Project Costs</w:t>
      </w:r>
      <w:r>
        <w:t>.</w:t>
      </w:r>
    </w:p>
    <w:p w14:paraId="0B5207D1" w14:textId="77777777" w:rsidR="00454F1E" w:rsidRPr="00CA597C" w:rsidRDefault="00454F1E" w:rsidP="00CA597C"/>
    <w:p w14:paraId="796B4AB0" w14:textId="782DAFFC" w:rsidR="00713F77" w:rsidRDefault="00713F77" w:rsidP="00713F77">
      <w:pPr>
        <w:pStyle w:val="Heading3"/>
      </w:pPr>
      <w:bookmarkStart w:id="94" w:name="_Toc230012707"/>
      <w:r>
        <w:t>Eligible Basis Limits Worksheet</w:t>
      </w:r>
      <w:bookmarkEnd w:id="94"/>
    </w:p>
    <w:p w14:paraId="202F9DD7" w14:textId="6965DB21" w:rsidR="00CA597C" w:rsidRDefault="00CA597C" w:rsidP="00CA597C">
      <w:r>
        <w:t xml:space="preserve">See UNIAP Part IV — </w:t>
      </w:r>
      <w:r w:rsidR="003F5837">
        <w:t>Project Costs</w:t>
      </w:r>
      <w:r>
        <w:t>.</w:t>
      </w:r>
    </w:p>
    <w:p w14:paraId="30D49549" w14:textId="77777777" w:rsidR="00454F1E" w:rsidRPr="00CA597C" w:rsidRDefault="00454F1E" w:rsidP="00CA597C"/>
    <w:p w14:paraId="28AA0305" w14:textId="45A4D66E" w:rsidR="00713F77" w:rsidRDefault="00713F77" w:rsidP="00713F77">
      <w:pPr>
        <w:pStyle w:val="Heading3"/>
      </w:pPr>
      <w:bookmarkStart w:id="95" w:name="_Toc230012708"/>
      <w:r>
        <w:t>Tiebreakers</w:t>
      </w:r>
      <w:bookmarkEnd w:id="95"/>
    </w:p>
    <w:p w14:paraId="19D39C77" w14:textId="701C49C7" w:rsidR="00CA597C" w:rsidRDefault="00CA597C" w:rsidP="00CA597C">
      <w:r>
        <w:t xml:space="preserve">See UNIAP Part IV — </w:t>
      </w:r>
      <w:r w:rsidR="003F5837">
        <w:t>Project Costs</w:t>
      </w:r>
      <w:r>
        <w:t>.</w:t>
      </w:r>
    </w:p>
    <w:p w14:paraId="21A367EC" w14:textId="77777777" w:rsidR="00454F1E" w:rsidRPr="00CA597C" w:rsidRDefault="00454F1E" w:rsidP="00CA597C"/>
    <w:p w14:paraId="5A570B95" w14:textId="1D690CFF" w:rsidR="00713F77" w:rsidRDefault="00713F77" w:rsidP="00713F77">
      <w:pPr>
        <w:pStyle w:val="Heading3"/>
      </w:pPr>
      <w:bookmarkStart w:id="96" w:name="_Toc230012709"/>
      <w:r>
        <w:t>Limits and Percentages</w:t>
      </w:r>
      <w:bookmarkEnd w:id="96"/>
    </w:p>
    <w:p w14:paraId="6338752A" w14:textId="30038234" w:rsidR="00CA597C" w:rsidRDefault="00CA597C" w:rsidP="00CA597C">
      <w:r>
        <w:t xml:space="preserve">See UNIAP Part IV — </w:t>
      </w:r>
      <w:r w:rsidR="003F5837">
        <w:t>Project Costs</w:t>
      </w:r>
      <w:r>
        <w:t>.</w:t>
      </w:r>
    </w:p>
    <w:p w14:paraId="066772C3" w14:textId="77777777" w:rsidR="00454F1E" w:rsidRPr="00CA597C" w:rsidRDefault="00454F1E" w:rsidP="00CA597C"/>
    <w:p w14:paraId="24327D41" w14:textId="0D4140AB" w:rsidR="00713F77" w:rsidRDefault="00713F77" w:rsidP="00713F77">
      <w:pPr>
        <w:pStyle w:val="Heading3"/>
      </w:pPr>
      <w:bookmarkStart w:id="97" w:name="_Toc230012710"/>
      <w:r>
        <w:t>15-Year Operating Pro Forma</w:t>
      </w:r>
      <w:bookmarkEnd w:id="97"/>
    </w:p>
    <w:p w14:paraId="78230054" w14:textId="47F831E9" w:rsidR="00CA597C" w:rsidRDefault="00CA597C" w:rsidP="00CA597C">
      <w:r>
        <w:t xml:space="preserve">See UNIAP Part IV — </w:t>
      </w:r>
      <w:r w:rsidR="003F5837">
        <w:t>Project Costs</w:t>
      </w:r>
      <w:r>
        <w:t>.</w:t>
      </w:r>
    </w:p>
    <w:p w14:paraId="28817ECC" w14:textId="77777777" w:rsidR="00454F1E" w:rsidRPr="00CA597C" w:rsidRDefault="00454F1E" w:rsidP="00CA597C"/>
    <w:p w14:paraId="7B397922" w14:textId="62298522" w:rsidR="00713F77" w:rsidRDefault="00713F77" w:rsidP="00713F77">
      <w:pPr>
        <w:pStyle w:val="Heading3"/>
      </w:pPr>
      <w:bookmarkStart w:id="98" w:name="_Toc230012711"/>
      <w:r>
        <w:t>Signature Page for Breakdown and Pro Forma</w:t>
      </w:r>
      <w:bookmarkEnd w:id="98"/>
    </w:p>
    <w:p w14:paraId="40D76670" w14:textId="5EC57D6B" w:rsidR="00CA597C" w:rsidRPr="00CA597C" w:rsidRDefault="00CA597C" w:rsidP="00CA597C">
      <w:r>
        <w:t xml:space="preserve">See UNIAP Part IV — </w:t>
      </w:r>
      <w:r w:rsidR="003F5837">
        <w:t>Project Costs</w:t>
      </w:r>
      <w:r>
        <w:t>.</w:t>
      </w:r>
    </w:p>
    <w:p w14:paraId="144EA6ED" w14:textId="77777777" w:rsidR="00713F77" w:rsidRPr="00B22112" w:rsidRDefault="00713F77" w:rsidP="00B22112"/>
    <w:sectPr w:rsidR="00713F77" w:rsidRPr="00B22112" w:rsidSect="00E47AE2">
      <w:headerReference w:type="default" r:id="rId31"/>
      <w:foot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841CE" w14:textId="77777777" w:rsidR="009317E5" w:rsidRDefault="009317E5" w:rsidP="008734F4">
      <w:pPr>
        <w:spacing w:after="0" w:line="240" w:lineRule="auto"/>
      </w:pPr>
      <w:r>
        <w:separator/>
      </w:r>
    </w:p>
  </w:endnote>
  <w:endnote w:type="continuationSeparator" w:id="0">
    <w:p w14:paraId="4FE3D042" w14:textId="77777777" w:rsidR="009317E5" w:rsidRDefault="009317E5" w:rsidP="0087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6E26" w14:textId="01AA36E9" w:rsidR="008734F4" w:rsidRPr="00B22112" w:rsidRDefault="008734F4" w:rsidP="008734F4">
    <w:pPr>
      <w:pStyle w:val="Footer"/>
      <w:tabs>
        <w:tab w:val="clear" w:pos="4680"/>
        <w:tab w:val="clear" w:pos="9360"/>
        <w:tab w:val="center" w:pos="5400"/>
        <w:tab w:val="right" w:pos="10800"/>
      </w:tabs>
    </w:pP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00B22112">
      <w:rPr>
        <w:b/>
        <w:bCs/>
      </w:rPr>
      <w:tab/>
    </w:r>
    <w:r w:rsidR="00B22112">
      <w:t xml:space="preserve">Rev. </w:t>
    </w:r>
    <w:r w:rsidR="00FD2DEB">
      <w:t>May</w:t>
    </w:r>
    <w:r w:rsidR="00B22112">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789B7" w14:textId="77777777" w:rsidR="009317E5" w:rsidRDefault="009317E5" w:rsidP="008734F4">
      <w:pPr>
        <w:spacing w:after="0" w:line="240" w:lineRule="auto"/>
      </w:pPr>
      <w:r>
        <w:separator/>
      </w:r>
    </w:p>
  </w:footnote>
  <w:footnote w:type="continuationSeparator" w:id="0">
    <w:p w14:paraId="4F51C794" w14:textId="77777777" w:rsidR="009317E5" w:rsidRDefault="009317E5" w:rsidP="00873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A318" w14:textId="6746BEA2" w:rsidR="008734F4" w:rsidRDefault="008734F4" w:rsidP="008734F4">
    <w:pPr>
      <w:pStyle w:val="Header"/>
      <w:tabs>
        <w:tab w:val="clear" w:pos="4680"/>
        <w:tab w:val="clear" w:pos="9360"/>
        <w:tab w:val="center" w:pos="5400"/>
        <w:tab w:val="right" w:pos="10800"/>
      </w:tabs>
    </w:pPr>
    <w:r>
      <w:t>NJHMFA</w:t>
    </w:r>
    <w:r>
      <w:tab/>
    </w:r>
    <w:r>
      <w:tab/>
      <w:t>2026</w:t>
    </w:r>
    <w:r w:rsidR="00B22112">
      <w:t xml:space="preserve"> Low-Income Housing Tax Credit Application</w:t>
    </w:r>
  </w:p>
  <w:p w14:paraId="14315D4F" w14:textId="77777777" w:rsidR="00B22112" w:rsidRDefault="00B22112" w:rsidP="008734F4">
    <w:pPr>
      <w:pStyle w:val="Header"/>
      <w:tabs>
        <w:tab w:val="clear" w:pos="4680"/>
        <w:tab w:val="clear" w:pos="9360"/>
        <w:tab w:val="center" w:pos="540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8FE"/>
    <w:multiLevelType w:val="hybridMultilevel"/>
    <w:tmpl w:val="0326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F0030"/>
    <w:multiLevelType w:val="hybridMultilevel"/>
    <w:tmpl w:val="B90E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8D5"/>
    <w:multiLevelType w:val="hybridMultilevel"/>
    <w:tmpl w:val="5FD2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447F9"/>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4" w15:restartNumberingAfterBreak="0">
    <w:nsid w:val="07ED4FAB"/>
    <w:multiLevelType w:val="hybridMultilevel"/>
    <w:tmpl w:val="579C8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A0857"/>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6" w15:restartNumberingAfterBreak="0">
    <w:nsid w:val="10751940"/>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7" w15:restartNumberingAfterBreak="0">
    <w:nsid w:val="114835F3"/>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8" w15:restartNumberingAfterBreak="0">
    <w:nsid w:val="125D32A8"/>
    <w:multiLevelType w:val="hybridMultilevel"/>
    <w:tmpl w:val="4BA8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A1F8F"/>
    <w:multiLevelType w:val="hybridMultilevel"/>
    <w:tmpl w:val="BF26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71925"/>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11" w15:restartNumberingAfterBreak="0">
    <w:nsid w:val="15C85B7B"/>
    <w:multiLevelType w:val="hybridMultilevel"/>
    <w:tmpl w:val="B0C2A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8084A"/>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13" w15:restartNumberingAfterBreak="0">
    <w:nsid w:val="1652052F"/>
    <w:multiLevelType w:val="hybridMultilevel"/>
    <w:tmpl w:val="FF062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87262C"/>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15" w15:restartNumberingAfterBreak="0">
    <w:nsid w:val="1AE5787B"/>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16" w15:restartNumberingAfterBreak="0">
    <w:nsid w:val="1E5B3C1F"/>
    <w:multiLevelType w:val="hybridMultilevel"/>
    <w:tmpl w:val="4C083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E418B9"/>
    <w:multiLevelType w:val="hybridMultilevel"/>
    <w:tmpl w:val="678841C0"/>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6903F9"/>
    <w:multiLevelType w:val="hybridMultilevel"/>
    <w:tmpl w:val="364E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3361E9"/>
    <w:multiLevelType w:val="hybridMultilevel"/>
    <w:tmpl w:val="E2C8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7C10A6"/>
    <w:multiLevelType w:val="hybridMultilevel"/>
    <w:tmpl w:val="DEE4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5D15CC"/>
    <w:multiLevelType w:val="hybridMultilevel"/>
    <w:tmpl w:val="CDC20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4C78FB"/>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23" w15:restartNumberingAfterBreak="0">
    <w:nsid w:val="2A5958FE"/>
    <w:multiLevelType w:val="hybridMultilevel"/>
    <w:tmpl w:val="8474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692B36"/>
    <w:multiLevelType w:val="hybridMultilevel"/>
    <w:tmpl w:val="C1E89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35330"/>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26" w15:restartNumberingAfterBreak="0">
    <w:nsid w:val="342F3A54"/>
    <w:multiLevelType w:val="hybridMultilevel"/>
    <w:tmpl w:val="F23A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A2718B"/>
    <w:multiLevelType w:val="hybridMultilevel"/>
    <w:tmpl w:val="7BD2B1F4"/>
    <w:lvl w:ilvl="0" w:tplc="711CB7C6">
      <w:start w:val="6"/>
      <w:numFmt w:val="bullet"/>
      <w:lvlText w:val=""/>
      <w:lvlJc w:val="left"/>
      <w:pPr>
        <w:ind w:left="720" w:hanging="360"/>
      </w:pPr>
      <w:rPr>
        <w:rFonts w:ascii="Wingdings" w:eastAsia="Times New Roman" w:hAnsi="Wingdings" w:cs="Times New Roman"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EA1D2C"/>
    <w:multiLevelType w:val="hybridMultilevel"/>
    <w:tmpl w:val="BAB2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410799"/>
    <w:multiLevelType w:val="hybridMultilevel"/>
    <w:tmpl w:val="38AA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F54B8B"/>
    <w:multiLevelType w:val="multilevel"/>
    <w:tmpl w:val="8F6A57C6"/>
    <w:lvl w:ilvl="0">
      <w:start w:val="1"/>
      <w:numFmt w:val="lowerLetter"/>
      <w:lvlText w:val="%1."/>
      <w:lvlJc w:val="left"/>
      <w:pPr>
        <w:ind w:left="360" w:hanging="360"/>
      </w:pPr>
      <w:rPr>
        <w:rFonts w:hint="default"/>
        <w:sz w:val="20"/>
      </w:rPr>
    </w:lvl>
    <w:lvl w:ilvl="1">
      <w:start w:val="1"/>
      <w:numFmt w:val="bullet"/>
      <w:lvlText w:val=""/>
      <w:lvlJc w:val="left"/>
      <w:pPr>
        <w:ind w:left="720" w:hanging="360"/>
      </w:pPr>
      <w:rPr>
        <w:rFonts w:ascii="Symbol" w:hAnsi="Symbol"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31" w15:restartNumberingAfterBreak="0">
    <w:nsid w:val="3BE32BC3"/>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32" w15:restartNumberingAfterBreak="0">
    <w:nsid w:val="3D7627AB"/>
    <w:multiLevelType w:val="hybridMultilevel"/>
    <w:tmpl w:val="2F80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0A0382"/>
    <w:multiLevelType w:val="hybridMultilevel"/>
    <w:tmpl w:val="93C0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DE0512"/>
    <w:multiLevelType w:val="hybridMultilevel"/>
    <w:tmpl w:val="7FB6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B176CA"/>
    <w:multiLevelType w:val="hybridMultilevel"/>
    <w:tmpl w:val="D468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CA3D16"/>
    <w:multiLevelType w:val="hybridMultilevel"/>
    <w:tmpl w:val="5BB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811E9B"/>
    <w:multiLevelType w:val="hybridMultilevel"/>
    <w:tmpl w:val="CE24E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883F35"/>
    <w:multiLevelType w:val="hybridMultilevel"/>
    <w:tmpl w:val="0F32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F05A1E"/>
    <w:multiLevelType w:val="hybridMultilevel"/>
    <w:tmpl w:val="F630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950D37"/>
    <w:multiLevelType w:val="hybridMultilevel"/>
    <w:tmpl w:val="6BE6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B267FA"/>
    <w:multiLevelType w:val="hybridMultilevel"/>
    <w:tmpl w:val="3DD22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C10329"/>
    <w:multiLevelType w:val="hybridMultilevel"/>
    <w:tmpl w:val="BFD4E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53666F"/>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44" w15:restartNumberingAfterBreak="0">
    <w:nsid w:val="4C534350"/>
    <w:multiLevelType w:val="hybridMultilevel"/>
    <w:tmpl w:val="0976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175B4C"/>
    <w:multiLevelType w:val="hybridMultilevel"/>
    <w:tmpl w:val="5A1A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3C16D4"/>
    <w:multiLevelType w:val="hybridMultilevel"/>
    <w:tmpl w:val="FB56A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1E6E64"/>
    <w:multiLevelType w:val="hybridMultilevel"/>
    <w:tmpl w:val="A992E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A53953"/>
    <w:multiLevelType w:val="hybridMultilevel"/>
    <w:tmpl w:val="B5A2A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DD7A07"/>
    <w:multiLevelType w:val="hybridMultilevel"/>
    <w:tmpl w:val="7622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FA5414"/>
    <w:multiLevelType w:val="hybridMultilevel"/>
    <w:tmpl w:val="B0762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14398F"/>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52" w15:restartNumberingAfterBreak="0">
    <w:nsid w:val="56F53052"/>
    <w:multiLevelType w:val="hybridMultilevel"/>
    <w:tmpl w:val="0C765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322041"/>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54" w15:restartNumberingAfterBreak="0">
    <w:nsid w:val="5D942E21"/>
    <w:multiLevelType w:val="hybridMultilevel"/>
    <w:tmpl w:val="B09C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C16D00"/>
    <w:multiLevelType w:val="hybridMultilevel"/>
    <w:tmpl w:val="1282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8A0346"/>
    <w:multiLevelType w:val="hybridMultilevel"/>
    <w:tmpl w:val="9870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0C0E5A"/>
    <w:multiLevelType w:val="hybridMultilevel"/>
    <w:tmpl w:val="94B8D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452A68"/>
    <w:multiLevelType w:val="hybridMultilevel"/>
    <w:tmpl w:val="34E6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017AA3"/>
    <w:multiLevelType w:val="hybridMultilevel"/>
    <w:tmpl w:val="220C7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A67FF1"/>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61" w15:restartNumberingAfterBreak="0">
    <w:nsid w:val="6ED8151E"/>
    <w:multiLevelType w:val="hybridMultilevel"/>
    <w:tmpl w:val="B088E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F31EE6"/>
    <w:multiLevelType w:val="hybridMultilevel"/>
    <w:tmpl w:val="676AD510"/>
    <w:lvl w:ilvl="0" w:tplc="5F5E1F7C">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A96F1C"/>
    <w:multiLevelType w:val="hybridMultilevel"/>
    <w:tmpl w:val="C2FCC184"/>
    <w:lvl w:ilvl="0" w:tplc="905CB75E">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17727E"/>
    <w:multiLevelType w:val="hybridMultilevel"/>
    <w:tmpl w:val="31EA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18535F"/>
    <w:multiLevelType w:val="hybridMultilevel"/>
    <w:tmpl w:val="2FB6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AE2853"/>
    <w:multiLevelType w:val="hybridMultilevel"/>
    <w:tmpl w:val="79F0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3A27FC"/>
    <w:multiLevelType w:val="hybridMultilevel"/>
    <w:tmpl w:val="2E12E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4577CE2"/>
    <w:multiLevelType w:val="hybridMultilevel"/>
    <w:tmpl w:val="7A8A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9F502D"/>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70" w15:restartNumberingAfterBreak="0">
    <w:nsid w:val="7990524D"/>
    <w:multiLevelType w:val="hybridMultilevel"/>
    <w:tmpl w:val="5478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792686"/>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72" w15:restartNumberingAfterBreak="0">
    <w:nsid w:val="7B845871"/>
    <w:multiLevelType w:val="hybridMultilevel"/>
    <w:tmpl w:val="70166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49440">
    <w:abstractNumId w:val="63"/>
  </w:num>
  <w:num w:numId="2" w16cid:durableId="842860846">
    <w:abstractNumId w:val="62"/>
  </w:num>
  <w:num w:numId="3" w16cid:durableId="905185450">
    <w:abstractNumId w:val="62"/>
    <w:lvlOverride w:ilvl="0">
      <w:startOverride w:val="1"/>
    </w:lvlOverride>
  </w:num>
  <w:num w:numId="4" w16cid:durableId="185027521">
    <w:abstractNumId w:val="62"/>
    <w:lvlOverride w:ilvl="0">
      <w:startOverride w:val="1"/>
    </w:lvlOverride>
  </w:num>
  <w:num w:numId="5" w16cid:durableId="1500345470">
    <w:abstractNumId w:val="62"/>
    <w:lvlOverride w:ilvl="0">
      <w:startOverride w:val="1"/>
    </w:lvlOverride>
  </w:num>
  <w:num w:numId="6" w16cid:durableId="327098294">
    <w:abstractNumId w:val="27"/>
  </w:num>
  <w:num w:numId="7" w16cid:durableId="413480837">
    <w:abstractNumId w:val="63"/>
    <w:lvlOverride w:ilvl="0">
      <w:startOverride w:val="1"/>
    </w:lvlOverride>
  </w:num>
  <w:num w:numId="8" w16cid:durableId="1793597995">
    <w:abstractNumId w:val="3"/>
  </w:num>
  <w:num w:numId="9" w16cid:durableId="1195539993">
    <w:abstractNumId w:val="42"/>
  </w:num>
  <w:num w:numId="10" w16cid:durableId="2049714619">
    <w:abstractNumId w:val="29"/>
  </w:num>
  <w:num w:numId="11" w16cid:durableId="687101578">
    <w:abstractNumId w:val="31"/>
  </w:num>
  <w:num w:numId="12" w16cid:durableId="1261837920">
    <w:abstractNumId w:val="61"/>
  </w:num>
  <w:num w:numId="13" w16cid:durableId="298538482">
    <w:abstractNumId w:val="69"/>
  </w:num>
  <w:num w:numId="14" w16cid:durableId="327367039">
    <w:abstractNumId w:val="1"/>
  </w:num>
  <w:num w:numId="15" w16cid:durableId="1664893710">
    <w:abstractNumId w:val="18"/>
  </w:num>
  <w:num w:numId="16" w16cid:durableId="1207525213">
    <w:abstractNumId w:val="38"/>
  </w:num>
  <w:num w:numId="17" w16cid:durableId="2039502523">
    <w:abstractNumId w:val="15"/>
  </w:num>
  <w:num w:numId="18" w16cid:durableId="357513875">
    <w:abstractNumId w:val="51"/>
  </w:num>
  <w:num w:numId="19" w16cid:durableId="1784226570">
    <w:abstractNumId w:val="56"/>
  </w:num>
  <w:num w:numId="20" w16cid:durableId="1949312803">
    <w:abstractNumId w:val="10"/>
  </w:num>
  <w:num w:numId="21" w16cid:durableId="2106076993">
    <w:abstractNumId w:val="5"/>
  </w:num>
  <w:num w:numId="22" w16cid:durableId="2076122111">
    <w:abstractNumId w:val="41"/>
  </w:num>
  <w:num w:numId="23" w16cid:durableId="117647659">
    <w:abstractNumId w:val="7"/>
  </w:num>
  <w:num w:numId="24" w16cid:durableId="848253382">
    <w:abstractNumId w:val="53"/>
  </w:num>
  <w:num w:numId="25" w16cid:durableId="37361244">
    <w:abstractNumId w:val="71"/>
  </w:num>
  <w:num w:numId="26" w16cid:durableId="1151092322">
    <w:abstractNumId w:val="60"/>
  </w:num>
  <w:num w:numId="27" w16cid:durableId="721448207">
    <w:abstractNumId w:val="22"/>
  </w:num>
  <w:num w:numId="28" w16cid:durableId="2146270887">
    <w:abstractNumId w:val="25"/>
  </w:num>
  <w:num w:numId="29" w16cid:durableId="1249532967">
    <w:abstractNumId w:val="6"/>
  </w:num>
  <w:num w:numId="30" w16cid:durableId="1639188362">
    <w:abstractNumId w:val="59"/>
  </w:num>
  <w:num w:numId="31" w16cid:durableId="1935436433">
    <w:abstractNumId w:val="13"/>
  </w:num>
  <w:num w:numId="32" w16cid:durableId="1000353719">
    <w:abstractNumId w:val="39"/>
  </w:num>
  <w:num w:numId="33" w16cid:durableId="779496664">
    <w:abstractNumId w:val="12"/>
  </w:num>
  <w:num w:numId="34" w16cid:durableId="1093861896">
    <w:abstractNumId w:val="24"/>
  </w:num>
  <w:num w:numId="35" w16cid:durableId="1206023686">
    <w:abstractNumId w:val="14"/>
  </w:num>
  <w:num w:numId="36" w16cid:durableId="1989940305">
    <w:abstractNumId w:val="9"/>
  </w:num>
  <w:num w:numId="37" w16cid:durableId="1554344281">
    <w:abstractNumId w:val="48"/>
  </w:num>
  <w:num w:numId="38" w16cid:durableId="371880629">
    <w:abstractNumId w:val="43"/>
  </w:num>
  <w:num w:numId="39" w16cid:durableId="597253345">
    <w:abstractNumId w:val="66"/>
  </w:num>
  <w:num w:numId="40" w16cid:durableId="397362651">
    <w:abstractNumId w:val="11"/>
  </w:num>
  <w:num w:numId="41" w16cid:durableId="291716960">
    <w:abstractNumId w:val="72"/>
  </w:num>
  <w:num w:numId="42" w16cid:durableId="439837874">
    <w:abstractNumId w:val="33"/>
  </w:num>
  <w:num w:numId="43" w16cid:durableId="1513450806">
    <w:abstractNumId w:val="2"/>
  </w:num>
  <w:num w:numId="44" w16cid:durableId="1970697080">
    <w:abstractNumId w:val="0"/>
  </w:num>
  <w:num w:numId="45" w16cid:durableId="2140411359">
    <w:abstractNumId w:val="46"/>
  </w:num>
  <w:num w:numId="46" w16cid:durableId="1003431703">
    <w:abstractNumId w:val="37"/>
  </w:num>
  <w:num w:numId="47" w16cid:durableId="1532379988">
    <w:abstractNumId w:val="28"/>
  </w:num>
  <w:num w:numId="48" w16cid:durableId="958954266">
    <w:abstractNumId w:val="57"/>
  </w:num>
  <w:num w:numId="49" w16cid:durableId="1660502931">
    <w:abstractNumId w:val="8"/>
  </w:num>
  <w:num w:numId="50" w16cid:durableId="1744910539">
    <w:abstractNumId w:val="65"/>
  </w:num>
  <w:num w:numId="51" w16cid:durableId="707729412">
    <w:abstractNumId w:val="70"/>
  </w:num>
  <w:num w:numId="52" w16cid:durableId="1234320180">
    <w:abstractNumId w:val="64"/>
  </w:num>
  <w:num w:numId="53" w16cid:durableId="128325798">
    <w:abstractNumId w:val="35"/>
  </w:num>
  <w:num w:numId="54" w16cid:durableId="31343555">
    <w:abstractNumId w:val="49"/>
  </w:num>
  <w:num w:numId="55" w16cid:durableId="1723092396">
    <w:abstractNumId w:val="68"/>
  </w:num>
  <w:num w:numId="56" w16cid:durableId="170800132">
    <w:abstractNumId w:val="34"/>
  </w:num>
  <w:num w:numId="57" w16cid:durableId="1650983894">
    <w:abstractNumId w:val="40"/>
  </w:num>
  <w:num w:numId="58" w16cid:durableId="1208105271">
    <w:abstractNumId w:val="23"/>
  </w:num>
  <w:num w:numId="59" w16cid:durableId="1553691176">
    <w:abstractNumId w:val="32"/>
  </w:num>
  <w:num w:numId="60" w16cid:durableId="357853882">
    <w:abstractNumId w:val="20"/>
  </w:num>
  <w:num w:numId="61" w16cid:durableId="5713713">
    <w:abstractNumId w:val="16"/>
  </w:num>
  <w:num w:numId="62" w16cid:durableId="357513651">
    <w:abstractNumId w:val="44"/>
  </w:num>
  <w:num w:numId="63" w16cid:durableId="249392520">
    <w:abstractNumId w:val="45"/>
  </w:num>
  <w:num w:numId="64" w16cid:durableId="2040398976">
    <w:abstractNumId w:val="52"/>
  </w:num>
  <w:num w:numId="65" w16cid:durableId="2115250130">
    <w:abstractNumId w:val="54"/>
  </w:num>
  <w:num w:numId="66" w16cid:durableId="1469586501">
    <w:abstractNumId w:val="30"/>
  </w:num>
  <w:num w:numId="67" w16cid:durableId="2087222358">
    <w:abstractNumId w:val="50"/>
  </w:num>
  <w:num w:numId="68" w16cid:durableId="851187203">
    <w:abstractNumId w:val="19"/>
  </w:num>
  <w:num w:numId="69" w16cid:durableId="1209682037">
    <w:abstractNumId w:val="58"/>
  </w:num>
  <w:num w:numId="70" w16cid:durableId="1098259939">
    <w:abstractNumId w:val="26"/>
  </w:num>
  <w:num w:numId="71" w16cid:durableId="517356736">
    <w:abstractNumId w:val="55"/>
  </w:num>
  <w:num w:numId="72" w16cid:durableId="1150292729">
    <w:abstractNumId w:val="4"/>
  </w:num>
  <w:num w:numId="73" w16cid:durableId="1537737359">
    <w:abstractNumId w:val="47"/>
  </w:num>
  <w:num w:numId="74" w16cid:durableId="232815025">
    <w:abstractNumId w:val="36"/>
  </w:num>
  <w:num w:numId="75" w16cid:durableId="1063524026">
    <w:abstractNumId w:val="21"/>
  </w:num>
  <w:num w:numId="76" w16cid:durableId="153304050">
    <w:abstractNumId w:val="67"/>
  </w:num>
  <w:num w:numId="77" w16cid:durableId="350961685">
    <w:abstractNumId w:val="1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E2"/>
    <w:rsid w:val="00002C24"/>
    <w:rsid w:val="0001090C"/>
    <w:rsid w:val="00011272"/>
    <w:rsid w:val="0001775D"/>
    <w:rsid w:val="00022BE4"/>
    <w:rsid w:val="000273C1"/>
    <w:rsid w:val="000333E7"/>
    <w:rsid w:val="000349BD"/>
    <w:rsid w:val="00041117"/>
    <w:rsid w:val="00042014"/>
    <w:rsid w:val="0004299E"/>
    <w:rsid w:val="00044531"/>
    <w:rsid w:val="000457EA"/>
    <w:rsid w:val="000466B6"/>
    <w:rsid w:val="00053124"/>
    <w:rsid w:val="00053CD8"/>
    <w:rsid w:val="00055F1E"/>
    <w:rsid w:val="00063364"/>
    <w:rsid w:val="00063D87"/>
    <w:rsid w:val="00063EB2"/>
    <w:rsid w:val="00070433"/>
    <w:rsid w:val="00074D86"/>
    <w:rsid w:val="0007635C"/>
    <w:rsid w:val="00076E06"/>
    <w:rsid w:val="000859F1"/>
    <w:rsid w:val="00086924"/>
    <w:rsid w:val="00096AC8"/>
    <w:rsid w:val="00096C6B"/>
    <w:rsid w:val="000A425D"/>
    <w:rsid w:val="000B2E50"/>
    <w:rsid w:val="000B3929"/>
    <w:rsid w:val="000B45FB"/>
    <w:rsid w:val="000B7E70"/>
    <w:rsid w:val="000C0537"/>
    <w:rsid w:val="000C3D2E"/>
    <w:rsid w:val="000C4F03"/>
    <w:rsid w:val="000C7CAD"/>
    <w:rsid w:val="000D301A"/>
    <w:rsid w:val="000D355D"/>
    <w:rsid w:val="000D3761"/>
    <w:rsid w:val="000D5D8B"/>
    <w:rsid w:val="000E1F1D"/>
    <w:rsid w:val="000F0AE3"/>
    <w:rsid w:val="00101909"/>
    <w:rsid w:val="00102DD9"/>
    <w:rsid w:val="00110586"/>
    <w:rsid w:val="00112587"/>
    <w:rsid w:val="00113C13"/>
    <w:rsid w:val="00116BD2"/>
    <w:rsid w:val="001176DC"/>
    <w:rsid w:val="00124C90"/>
    <w:rsid w:val="001317A1"/>
    <w:rsid w:val="00132A04"/>
    <w:rsid w:val="00135913"/>
    <w:rsid w:val="001366AB"/>
    <w:rsid w:val="00143ACE"/>
    <w:rsid w:val="001511CA"/>
    <w:rsid w:val="001519C6"/>
    <w:rsid w:val="00151D2C"/>
    <w:rsid w:val="00153815"/>
    <w:rsid w:val="001600F3"/>
    <w:rsid w:val="0016605D"/>
    <w:rsid w:val="00166965"/>
    <w:rsid w:val="001673CD"/>
    <w:rsid w:val="00170648"/>
    <w:rsid w:val="00171C1D"/>
    <w:rsid w:val="00175A5A"/>
    <w:rsid w:val="00183CE2"/>
    <w:rsid w:val="001868EC"/>
    <w:rsid w:val="00187272"/>
    <w:rsid w:val="00187E97"/>
    <w:rsid w:val="00194C3E"/>
    <w:rsid w:val="00195178"/>
    <w:rsid w:val="00195285"/>
    <w:rsid w:val="00196487"/>
    <w:rsid w:val="00197FC3"/>
    <w:rsid w:val="001A1119"/>
    <w:rsid w:val="001A35A7"/>
    <w:rsid w:val="001B2F10"/>
    <w:rsid w:val="001B7919"/>
    <w:rsid w:val="001C07BE"/>
    <w:rsid w:val="001D0A01"/>
    <w:rsid w:val="001D0F43"/>
    <w:rsid w:val="001D4D13"/>
    <w:rsid w:val="001D5E1A"/>
    <w:rsid w:val="001E22A6"/>
    <w:rsid w:val="001E4343"/>
    <w:rsid w:val="001E51DB"/>
    <w:rsid w:val="001E6EBC"/>
    <w:rsid w:val="001F06E4"/>
    <w:rsid w:val="001F36E4"/>
    <w:rsid w:val="001F5CF2"/>
    <w:rsid w:val="001F6B3A"/>
    <w:rsid w:val="001F7D33"/>
    <w:rsid w:val="00201EC4"/>
    <w:rsid w:val="00203071"/>
    <w:rsid w:val="002111A2"/>
    <w:rsid w:val="00214533"/>
    <w:rsid w:val="00216EBA"/>
    <w:rsid w:val="00226B3E"/>
    <w:rsid w:val="002270E4"/>
    <w:rsid w:val="00233937"/>
    <w:rsid w:val="00234C4C"/>
    <w:rsid w:val="0023614B"/>
    <w:rsid w:val="00236D2E"/>
    <w:rsid w:val="00237233"/>
    <w:rsid w:val="00237C54"/>
    <w:rsid w:val="0024535A"/>
    <w:rsid w:val="00245E17"/>
    <w:rsid w:val="002501BF"/>
    <w:rsid w:val="00250301"/>
    <w:rsid w:val="0025102E"/>
    <w:rsid w:val="00251179"/>
    <w:rsid w:val="00254424"/>
    <w:rsid w:val="00254DF0"/>
    <w:rsid w:val="002600A8"/>
    <w:rsid w:val="002613E7"/>
    <w:rsid w:val="002629DC"/>
    <w:rsid w:val="00271A02"/>
    <w:rsid w:val="00272AFA"/>
    <w:rsid w:val="00277681"/>
    <w:rsid w:val="002835AC"/>
    <w:rsid w:val="002837A7"/>
    <w:rsid w:val="0029245A"/>
    <w:rsid w:val="00292BAA"/>
    <w:rsid w:val="00294FAA"/>
    <w:rsid w:val="002A3B53"/>
    <w:rsid w:val="002C0CC7"/>
    <w:rsid w:val="002C4F3A"/>
    <w:rsid w:val="002C59A1"/>
    <w:rsid w:val="002C5F20"/>
    <w:rsid w:val="002C6C96"/>
    <w:rsid w:val="002D0183"/>
    <w:rsid w:val="002D3508"/>
    <w:rsid w:val="002D53FE"/>
    <w:rsid w:val="002E0041"/>
    <w:rsid w:val="002E425D"/>
    <w:rsid w:val="002F125A"/>
    <w:rsid w:val="002F20EF"/>
    <w:rsid w:val="002F4AD1"/>
    <w:rsid w:val="002F527D"/>
    <w:rsid w:val="00302801"/>
    <w:rsid w:val="00304FFA"/>
    <w:rsid w:val="00306B38"/>
    <w:rsid w:val="00310278"/>
    <w:rsid w:val="003119C3"/>
    <w:rsid w:val="0031259E"/>
    <w:rsid w:val="0031600B"/>
    <w:rsid w:val="00316943"/>
    <w:rsid w:val="003174D1"/>
    <w:rsid w:val="003202BD"/>
    <w:rsid w:val="00320492"/>
    <w:rsid w:val="00320557"/>
    <w:rsid w:val="00326E7B"/>
    <w:rsid w:val="00327491"/>
    <w:rsid w:val="00334840"/>
    <w:rsid w:val="003356B2"/>
    <w:rsid w:val="003465EB"/>
    <w:rsid w:val="0034787A"/>
    <w:rsid w:val="003500F4"/>
    <w:rsid w:val="00350465"/>
    <w:rsid w:val="00350DFE"/>
    <w:rsid w:val="00351E27"/>
    <w:rsid w:val="003567EA"/>
    <w:rsid w:val="00356A65"/>
    <w:rsid w:val="0035793E"/>
    <w:rsid w:val="00366B14"/>
    <w:rsid w:val="00367964"/>
    <w:rsid w:val="0039029C"/>
    <w:rsid w:val="00390A09"/>
    <w:rsid w:val="00391C21"/>
    <w:rsid w:val="00393C02"/>
    <w:rsid w:val="00393DBB"/>
    <w:rsid w:val="00394E4D"/>
    <w:rsid w:val="00395308"/>
    <w:rsid w:val="003A5A86"/>
    <w:rsid w:val="003A6F1A"/>
    <w:rsid w:val="003B04E3"/>
    <w:rsid w:val="003B31E1"/>
    <w:rsid w:val="003B528F"/>
    <w:rsid w:val="003C0DFA"/>
    <w:rsid w:val="003D1C00"/>
    <w:rsid w:val="003D2D5C"/>
    <w:rsid w:val="003D7F6D"/>
    <w:rsid w:val="003E0C8C"/>
    <w:rsid w:val="003E583D"/>
    <w:rsid w:val="003E76F3"/>
    <w:rsid w:val="003F181D"/>
    <w:rsid w:val="003F5837"/>
    <w:rsid w:val="003F625D"/>
    <w:rsid w:val="004167D4"/>
    <w:rsid w:val="00420393"/>
    <w:rsid w:val="00424EB7"/>
    <w:rsid w:val="004278BD"/>
    <w:rsid w:val="00432FDE"/>
    <w:rsid w:val="004376D5"/>
    <w:rsid w:val="00437BB7"/>
    <w:rsid w:val="00444B3F"/>
    <w:rsid w:val="00444BEA"/>
    <w:rsid w:val="00446D90"/>
    <w:rsid w:val="004503F0"/>
    <w:rsid w:val="00454F1E"/>
    <w:rsid w:val="00455FFD"/>
    <w:rsid w:val="00456251"/>
    <w:rsid w:val="00462FD8"/>
    <w:rsid w:val="00464D46"/>
    <w:rsid w:val="00466969"/>
    <w:rsid w:val="00477C84"/>
    <w:rsid w:val="004808F6"/>
    <w:rsid w:val="00482C5D"/>
    <w:rsid w:val="004950EA"/>
    <w:rsid w:val="004A6138"/>
    <w:rsid w:val="004A7097"/>
    <w:rsid w:val="004B1BEA"/>
    <w:rsid w:val="004B2951"/>
    <w:rsid w:val="004B4E72"/>
    <w:rsid w:val="004B7F62"/>
    <w:rsid w:val="004C2AA4"/>
    <w:rsid w:val="004C453B"/>
    <w:rsid w:val="004C4B0E"/>
    <w:rsid w:val="004C5079"/>
    <w:rsid w:val="004D13DA"/>
    <w:rsid w:val="004D27A1"/>
    <w:rsid w:val="004E597A"/>
    <w:rsid w:val="004E5EF0"/>
    <w:rsid w:val="004E77D5"/>
    <w:rsid w:val="00501601"/>
    <w:rsid w:val="0050366F"/>
    <w:rsid w:val="005125BF"/>
    <w:rsid w:val="00512871"/>
    <w:rsid w:val="00517491"/>
    <w:rsid w:val="00525316"/>
    <w:rsid w:val="00527753"/>
    <w:rsid w:val="0053171A"/>
    <w:rsid w:val="005328BE"/>
    <w:rsid w:val="0053459B"/>
    <w:rsid w:val="00534ED7"/>
    <w:rsid w:val="005435BC"/>
    <w:rsid w:val="00546C2D"/>
    <w:rsid w:val="005506AF"/>
    <w:rsid w:val="005506E8"/>
    <w:rsid w:val="00552FD2"/>
    <w:rsid w:val="00553672"/>
    <w:rsid w:val="00553BA1"/>
    <w:rsid w:val="005562DE"/>
    <w:rsid w:val="00564D94"/>
    <w:rsid w:val="00565177"/>
    <w:rsid w:val="00565C43"/>
    <w:rsid w:val="005667D7"/>
    <w:rsid w:val="00572127"/>
    <w:rsid w:val="0058567C"/>
    <w:rsid w:val="00596A0E"/>
    <w:rsid w:val="00597108"/>
    <w:rsid w:val="005A1565"/>
    <w:rsid w:val="005B7F12"/>
    <w:rsid w:val="005C1E7A"/>
    <w:rsid w:val="005C3CB1"/>
    <w:rsid w:val="005C616C"/>
    <w:rsid w:val="005C6548"/>
    <w:rsid w:val="005C65F9"/>
    <w:rsid w:val="005D64B3"/>
    <w:rsid w:val="005E1B28"/>
    <w:rsid w:val="005E1FE1"/>
    <w:rsid w:val="005E4BF9"/>
    <w:rsid w:val="005F5DF1"/>
    <w:rsid w:val="005F6A52"/>
    <w:rsid w:val="00601624"/>
    <w:rsid w:val="006047F6"/>
    <w:rsid w:val="0060602A"/>
    <w:rsid w:val="0060663D"/>
    <w:rsid w:val="00606CB3"/>
    <w:rsid w:val="00607454"/>
    <w:rsid w:val="0061289F"/>
    <w:rsid w:val="00612FDD"/>
    <w:rsid w:val="00613074"/>
    <w:rsid w:val="00621AF3"/>
    <w:rsid w:val="006234E6"/>
    <w:rsid w:val="0062737A"/>
    <w:rsid w:val="006308D3"/>
    <w:rsid w:val="00637030"/>
    <w:rsid w:val="0064034F"/>
    <w:rsid w:val="00644B2D"/>
    <w:rsid w:val="00645B5D"/>
    <w:rsid w:val="00651522"/>
    <w:rsid w:val="00652176"/>
    <w:rsid w:val="00654C10"/>
    <w:rsid w:val="006608C8"/>
    <w:rsid w:val="00660D42"/>
    <w:rsid w:val="006635AC"/>
    <w:rsid w:val="00666CD2"/>
    <w:rsid w:val="00684291"/>
    <w:rsid w:val="00684A49"/>
    <w:rsid w:val="00686DEE"/>
    <w:rsid w:val="006901C1"/>
    <w:rsid w:val="006903D0"/>
    <w:rsid w:val="00690EE2"/>
    <w:rsid w:val="00692643"/>
    <w:rsid w:val="006938A5"/>
    <w:rsid w:val="00693E28"/>
    <w:rsid w:val="0069402F"/>
    <w:rsid w:val="006A7F88"/>
    <w:rsid w:val="006B001F"/>
    <w:rsid w:val="006B175C"/>
    <w:rsid w:val="006B2E35"/>
    <w:rsid w:val="006C1814"/>
    <w:rsid w:val="006C26ED"/>
    <w:rsid w:val="006D6DE4"/>
    <w:rsid w:val="006E0E99"/>
    <w:rsid w:val="006E2906"/>
    <w:rsid w:val="006E4ADB"/>
    <w:rsid w:val="006F2886"/>
    <w:rsid w:val="006F2F48"/>
    <w:rsid w:val="00700BAF"/>
    <w:rsid w:val="00701C7E"/>
    <w:rsid w:val="00703048"/>
    <w:rsid w:val="00703A14"/>
    <w:rsid w:val="007139E8"/>
    <w:rsid w:val="00713F77"/>
    <w:rsid w:val="007164E6"/>
    <w:rsid w:val="00727D91"/>
    <w:rsid w:val="00730934"/>
    <w:rsid w:val="00732BA2"/>
    <w:rsid w:val="00736DA8"/>
    <w:rsid w:val="00747077"/>
    <w:rsid w:val="00752165"/>
    <w:rsid w:val="00755E44"/>
    <w:rsid w:val="00761BEF"/>
    <w:rsid w:val="00763A54"/>
    <w:rsid w:val="00763A88"/>
    <w:rsid w:val="00764708"/>
    <w:rsid w:val="00771C08"/>
    <w:rsid w:val="0077289B"/>
    <w:rsid w:val="007821B8"/>
    <w:rsid w:val="00784AAE"/>
    <w:rsid w:val="00785E15"/>
    <w:rsid w:val="00786997"/>
    <w:rsid w:val="00792540"/>
    <w:rsid w:val="007978BD"/>
    <w:rsid w:val="007A607D"/>
    <w:rsid w:val="007A6842"/>
    <w:rsid w:val="007A72ED"/>
    <w:rsid w:val="007B15C6"/>
    <w:rsid w:val="007B1A09"/>
    <w:rsid w:val="007B2827"/>
    <w:rsid w:val="007B71E9"/>
    <w:rsid w:val="007C12CE"/>
    <w:rsid w:val="007C1D51"/>
    <w:rsid w:val="007C25AD"/>
    <w:rsid w:val="007C56BC"/>
    <w:rsid w:val="007D1700"/>
    <w:rsid w:val="007D49BC"/>
    <w:rsid w:val="007E03C4"/>
    <w:rsid w:val="007E58A2"/>
    <w:rsid w:val="007E5A86"/>
    <w:rsid w:val="007F0E2F"/>
    <w:rsid w:val="007F41B8"/>
    <w:rsid w:val="007F4482"/>
    <w:rsid w:val="007F79FA"/>
    <w:rsid w:val="008009BF"/>
    <w:rsid w:val="00803ECC"/>
    <w:rsid w:val="008044FF"/>
    <w:rsid w:val="00807519"/>
    <w:rsid w:val="008314E6"/>
    <w:rsid w:val="00832717"/>
    <w:rsid w:val="00833D59"/>
    <w:rsid w:val="00834303"/>
    <w:rsid w:val="00834741"/>
    <w:rsid w:val="00836180"/>
    <w:rsid w:val="00841A49"/>
    <w:rsid w:val="00841A6F"/>
    <w:rsid w:val="0084583D"/>
    <w:rsid w:val="008513F7"/>
    <w:rsid w:val="008556F7"/>
    <w:rsid w:val="008734F4"/>
    <w:rsid w:val="00875123"/>
    <w:rsid w:val="0088235F"/>
    <w:rsid w:val="0088296D"/>
    <w:rsid w:val="00882A67"/>
    <w:rsid w:val="008837EB"/>
    <w:rsid w:val="00884910"/>
    <w:rsid w:val="008976D8"/>
    <w:rsid w:val="008A7344"/>
    <w:rsid w:val="008B2951"/>
    <w:rsid w:val="008B6959"/>
    <w:rsid w:val="008B7758"/>
    <w:rsid w:val="008C1407"/>
    <w:rsid w:val="008C423C"/>
    <w:rsid w:val="008C614F"/>
    <w:rsid w:val="008C7079"/>
    <w:rsid w:val="008D059C"/>
    <w:rsid w:val="008D1791"/>
    <w:rsid w:val="008D3DF4"/>
    <w:rsid w:val="008E00A7"/>
    <w:rsid w:val="008E1D71"/>
    <w:rsid w:val="008E241A"/>
    <w:rsid w:val="008E4FCE"/>
    <w:rsid w:val="008E7C45"/>
    <w:rsid w:val="008F08FE"/>
    <w:rsid w:val="008F11F9"/>
    <w:rsid w:val="008F3636"/>
    <w:rsid w:val="008F6BE3"/>
    <w:rsid w:val="008F7FDD"/>
    <w:rsid w:val="0090561A"/>
    <w:rsid w:val="00912D90"/>
    <w:rsid w:val="0091381C"/>
    <w:rsid w:val="009179A3"/>
    <w:rsid w:val="00921A5F"/>
    <w:rsid w:val="00922EC1"/>
    <w:rsid w:val="0092471C"/>
    <w:rsid w:val="00924BE3"/>
    <w:rsid w:val="009317E5"/>
    <w:rsid w:val="009324CE"/>
    <w:rsid w:val="00937A51"/>
    <w:rsid w:val="00944542"/>
    <w:rsid w:val="00944603"/>
    <w:rsid w:val="00947FE1"/>
    <w:rsid w:val="00952948"/>
    <w:rsid w:val="0095467C"/>
    <w:rsid w:val="009600CF"/>
    <w:rsid w:val="009639B2"/>
    <w:rsid w:val="009647BF"/>
    <w:rsid w:val="00966B2F"/>
    <w:rsid w:val="00976752"/>
    <w:rsid w:val="00976DF7"/>
    <w:rsid w:val="00977A07"/>
    <w:rsid w:val="009852BD"/>
    <w:rsid w:val="009950B4"/>
    <w:rsid w:val="009B08B6"/>
    <w:rsid w:val="009B2867"/>
    <w:rsid w:val="009B449D"/>
    <w:rsid w:val="009B6E72"/>
    <w:rsid w:val="009C0B12"/>
    <w:rsid w:val="009C2E74"/>
    <w:rsid w:val="009E067C"/>
    <w:rsid w:val="009E729E"/>
    <w:rsid w:val="009F52B5"/>
    <w:rsid w:val="009F5B84"/>
    <w:rsid w:val="009F7B51"/>
    <w:rsid w:val="00A03C52"/>
    <w:rsid w:val="00A2102D"/>
    <w:rsid w:val="00A21B0F"/>
    <w:rsid w:val="00A27C72"/>
    <w:rsid w:val="00A306EA"/>
    <w:rsid w:val="00A320EF"/>
    <w:rsid w:val="00A325C0"/>
    <w:rsid w:val="00A4010C"/>
    <w:rsid w:val="00A4196C"/>
    <w:rsid w:val="00A428F7"/>
    <w:rsid w:val="00A45C01"/>
    <w:rsid w:val="00A46330"/>
    <w:rsid w:val="00A47056"/>
    <w:rsid w:val="00A52BAF"/>
    <w:rsid w:val="00A53DFF"/>
    <w:rsid w:val="00A605ED"/>
    <w:rsid w:val="00A6114F"/>
    <w:rsid w:val="00A61A0C"/>
    <w:rsid w:val="00A65AD5"/>
    <w:rsid w:val="00A66897"/>
    <w:rsid w:val="00A70187"/>
    <w:rsid w:val="00A7223F"/>
    <w:rsid w:val="00A773EF"/>
    <w:rsid w:val="00A8683E"/>
    <w:rsid w:val="00A911CD"/>
    <w:rsid w:val="00A95F02"/>
    <w:rsid w:val="00A96D43"/>
    <w:rsid w:val="00AA17EA"/>
    <w:rsid w:val="00AA2114"/>
    <w:rsid w:val="00AA252E"/>
    <w:rsid w:val="00AA3E66"/>
    <w:rsid w:val="00AA45C9"/>
    <w:rsid w:val="00AA46E8"/>
    <w:rsid w:val="00AA58A2"/>
    <w:rsid w:val="00AB7ABA"/>
    <w:rsid w:val="00AC0393"/>
    <w:rsid w:val="00AC3E34"/>
    <w:rsid w:val="00AC4288"/>
    <w:rsid w:val="00AC477C"/>
    <w:rsid w:val="00AD00F9"/>
    <w:rsid w:val="00AD0174"/>
    <w:rsid w:val="00AD1916"/>
    <w:rsid w:val="00AD1BF4"/>
    <w:rsid w:val="00AE4C9E"/>
    <w:rsid w:val="00AE6954"/>
    <w:rsid w:val="00AF4A9E"/>
    <w:rsid w:val="00B000B0"/>
    <w:rsid w:val="00B01A99"/>
    <w:rsid w:val="00B01F46"/>
    <w:rsid w:val="00B04546"/>
    <w:rsid w:val="00B0496E"/>
    <w:rsid w:val="00B05D09"/>
    <w:rsid w:val="00B0719F"/>
    <w:rsid w:val="00B10E3C"/>
    <w:rsid w:val="00B151E1"/>
    <w:rsid w:val="00B15399"/>
    <w:rsid w:val="00B22112"/>
    <w:rsid w:val="00B22C96"/>
    <w:rsid w:val="00B24F75"/>
    <w:rsid w:val="00B25B69"/>
    <w:rsid w:val="00B30104"/>
    <w:rsid w:val="00B309A2"/>
    <w:rsid w:val="00B32312"/>
    <w:rsid w:val="00B32BC0"/>
    <w:rsid w:val="00B34075"/>
    <w:rsid w:val="00B41D0A"/>
    <w:rsid w:val="00B47A08"/>
    <w:rsid w:val="00B60742"/>
    <w:rsid w:val="00B62B37"/>
    <w:rsid w:val="00B63C29"/>
    <w:rsid w:val="00B645B8"/>
    <w:rsid w:val="00B67ADB"/>
    <w:rsid w:val="00B718F9"/>
    <w:rsid w:val="00B76A18"/>
    <w:rsid w:val="00B773EA"/>
    <w:rsid w:val="00B81AB0"/>
    <w:rsid w:val="00B8422C"/>
    <w:rsid w:val="00B8552C"/>
    <w:rsid w:val="00B91966"/>
    <w:rsid w:val="00B94AC8"/>
    <w:rsid w:val="00B94E1B"/>
    <w:rsid w:val="00B9610B"/>
    <w:rsid w:val="00B971E6"/>
    <w:rsid w:val="00BA4D38"/>
    <w:rsid w:val="00BA65AF"/>
    <w:rsid w:val="00BA6870"/>
    <w:rsid w:val="00BB58AE"/>
    <w:rsid w:val="00BC0476"/>
    <w:rsid w:val="00BC0AF7"/>
    <w:rsid w:val="00BC3AD9"/>
    <w:rsid w:val="00BC4379"/>
    <w:rsid w:val="00BC5D6E"/>
    <w:rsid w:val="00BC62CA"/>
    <w:rsid w:val="00BD477C"/>
    <w:rsid w:val="00BF0683"/>
    <w:rsid w:val="00C016B7"/>
    <w:rsid w:val="00C063BD"/>
    <w:rsid w:val="00C13215"/>
    <w:rsid w:val="00C138B5"/>
    <w:rsid w:val="00C13D51"/>
    <w:rsid w:val="00C14BFC"/>
    <w:rsid w:val="00C1625C"/>
    <w:rsid w:val="00C17BFE"/>
    <w:rsid w:val="00C200F4"/>
    <w:rsid w:val="00C21C59"/>
    <w:rsid w:val="00C23639"/>
    <w:rsid w:val="00C25CE8"/>
    <w:rsid w:val="00C276BB"/>
    <w:rsid w:val="00C3040D"/>
    <w:rsid w:val="00C34F53"/>
    <w:rsid w:val="00C4693F"/>
    <w:rsid w:val="00C47FEA"/>
    <w:rsid w:val="00C51A81"/>
    <w:rsid w:val="00C65B69"/>
    <w:rsid w:val="00C72897"/>
    <w:rsid w:val="00C72BDF"/>
    <w:rsid w:val="00C76B04"/>
    <w:rsid w:val="00C77F9E"/>
    <w:rsid w:val="00C8413D"/>
    <w:rsid w:val="00C92DBA"/>
    <w:rsid w:val="00CA597C"/>
    <w:rsid w:val="00CA732E"/>
    <w:rsid w:val="00CA7F21"/>
    <w:rsid w:val="00CB2BC7"/>
    <w:rsid w:val="00CB454E"/>
    <w:rsid w:val="00CB5108"/>
    <w:rsid w:val="00CB6C88"/>
    <w:rsid w:val="00CC1393"/>
    <w:rsid w:val="00CC60F5"/>
    <w:rsid w:val="00CC710B"/>
    <w:rsid w:val="00CD0B6B"/>
    <w:rsid w:val="00CD15E5"/>
    <w:rsid w:val="00CD2A7E"/>
    <w:rsid w:val="00CD59A9"/>
    <w:rsid w:val="00CD6E55"/>
    <w:rsid w:val="00CE053F"/>
    <w:rsid w:val="00CE1E74"/>
    <w:rsid w:val="00CE4733"/>
    <w:rsid w:val="00CF23E5"/>
    <w:rsid w:val="00CF3727"/>
    <w:rsid w:val="00CF47A8"/>
    <w:rsid w:val="00D046BC"/>
    <w:rsid w:val="00D06632"/>
    <w:rsid w:val="00D13AD3"/>
    <w:rsid w:val="00D17B01"/>
    <w:rsid w:val="00D17BC5"/>
    <w:rsid w:val="00D20F50"/>
    <w:rsid w:val="00D24C5A"/>
    <w:rsid w:val="00D31A4A"/>
    <w:rsid w:val="00D36018"/>
    <w:rsid w:val="00D474A4"/>
    <w:rsid w:val="00D47C36"/>
    <w:rsid w:val="00D50677"/>
    <w:rsid w:val="00D508E6"/>
    <w:rsid w:val="00D50C7C"/>
    <w:rsid w:val="00D62EBE"/>
    <w:rsid w:val="00D66061"/>
    <w:rsid w:val="00D679B6"/>
    <w:rsid w:val="00D707AF"/>
    <w:rsid w:val="00D8136B"/>
    <w:rsid w:val="00D8235D"/>
    <w:rsid w:val="00D8263E"/>
    <w:rsid w:val="00D82B77"/>
    <w:rsid w:val="00D9234A"/>
    <w:rsid w:val="00D9308F"/>
    <w:rsid w:val="00D96B1D"/>
    <w:rsid w:val="00D97C2E"/>
    <w:rsid w:val="00DA0140"/>
    <w:rsid w:val="00DA0FDE"/>
    <w:rsid w:val="00DA1527"/>
    <w:rsid w:val="00DA417F"/>
    <w:rsid w:val="00DA5393"/>
    <w:rsid w:val="00DB01CA"/>
    <w:rsid w:val="00DB1E2E"/>
    <w:rsid w:val="00DB665D"/>
    <w:rsid w:val="00DB7AE3"/>
    <w:rsid w:val="00DC1B10"/>
    <w:rsid w:val="00DC3392"/>
    <w:rsid w:val="00DC3FA7"/>
    <w:rsid w:val="00DD19B7"/>
    <w:rsid w:val="00DD3711"/>
    <w:rsid w:val="00DF25BB"/>
    <w:rsid w:val="00E005A7"/>
    <w:rsid w:val="00E00EE1"/>
    <w:rsid w:val="00E031EF"/>
    <w:rsid w:val="00E049C0"/>
    <w:rsid w:val="00E06A06"/>
    <w:rsid w:val="00E06BFF"/>
    <w:rsid w:val="00E121B3"/>
    <w:rsid w:val="00E1347A"/>
    <w:rsid w:val="00E20BA2"/>
    <w:rsid w:val="00E20CC5"/>
    <w:rsid w:val="00E26F64"/>
    <w:rsid w:val="00E36AB5"/>
    <w:rsid w:val="00E403A9"/>
    <w:rsid w:val="00E40681"/>
    <w:rsid w:val="00E40BE0"/>
    <w:rsid w:val="00E43DB6"/>
    <w:rsid w:val="00E46C88"/>
    <w:rsid w:val="00E47AE2"/>
    <w:rsid w:val="00E51CCA"/>
    <w:rsid w:val="00E6483C"/>
    <w:rsid w:val="00E703F6"/>
    <w:rsid w:val="00E7415C"/>
    <w:rsid w:val="00E75145"/>
    <w:rsid w:val="00E76262"/>
    <w:rsid w:val="00E84F60"/>
    <w:rsid w:val="00E938D8"/>
    <w:rsid w:val="00E93E4E"/>
    <w:rsid w:val="00EA13AF"/>
    <w:rsid w:val="00EA3436"/>
    <w:rsid w:val="00EA4546"/>
    <w:rsid w:val="00EA5148"/>
    <w:rsid w:val="00EA54A6"/>
    <w:rsid w:val="00EB05AE"/>
    <w:rsid w:val="00EB38E5"/>
    <w:rsid w:val="00EB7816"/>
    <w:rsid w:val="00EC304E"/>
    <w:rsid w:val="00EC54F8"/>
    <w:rsid w:val="00EC66DA"/>
    <w:rsid w:val="00EC72F5"/>
    <w:rsid w:val="00ED26C9"/>
    <w:rsid w:val="00ED4041"/>
    <w:rsid w:val="00ED4AE3"/>
    <w:rsid w:val="00ED5839"/>
    <w:rsid w:val="00ED6F05"/>
    <w:rsid w:val="00ED7A50"/>
    <w:rsid w:val="00EF2FB8"/>
    <w:rsid w:val="00EF3DC4"/>
    <w:rsid w:val="00EF434C"/>
    <w:rsid w:val="00EF6687"/>
    <w:rsid w:val="00F00FC5"/>
    <w:rsid w:val="00F01DD3"/>
    <w:rsid w:val="00F03716"/>
    <w:rsid w:val="00F04F5D"/>
    <w:rsid w:val="00F05618"/>
    <w:rsid w:val="00F07CFB"/>
    <w:rsid w:val="00F07F92"/>
    <w:rsid w:val="00F111FE"/>
    <w:rsid w:val="00F11364"/>
    <w:rsid w:val="00F22FDC"/>
    <w:rsid w:val="00F253C5"/>
    <w:rsid w:val="00F25775"/>
    <w:rsid w:val="00F25B2C"/>
    <w:rsid w:val="00F27064"/>
    <w:rsid w:val="00F31B18"/>
    <w:rsid w:val="00F43228"/>
    <w:rsid w:val="00F669FF"/>
    <w:rsid w:val="00F737E1"/>
    <w:rsid w:val="00F80799"/>
    <w:rsid w:val="00F81C34"/>
    <w:rsid w:val="00F81D5E"/>
    <w:rsid w:val="00F84BE4"/>
    <w:rsid w:val="00F863C2"/>
    <w:rsid w:val="00F90EA9"/>
    <w:rsid w:val="00F9253C"/>
    <w:rsid w:val="00F926A6"/>
    <w:rsid w:val="00F97C8D"/>
    <w:rsid w:val="00FA06AD"/>
    <w:rsid w:val="00FA0FD3"/>
    <w:rsid w:val="00FA56BC"/>
    <w:rsid w:val="00FA5A30"/>
    <w:rsid w:val="00FA60F7"/>
    <w:rsid w:val="00FB1830"/>
    <w:rsid w:val="00FB3007"/>
    <w:rsid w:val="00FB3676"/>
    <w:rsid w:val="00FC0F39"/>
    <w:rsid w:val="00FD0DCB"/>
    <w:rsid w:val="00FD28BF"/>
    <w:rsid w:val="00FD2DEB"/>
    <w:rsid w:val="00FD3452"/>
    <w:rsid w:val="00FE7D09"/>
    <w:rsid w:val="00FF0E29"/>
    <w:rsid w:val="00FF43A7"/>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EC71"/>
  <w15:chartTrackingRefBased/>
  <w15:docId w15:val="{028119EB-A4D2-41C0-B0A0-61535F87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174"/>
    <w:rPr>
      <w:sz w:val="20"/>
    </w:rPr>
  </w:style>
  <w:style w:type="paragraph" w:styleId="Heading1">
    <w:name w:val="heading 1"/>
    <w:basedOn w:val="Normal"/>
    <w:next w:val="Normal"/>
    <w:link w:val="Heading1Char"/>
    <w:uiPriority w:val="9"/>
    <w:qFormat/>
    <w:rsid w:val="00C016B7"/>
    <w:pPr>
      <w:pageBreakBefore/>
      <w:jc w:val="center"/>
      <w:outlineLvl w:val="0"/>
    </w:pPr>
    <w:rPr>
      <w:b/>
      <w:bCs/>
      <w:caps/>
      <w:u w:val="single"/>
    </w:rPr>
  </w:style>
  <w:style w:type="paragraph" w:styleId="Heading2">
    <w:name w:val="heading 2"/>
    <w:basedOn w:val="Normal"/>
    <w:next w:val="Normal"/>
    <w:link w:val="Heading2Char"/>
    <w:uiPriority w:val="9"/>
    <w:unhideWhenUsed/>
    <w:qFormat/>
    <w:rsid w:val="00B22112"/>
    <w:pPr>
      <w:numPr>
        <w:numId w:val="1"/>
      </w:numPr>
      <w:ind w:left="360"/>
      <w:outlineLvl w:val="1"/>
    </w:pPr>
    <w:rPr>
      <w:b/>
      <w:bCs/>
      <w:smallCaps/>
      <w:u w:val="single"/>
    </w:rPr>
  </w:style>
  <w:style w:type="paragraph" w:styleId="Heading3">
    <w:name w:val="heading 3"/>
    <w:basedOn w:val="Normal"/>
    <w:next w:val="Normal"/>
    <w:link w:val="Heading3Char"/>
    <w:uiPriority w:val="9"/>
    <w:unhideWhenUsed/>
    <w:qFormat/>
    <w:rsid w:val="00713F77"/>
    <w:pPr>
      <w:keepNext/>
      <w:numPr>
        <w:numId w:val="2"/>
      </w:numPr>
      <w:ind w:left="360"/>
      <w:outlineLvl w:val="2"/>
    </w:pPr>
    <w:rPr>
      <w:b/>
      <w:bCs/>
      <w:i/>
      <w:iCs/>
    </w:rPr>
  </w:style>
  <w:style w:type="paragraph" w:styleId="Heading4">
    <w:name w:val="heading 4"/>
    <w:basedOn w:val="Normal"/>
    <w:next w:val="Normal"/>
    <w:link w:val="Heading4Char"/>
    <w:uiPriority w:val="9"/>
    <w:semiHidden/>
    <w:unhideWhenUsed/>
    <w:qFormat/>
    <w:rsid w:val="00E47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6B7"/>
    <w:rPr>
      <w:b/>
      <w:bCs/>
      <w:caps/>
      <w:sz w:val="20"/>
      <w:u w:val="single"/>
    </w:rPr>
  </w:style>
  <w:style w:type="character" w:customStyle="1" w:styleId="Heading2Char">
    <w:name w:val="Heading 2 Char"/>
    <w:basedOn w:val="DefaultParagraphFont"/>
    <w:link w:val="Heading2"/>
    <w:uiPriority w:val="9"/>
    <w:rsid w:val="00B22112"/>
    <w:rPr>
      <w:b/>
      <w:bCs/>
      <w:smallCaps/>
      <w:sz w:val="20"/>
      <w:u w:val="single"/>
    </w:rPr>
  </w:style>
  <w:style w:type="character" w:customStyle="1" w:styleId="Heading3Char">
    <w:name w:val="Heading 3 Char"/>
    <w:basedOn w:val="DefaultParagraphFont"/>
    <w:link w:val="Heading3"/>
    <w:uiPriority w:val="9"/>
    <w:rsid w:val="00713F77"/>
    <w:rPr>
      <w:b/>
      <w:bCs/>
      <w:i/>
      <w:iCs/>
      <w:sz w:val="20"/>
    </w:rPr>
  </w:style>
  <w:style w:type="character" w:customStyle="1" w:styleId="Heading4Char">
    <w:name w:val="Heading 4 Char"/>
    <w:basedOn w:val="DefaultParagraphFont"/>
    <w:link w:val="Heading4"/>
    <w:uiPriority w:val="9"/>
    <w:semiHidden/>
    <w:rsid w:val="00E47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AE2"/>
    <w:rPr>
      <w:rFonts w:eastAsiaTheme="majorEastAsia" w:cstheme="majorBidi"/>
      <w:color w:val="272727" w:themeColor="text1" w:themeTint="D8"/>
    </w:rPr>
  </w:style>
  <w:style w:type="paragraph" w:styleId="Title">
    <w:name w:val="Title"/>
    <w:basedOn w:val="Normal"/>
    <w:next w:val="Normal"/>
    <w:link w:val="TitleChar"/>
    <w:uiPriority w:val="10"/>
    <w:qFormat/>
    <w:rsid w:val="00B22112"/>
    <w:pPr>
      <w:spacing w:after="80" w:line="240" w:lineRule="auto"/>
      <w:contextualSpacing/>
      <w:jc w:val="center"/>
    </w:pPr>
    <w:rPr>
      <w:rFonts w:asciiTheme="majorHAnsi" w:eastAsiaTheme="majorEastAsia" w:hAnsiTheme="majorHAnsi" w:cstheme="majorBidi"/>
      <w:b/>
      <w:caps/>
      <w:spacing w:val="-10"/>
      <w:kern w:val="28"/>
      <w:sz w:val="28"/>
      <w:szCs w:val="28"/>
    </w:rPr>
  </w:style>
  <w:style w:type="character" w:customStyle="1" w:styleId="TitleChar">
    <w:name w:val="Title Char"/>
    <w:basedOn w:val="DefaultParagraphFont"/>
    <w:link w:val="Title"/>
    <w:uiPriority w:val="10"/>
    <w:rsid w:val="00B22112"/>
    <w:rPr>
      <w:rFonts w:asciiTheme="majorHAnsi" w:eastAsiaTheme="majorEastAsia" w:hAnsiTheme="majorHAnsi" w:cstheme="majorBidi"/>
      <w:b/>
      <w:caps/>
      <w:spacing w:val="-10"/>
      <w:kern w:val="28"/>
      <w:sz w:val="28"/>
      <w:szCs w:val="28"/>
    </w:rPr>
  </w:style>
  <w:style w:type="paragraph" w:styleId="Subtitle">
    <w:name w:val="Subtitle"/>
    <w:basedOn w:val="Normal"/>
    <w:next w:val="Normal"/>
    <w:link w:val="SubtitleChar"/>
    <w:uiPriority w:val="11"/>
    <w:qFormat/>
    <w:rsid w:val="00E47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AE2"/>
    <w:pPr>
      <w:spacing w:before="160"/>
      <w:jc w:val="center"/>
    </w:pPr>
    <w:rPr>
      <w:i/>
      <w:iCs/>
      <w:color w:val="404040" w:themeColor="text1" w:themeTint="BF"/>
    </w:rPr>
  </w:style>
  <w:style w:type="character" w:customStyle="1" w:styleId="QuoteChar">
    <w:name w:val="Quote Char"/>
    <w:basedOn w:val="DefaultParagraphFont"/>
    <w:link w:val="Quote"/>
    <w:uiPriority w:val="29"/>
    <w:rsid w:val="00E47AE2"/>
    <w:rPr>
      <w:i/>
      <w:iCs/>
      <w:color w:val="404040" w:themeColor="text1" w:themeTint="BF"/>
    </w:rPr>
  </w:style>
  <w:style w:type="paragraph" w:styleId="ListParagraph">
    <w:name w:val="List Paragraph"/>
    <w:basedOn w:val="Normal"/>
    <w:uiPriority w:val="34"/>
    <w:qFormat/>
    <w:rsid w:val="006E0E99"/>
    <w:pPr>
      <w:ind w:left="720"/>
    </w:pPr>
  </w:style>
  <w:style w:type="character" w:styleId="IntenseEmphasis">
    <w:name w:val="Intense Emphasis"/>
    <w:basedOn w:val="DefaultParagraphFont"/>
    <w:uiPriority w:val="21"/>
    <w:qFormat/>
    <w:rsid w:val="00E47AE2"/>
    <w:rPr>
      <w:i/>
      <w:iCs/>
      <w:color w:val="0F4761" w:themeColor="accent1" w:themeShade="BF"/>
    </w:rPr>
  </w:style>
  <w:style w:type="paragraph" w:styleId="IntenseQuote">
    <w:name w:val="Intense Quote"/>
    <w:basedOn w:val="Normal"/>
    <w:next w:val="Normal"/>
    <w:link w:val="IntenseQuoteChar"/>
    <w:uiPriority w:val="30"/>
    <w:qFormat/>
    <w:rsid w:val="00E47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AE2"/>
    <w:rPr>
      <w:i/>
      <w:iCs/>
      <w:color w:val="0F4761" w:themeColor="accent1" w:themeShade="BF"/>
    </w:rPr>
  </w:style>
  <w:style w:type="character" w:styleId="IntenseReference">
    <w:name w:val="Intense Reference"/>
    <w:basedOn w:val="DefaultParagraphFont"/>
    <w:uiPriority w:val="32"/>
    <w:qFormat/>
    <w:rsid w:val="00E47AE2"/>
    <w:rPr>
      <w:b/>
      <w:bCs/>
      <w:smallCaps/>
      <w:color w:val="0F4761" w:themeColor="accent1" w:themeShade="BF"/>
      <w:spacing w:val="5"/>
    </w:rPr>
  </w:style>
  <w:style w:type="table" w:styleId="TableGrid">
    <w:name w:val="Table Grid"/>
    <w:basedOn w:val="TableNormal"/>
    <w:uiPriority w:val="39"/>
    <w:rsid w:val="00FD0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3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4F4"/>
    <w:rPr>
      <w:sz w:val="20"/>
    </w:rPr>
  </w:style>
  <w:style w:type="paragraph" w:styleId="Footer">
    <w:name w:val="footer"/>
    <w:basedOn w:val="Normal"/>
    <w:link w:val="FooterChar"/>
    <w:uiPriority w:val="99"/>
    <w:unhideWhenUsed/>
    <w:rsid w:val="00873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4F4"/>
    <w:rPr>
      <w:sz w:val="20"/>
    </w:rPr>
  </w:style>
  <w:style w:type="character" w:styleId="CommentReference">
    <w:name w:val="annotation reference"/>
    <w:basedOn w:val="DefaultParagraphFont"/>
    <w:uiPriority w:val="99"/>
    <w:semiHidden/>
    <w:unhideWhenUsed/>
    <w:rsid w:val="00E703F6"/>
    <w:rPr>
      <w:sz w:val="16"/>
      <w:szCs w:val="16"/>
    </w:rPr>
  </w:style>
  <w:style w:type="paragraph" w:styleId="CommentText">
    <w:name w:val="annotation text"/>
    <w:basedOn w:val="Normal"/>
    <w:link w:val="CommentTextChar"/>
    <w:uiPriority w:val="99"/>
    <w:unhideWhenUsed/>
    <w:rsid w:val="00E703F6"/>
    <w:pPr>
      <w:spacing w:line="240" w:lineRule="auto"/>
    </w:pPr>
    <w:rPr>
      <w:szCs w:val="20"/>
    </w:rPr>
  </w:style>
  <w:style w:type="character" w:customStyle="1" w:styleId="CommentTextChar">
    <w:name w:val="Comment Text Char"/>
    <w:basedOn w:val="DefaultParagraphFont"/>
    <w:link w:val="CommentText"/>
    <w:uiPriority w:val="99"/>
    <w:rsid w:val="00E703F6"/>
    <w:rPr>
      <w:sz w:val="20"/>
      <w:szCs w:val="20"/>
    </w:rPr>
  </w:style>
  <w:style w:type="paragraph" w:styleId="CommentSubject">
    <w:name w:val="annotation subject"/>
    <w:basedOn w:val="CommentText"/>
    <w:next w:val="CommentText"/>
    <w:link w:val="CommentSubjectChar"/>
    <w:uiPriority w:val="99"/>
    <w:semiHidden/>
    <w:unhideWhenUsed/>
    <w:rsid w:val="00E703F6"/>
    <w:rPr>
      <w:b/>
      <w:bCs/>
    </w:rPr>
  </w:style>
  <w:style w:type="character" w:customStyle="1" w:styleId="CommentSubjectChar">
    <w:name w:val="Comment Subject Char"/>
    <w:basedOn w:val="CommentTextChar"/>
    <w:link w:val="CommentSubject"/>
    <w:uiPriority w:val="99"/>
    <w:semiHidden/>
    <w:rsid w:val="00E703F6"/>
    <w:rPr>
      <w:b/>
      <w:bCs/>
      <w:sz w:val="20"/>
      <w:szCs w:val="20"/>
    </w:rPr>
  </w:style>
  <w:style w:type="character" w:styleId="Hyperlink">
    <w:name w:val="Hyperlink"/>
    <w:basedOn w:val="DefaultParagraphFont"/>
    <w:uiPriority w:val="99"/>
    <w:unhideWhenUsed/>
    <w:rsid w:val="00E703F6"/>
    <w:rPr>
      <w:color w:val="467886" w:themeColor="hyperlink"/>
      <w:u w:val="single"/>
    </w:rPr>
  </w:style>
  <w:style w:type="character" w:styleId="UnresolvedMention">
    <w:name w:val="Unresolved Mention"/>
    <w:basedOn w:val="DefaultParagraphFont"/>
    <w:uiPriority w:val="99"/>
    <w:semiHidden/>
    <w:unhideWhenUsed/>
    <w:rsid w:val="00E703F6"/>
    <w:rPr>
      <w:color w:val="605E5C"/>
      <w:shd w:val="clear" w:color="auto" w:fill="E1DFDD"/>
    </w:rPr>
  </w:style>
  <w:style w:type="character" w:styleId="PlaceholderText">
    <w:name w:val="Placeholder Text"/>
    <w:basedOn w:val="DefaultParagraphFont"/>
    <w:uiPriority w:val="99"/>
    <w:semiHidden/>
    <w:rsid w:val="005E1FE1"/>
    <w:rPr>
      <w:color w:val="666666"/>
    </w:rPr>
  </w:style>
  <w:style w:type="character" w:styleId="FollowedHyperlink">
    <w:name w:val="FollowedHyperlink"/>
    <w:basedOn w:val="DefaultParagraphFont"/>
    <w:uiPriority w:val="99"/>
    <w:semiHidden/>
    <w:unhideWhenUsed/>
    <w:rsid w:val="00AD1BF4"/>
    <w:rPr>
      <w:color w:val="96607D" w:themeColor="followedHyperlink"/>
      <w:u w:val="single"/>
    </w:rPr>
  </w:style>
  <w:style w:type="paragraph" w:styleId="TOCHeading">
    <w:name w:val="TOC Heading"/>
    <w:basedOn w:val="Heading1"/>
    <w:next w:val="Normal"/>
    <w:uiPriority w:val="39"/>
    <w:unhideWhenUsed/>
    <w:qFormat/>
    <w:rsid w:val="00C92DBA"/>
    <w:pPr>
      <w:keepNext/>
      <w:keepLines/>
      <w:pageBreakBefore w:val="0"/>
      <w:spacing w:before="240" w:after="0" w:line="259" w:lineRule="auto"/>
      <w:jc w:val="left"/>
      <w:outlineLvl w:val="9"/>
    </w:pPr>
    <w:rPr>
      <w:rFonts w:asciiTheme="majorHAnsi" w:eastAsiaTheme="majorEastAsia" w:hAnsiTheme="majorHAnsi" w:cstheme="majorBidi"/>
      <w:b w:val="0"/>
      <w:bCs w:val="0"/>
      <w:caps w:val="0"/>
      <w:color w:val="0F4761" w:themeColor="accent1" w:themeShade="BF"/>
      <w:kern w:val="0"/>
      <w:sz w:val="32"/>
      <w:szCs w:val="32"/>
      <w:u w:val="none"/>
      <w14:ligatures w14:val="none"/>
    </w:rPr>
  </w:style>
  <w:style w:type="paragraph" w:styleId="TOC1">
    <w:name w:val="toc 1"/>
    <w:basedOn w:val="Normal"/>
    <w:next w:val="Normal"/>
    <w:autoRedefine/>
    <w:uiPriority w:val="39"/>
    <w:unhideWhenUsed/>
    <w:rsid w:val="00C92DBA"/>
    <w:pPr>
      <w:spacing w:after="100"/>
    </w:pPr>
  </w:style>
  <w:style w:type="paragraph" w:styleId="TOC2">
    <w:name w:val="toc 2"/>
    <w:basedOn w:val="Normal"/>
    <w:next w:val="Normal"/>
    <w:autoRedefine/>
    <w:uiPriority w:val="39"/>
    <w:unhideWhenUsed/>
    <w:rsid w:val="00C92DBA"/>
    <w:pPr>
      <w:tabs>
        <w:tab w:val="left" w:pos="720"/>
        <w:tab w:val="right" w:leader="dot" w:pos="10790"/>
      </w:tabs>
      <w:spacing w:after="100"/>
      <w:ind w:left="200"/>
    </w:pPr>
  </w:style>
  <w:style w:type="paragraph" w:styleId="TOC3">
    <w:name w:val="toc 3"/>
    <w:basedOn w:val="Normal"/>
    <w:next w:val="Normal"/>
    <w:autoRedefine/>
    <w:uiPriority w:val="39"/>
    <w:unhideWhenUsed/>
    <w:rsid w:val="00C92DBA"/>
    <w:pPr>
      <w:tabs>
        <w:tab w:val="left" w:pos="960"/>
        <w:tab w:val="right" w:leader="dot" w:pos="10790"/>
      </w:tabs>
      <w:spacing w:after="100"/>
      <w:ind w:left="400"/>
    </w:pPr>
  </w:style>
  <w:style w:type="paragraph" w:styleId="Revision">
    <w:name w:val="Revision"/>
    <w:hidden/>
    <w:uiPriority w:val="99"/>
    <w:semiHidden/>
    <w:rsid w:val="00237C5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j.gov/dca/hmfa/developers/multifamily" TargetMode="External"/><Relationship Id="rId18" Type="http://schemas.openxmlformats.org/officeDocument/2006/relationships/hyperlink" Target="https://www.nj.gov/dca/hmfa/developers/lihtc/policy/" TargetMode="External"/><Relationship Id="rId26" Type="http://schemas.openxmlformats.org/officeDocument/2006/relationships/hyperlink" Target="https://www.nj.gov/dca/home/MuniRevitIndex.html" TargetMode="External"/><Relationship Id="rId21" Type="http://schemas.openxmlformats.org/officeDocument/2006/relationships/hyperlink" Target="https://www.nj.gov/dcf/families/support/succes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JHMFAtaxcredits@njhmfa.gov" TargetMode="External"/><Relationship Id="rId17" Type="http://schemas.openxmlformats.org/officeDocument/2006/relationships/hyperlink" Target="https://www.nj.gov/dca/hmfa/developers/lihtc/faqs/" TargetMode="External"/><Relationship Id="rId25" Type="http://schemas.openxmlformats.org/officeDocument/2006/relationships/hyperlink" Target="https://www.nj.gov/dca/hmfa/developers/docs/lihtc/tax/2026_proficient_schools.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j.gov/dca/hmfa/about/uhac/" TargetMode="External"/><Relationship Id="rId20" Type="http://schemas.openxmlformats.org/officeDocument/2006/relationships/hyperlink" Target="https://experience.arcgis.com/experience/9126281ecd5e4c1e83d42c14199709e0/" TargetMode="External"/><Relationship Id="rId29" Type="http://schemas.openxmlformats.org/officeDocument/2006/relationships/hyperlink" Target="https://www.hud.gov/sites/documents/2015SSDEMO-NOF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j.gov/dca/hmfa/developers/lihtc/faqs/" TargetMode="External"/><Relationship Id="rId24" Type="http://schemas.openxmlformats.org/officeDocument/2006/relationships/hyperlink" Target="https://www.nj.gov/dca/hmfa/developers/docs/lihtc/tax/QAP_CalculationsJobStatisticsandTransitPoints.pdf" TargetMode="External"/><Relationship Id="rId32" Type="http://schemas.openxmlformats.org/officeDocument/2006/relationships/footer" Target="footer1.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nj.gov/dca/hmfa/developers/docs/lihtc/compliance/ApprovedTaxCreditCertifications.pdf" TargetMode="External"/><Relationship Id="rId23" Type="http://schemas.openxmlformats.org/officeDocument/2006/relationships/hyperlink" Target="https://www.nj.gov/dca/hmfa/developers/docs/lihtc/green/tc_green_qap_green_requirements.pdf" TargetMode="External"/><Relationship Id="rId28" Type="http://schemas.openxmlformats.org/officeDocument/2006/relationships/hyperlink" Target="https://www.nj.gov/dca/hmfa/developers/docs/lihtc/tax/QAP_CalculationsAgedPopulationStatistics.pdf" TargetMode="External"/><Relationship Id="rId36" Type="http://schemas.openxmlformats.org/officeDocument/2006/relationships/customXml" Target="../customXml/item3.xml"/><Relationship Id="rId10" Type="http://schemas.openxmlformats.org/officeDocument/2006/relationships/hyperlink" Target="https://www.nj.gov/dca/hmfa/developers/docs/lihtc/qap/tc_qap_download.pdf" TargetMode="External"/><Relationship Id="rId19" Type="http://schemas.openxmlformats.org/officeDocument/2006/relationships/hyperlink" Target="https://www.nj.gov/dca/hmfa/developers/lihtc/policy/"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sitor.constantcontact.com/d.jsp?m=haw7gqcab&amp;p=oi" TargetMode="External"/><Relationship Id="rId14" Type="http://schemas.openxmlformats.org/officeDocument/2006/relationships/hyperlink" Target="https://www.nj.gov/dca/hmfa/developers/lihtc/greenpoints/" TargetMode="External"/><Relationship Id="rId22" Type="http://schemas.openxmlformats.org/officeDocument/2006/relationships/hyperlink" Target="https://nj.gov/labor/career-services/job-search/get-support/onestoplocations.shtml" TargetMode="External"/><Relationship Id="rId27" Type="http://schemas.openxmlformats.org/officeDocument/2006/relationships/hyperlink" Target="https://www.nj.gov/dca/dlps/home/opp_zones.shtml" TargetMode="External"/><Relationship Id="rId30" Type="http://schemas.openxmlformats.org/officeDocument/2006/relationships/hyperlink" Target="https://www.nj.gov/humanservices/doas/assistance/county-offices/index.shtml" TargetMode="External"/><Relationship Id="rId35" Type="http://schemas.openxmlformats.org/officeDocument/2006/relationships/customXml" Target="../customXml/item2.xml"/><Relationship Id="rId8" Type="http://schemas.openxmlformats.org/officeDocument/2006/relationships/hyperlink" Target="https://www.nj.gov/dca/hmfa/developers/multifamily/lendingporta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CA95A-8FEF-4CCD-B33F-1753B6158036}">
  <ds:schemaRefs>
    <ds:schemaRef ds:uri="http://schemas.openxmlformats.org/officeDocument/2006/bibliography"/>
  </ds:schemaRefs>
</ds:datastoreItem>
</file>

<file path=customXml/itemProps2.xml><?xml version="1.0" encoding="utf-8"?>
<ds:datastoreItem xmlns:ds="http://schemas.openxmlformats.org/officeDocument/2006/customXml" ds:itemID="{C6319D5C-8C1D-4C71-9657-37EB1982FB66}"/>
</file>

<file path=customXml/itemProps3.xml><?xml version="1.0" encoding="utf-8"?>
<ds:datastoreItem xmlns:ds="http://schemas.openxmlformats.org/officeDocument/2006/customXml" ds:itemID="{087B2D90-E5BF-446D-9965-84093458C52C}"/>
</file>

<file path=customXml/itemProps4.xml><?xml version="1.0" encoding="utf-8"?>
<ds:datastoreItem xmlns:ds="http://schemas.openxmlformats.org/officeDocument/2006/customXml" ds:itemID="{CB916AE3-0105-48F1-A157-2453FFE05781}"/>
</file>

<file path=docProps/app.xml><?xml version="1.0" encoding="utf-8"?>
<Properties xmlns="http://schemas.openxmlformats.org/officeDocument/2006/extended-properties" xmlns:vt="http://schemas.openxmlformats.org/officeDocument/2006/docPropsVTypes">
  <Template>Normal</Template>
  <TotalTime>3</TotalTime>
  <Pages>66</Pages>
  <Words>22289</Words>
  <Characters>127052</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Low-Income Housing Tax Credit Application</dc:title>
  <dc:subject/>
  <dc:creator>NJHMFA Division of Multifamily/Supportive Housing and Lending</dc:creator>
  <cp:keywords/>
  <dc:description/>
  <cp:lastModifiedBy>Jamie Ding</cp:lastModifiedBy>
  <cp:revision>3</cp:revision>
  <cp:lastPrinted>2026-05-20T13:37:00Z</cp:lastPrinted>
  <dcterms:created xsi:type="dcterms:W3CDTF">2026-05-20T13:36:00Z</dcterms:created>
  <dcterms:modified xsi:type="dcterms:W3CDTF">2026-05-20T13:38:00Z</dcterms:modified>
</cp:coreProperties>
</file>