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02CB" w14:textId="39F0A63C" w:rsidR="0093754B" w:rsidRPr="0093754B" w:rsidRDefault="0093754B" w:rsidP="0093754B">
      <w:pPr>
        <w:spacing w:after="0"/>
        <w:jc w:val="center"/>
      </w:pPr>
      <w:r w:rsidRPr="0093754B">
        <w:t>May 2, 2024</w:t>
      </w:r>
    </w:p>
    <w:p w14:paraId="45B427D5" w14:textId="62EBFB2F" w:rsidR="0093754B" w:rsidRPr="0093754B" w:rsidRDefault="0093754B" w:rsidP="0093754B">
      <w:pPr>
        <w:spacing w:after="0"/>
        <w:jc w:val="center"/>
      </w:pPr>
      <w:r w:rsidRPr="0093754B">
        <w:t>Meeting Minutes</w:t>
      </w:r>
    </w:p>
    <w:p w14:paraId="69C154D6" w14:textId="40D6DB98" w:rsidR="0093754B" w:rsidRDefault="0093754B" w:rsidP="00A71F3A">
      <w:pPr>
        <w:spacing w:after="0"/>
        <w:rPr>
          <w:b/>
          <w:bCs/>
        </w:rPr>
      </w:pPr>
      <w:r>
        <w:rPr>
          <w:b/>
          <w:bCs/>
        </w:rPr>
        <w:t>Attendance</w:t>
      </w:r>
    </w:p>
    <w:p w14:paraId="0DB328CB" w14:textId="1B0A61A5" w:rsidR="0093754B" w:rsidRPr="00A71F3A" w:rsidRDefault="00A71F3A" w:rsidP="00A71F3A">
      <w:pPr>
        <w:spacing w:after="0"/>
      </w:pPr>
      <w:r w:rsidRPr="00A71F3A">
        <w:t>Sanford Starr, Department of Children and Families</w:t>
      </w:r>
    </w:p>
    <w:p w14:paraId="7850C64A" w14:textId="6E113303" w:rsidR="00A71F3A" w:rsidRDefault="00A71F3A" w:rsidP="00A71F3A">
      <w:pPr>
        <w:spacing w:after="0"/>
      </w:pPr>
      <w:r w:rsidRPr="00A71F3A">
        <w:t xml:space="preserve">Corissa Kazar, </w:t>
      </w:r>
      <w:proofErr w:type="spellStart"/>
      <w:r w:rsidR="00BC3915">
        <w:t>E</w:t>
      </w:r>
      <w:r w:rsidRPr="00A71F3A">
        <w:t>mbrella</w:t>
      </w:r>
      <w:proofErr w:type="spellEnd"/>
    </w:p>
    <w:p w14:paraId="555AB441" w14:textId="6300E052" w:rsidR="00A71F3A" w:rsidRDefault="00A71F3A" w:rsidP="00A71F3A">
      <w:pPr>
        <w:spacing w:after="0"/>
      </w:pPr>
      <w:r>
        <w:t>Patty Mojta, Rutgers School of Social Work</w:t>
      </w:r>
    </w:p>
    <w:p w14:paraId="6D6635CC" w14:textId="22CFAC18" w:rsidR="00A71F3A" w:rsidRDefault="00A71F3A" w:rsidP="00A71F3A">
      <w:pPr>
        <w:spacing w:after="0"/>
      </w:pPr>
      <w:r>
        <w:t xml:space="preserve">Aldina Hovde, </w:t>
      </w:r>
      <w:r w:rsidR="004913CA">
        <w:t>American Academy of Pediatrics</w:t>
      </w:r>
    </w:p>
    <w:p w14:paraId="21D96D2D" w14:textId="0410CB30" w:rsidR="00A71F3A" w:rsidRDefault="00A71F3A" w:rsidP="00A71F3A">
      <w:pPr>
        <w:spacing w:after="0"/>
      </w:pPr>
      <w:r>
        <w:t>Jeanne McMahon, Inspira Medical Center</w:t>
      </w:r>
    </w:p>
    <w:p w14:paraId="6CE44E13" w14:textId="304BD963" w:rsidR="00A71F3A" w:rsidRDefault="00A71F3A" w:rsidP="00A71F3A">
      <w:pPr>
        <w:spacing w:after="0"/>
      </w:pPr>
      <w:r>
        <w:t>Diane Dellanno,</w:t>
      </w:r>
      <w:r w:rsidR="004913CA">
        <w:t xml:space="preserve"> Advocates for the Children of New Jersey</w:t>
      </w:r>
    </w:p>
    <w:p w14:paraId="6C0FB364" w14:textId="1A189A71" w:rsidR="00A71F3A" w:rsidRDefault="00A71F3A" w:rsidP="00A71F3A">
      <w:pPr>
        <w:spacing w:after="0"/>
      </w:pPr>
      <w:r>
        <w:t>Suzanne Conrad,</w:t>
      </w:r>
      <w:r w:rsidR="004913CA">
        <w:t xml:space="preserve"> Public Member</w:t>
      </w:r>
    </w:p>
    <w:p w14:paraId="6C598F06" w14:textId="3D1075DA" w:rsidR="00A71F3A" w:rsidRDefault="00A71F3A" w:rsidP="00A71F3A">
      <w:pPr>
        <w:spacing w:after="0"/>
      </w:pPr>
      <w:r>
        <w:t>Tiffany Tucker,</w:t>
      </w:r>
      <w:r w:rsidR="004913CA">
        <w:t xml:space="preserve"> Public Member</w:t>
      </w:r>
    </w:p>
    <w:p w14:paraId="15633C25" w14:textId="787F43B9" w:rsidR="00A71F3A" w:rsidRDefault="00A71F3A" w:rsidP="00A71F3A">
      <w:pPr>
        <w:spacing w:after="0"/>
      </w:pPr>
      <w:r>
        <w:t>Wendi White,</w:t>
      </w:r>
      <w:r w:rsidR="004913CA">
        <w:t xml:space="preserve"> Department of Corrections</w:t>
      </w:r>
    </w:p>
    <w:p w14:paraId="7BB2F2D6" w14:textId="1B1AEA0A" w:rsidR="0093754B" w:rsidRDefault="0093754B" w:rsidP="00A71F3A">
      <w:pPr>
        <w:spacing w:after="0"/>
        <w:rPr>
          <w:b/>
          <w:bCs/>
        </w:rPr>
      </w:pPr>
    </w:p>
    <w:p w14:paraId="729151E1" w14:textId="65CFAC67" w:rsidR="0093754B" w:rsidRDefault="0093754B" w:rsidP="00A71F3A">
      <w:pPr>
        <w:spacing w:after="0"/>
        <w:rPr>
          <w:b/>
          <w:bCs/>
        </w:rPr>
      </w:pPr>
      <w:r>
        <w:rPr>
          <w:b/>
          <w:bCs/>
        </w:rPr>
        <w:t>Staff</w:t>
      </w:r>
    </w:p>
    <w:p w14:paraId="184494DA" w14:textId="24FDDC14" w:rsidR="0093754B" w:rsidRPr="00A71F3A" w:rsidRDefault="00A71F3A" w:rsidP="00A71F3A">
      <w:pPr>
        <w:spacing w:after="0"/>
      </w:pPr>
      <w:r w:rsidRPr="00A71F3A">
        <w:t>Bethany D’Amelio, Department of Children and Families</w:t>
      </w:r>
    </w:p>
    <w:p w14:paraId="5269E9E1" w14:textId="77777777" w:rsidR="0093754B" w:rsidRDefault="0093754B" w:rsidP="0093754B">
      <w:pPr>
        <w:rPr>
          <w:b/>
          <w:bCs/>
        </w:rPr>
      </w:pPr>
    </w:p>
    <w:p w14:paraId="59066EBE" w14:textId="1A0F2778" w:rsidR="0093754B" w:rsidRPr="0093754B" w:rsidRDefault="0093754B" w:rsidP="004913CA">
      <w:pPr>
        <w:spacing w:after="0"/>
      </w:pPr>
      <w:r w:rsidRPr="0093754B">
        <w:rPr>
          <w:b/>
          <w:bCs/>
        </w:rPr>
        <w:t>Overview of Meetings</w:t>
      </w:r>
    </w:p>
    <w:p w14:paraId="66D34274" w14:textId="4A92882A" w:rsidR="0093754B" w:rsidRPr="0093754B" w:rsidRDefault="0093754B" w:rsidP="004913CA">
      <w:pPr>
        <w:spacing w:after="0"/>
      </w:pPr>
      <w:r w:rsidRPr="0093754B">
        <w:t xml:space="preserve">In recent strategic planning sessions held over two consecutive days, the Committee convened to re-evaluate the structure, priorities, and strategies of the Task Force </w:t>
      </w:r>
      <w:proofErr w:type="gramStart"/>
      <w:r w:rsidR="005210D5">
        <w:t>in light of</w:t>
      </w:r>
      <w:proofErr w:type="gramEnd"/>
      <w:r w:rsidRPr="0093754B">
        <w:t xml:space="preserve"> evolving state and community needs. Attendees engaged in constructive dialogue aimed at enhancing the efficacy of </w:t>
      </w:r>
      <w:r w:rsidR="004913CA">
        <w:t>T</w:t>
      </w:r>
      <w:r w:rsidRPr="0093754B">
        <w:t xml:space="preserve">ask </w:t>
      </w:r>
      <w:r w:rsidR="004913CA">
        <w:t>F</w:t>
      </w:r>
      <w:r w:rsidRPr="0093754B">
        <w:t>orce efforts through potential organizational restructuring and programmatic realignments.</w:t>
      </w:r>
    </w:p>
    <w:p w14:paraId="67A5DF7C" w14:textId="77777777" w:rsidR="004913CA" w:rsidRDefault="004913CA" w:rsidP="0093754B">
      <w:pPr>
        <w:rPr>
          <w:b/>
          <w:bCs/>
        </w:rPr>
      </w:pPr>
    </w:p>
    <w:p w14:paraId="51A952FA" w14:textId="28E8021D" w:rsidR="0093754B" w:rsidRPr="0093754B" w:rsidRDefault="0093754B" w:rsidP="004913CA">
      <w:pPr>
        <w:spacing w:after="0"/>
      </w:pPr>
      <w:r w:rsidRPr="0093754B">
        <w:rPr>
          <w:b/>
          <w:bCs/>
        </w:rPr>
        <w:t>Key Discussions and Resolutions</w:t>
      </w:r>
    </w:p>
    <w:p w14:paraId="67E11DCE" w14:textId="77777777" w:rsidR="0093754B" w:rsidRPr="0093754B" w:rsidRDefault="0093754B" w:rsidP="004913CA">
      <w:pPr>
        <w:numPr>
          <w:ilvl w:val="0"/>
          <w:numId w:val="3"/>
        </w:numPr>
        <w:spacing w:after="0"/>
      </w:pPr>
      <w:r w:rsidRPr="0093754B">
        <w:rPr>
          <w:b/>
          <w:bCs/>
        </w:rPr>
        <w:t>Task Force Evaluation:</w:t>
      </w:r>
    </w:p>
    <w:p w14:paraId="5EE59FF9" w14:textId="30F51AD0" w:rsidR="0093754B" w:rsidRDefault="0093754B" w:rsidP="00066535">
      <w:pPr>
        <w:numPr>
          <w:ilvl w:val="1"/>
          <w:numId w:val="3"/>
        </w:numPr>
        <w:spacing w:after="0"/>
      </w:pPr>
      <w:r w:rsidRPr="0093754B">
        <w:t xml:space="preserve">Emphasis was placed on revisiting the mission and operational framework of the Task Force amidst a changing environment. Participants highlighted the necessity for the Task Force to remain adaptive and relevant as priorities </w:t>
      </w:r>
      <w:r w:rsidR="00066535" w:rsidRPr="0093754B">
        <w:t>shift.</w:t>
      </w:r>
    </w:p>
    <w:p w14:paraId="4612621F" w14:textId="77777777" w:rsidR="00066535" w:rsidRPr="0093754B" w:rsidRDefault="00066535" w:rsidP="00066535">
      <w:pPr>
        <w:spacing w:after="0"/>
        <w:ind w:left="1440"/>
      </w:pPr>
    </w:p>
    <w:p w14:paraId="18D8672C" w14:textId="28ABEF58" w:rsidR="0093754B" w:rsidRPr="0093754B" w:rsidRDefault="0093754B" w:rsidP="00066535">
      <w:pPr>
        <w:numPr>
          <w:ilvl w:val="0"/>
          <w:numId w:val="3"/>
        </w:numPr>
      </w:pPr>
      <w:r w:rsidRPr="0093754B">
        <w:rPr>
          <w:b/>
          <w:bCs/>
        </w:rPr>
        <w:t>Children's Trust Fund:</w:t>
      </w:r>
    </w:p>
    <w:p w14:paraId="40FAB988" w14:textId="11C34C91" w:rsidR="0093754B" w:rsidRPr="0093754B" w:rsidRDefault="0093754B" w:rsidP="0093754B">
      <w:pPr>
        <w:numPr>
          <w:ilvl w:val="1"/>
          <w:numId w:val="3"/>
        </w:numPr>
      </w:pPr>
      <w:r w:rsidRPr="0093754B">
        <w:t xml:space="preserve">Significant discussions revolved around the rebranding and realignment of the Children's Trust Fund. Participants noted the </w:t>
      </w:r>
      <w:r w:rsidR="004C7D49" w:rsidRPr="0093754B">
        <w:t>ambiguity</w:t>
      </w:r>
      <w:r w:rsidRPr="0093754B">
        <w:t xml:space="preserve"> surrounding current fund usage and </w:t>
      </w:r>
      <w:r w:rsidR="00066535">
        <w:t>t</w:t>
      </w:r>
      <w:r w:rsidRPr="0093754B">
        <w:t xml:space="preserve">here </w:t>
      </w:r>
      <w:r w:rsidRPr="0093754B">
        <w:lastRenderedPageBreak/>
        <w:t xml:space="preserve">was a broad consensus that streamlining funding directly to children's services could enhance transparency and </w:t>
      </w:r>
      <w:r w:rsidR="00066535" w:rsidRPr="0093754B">
        <w:t>efficacy.</w:t>
      </w:r>
    </w:p>
    <w:p w14:paraId="6DAC793C" w14:textId="77777777" w:rsidR="0093754B" w:rsidRPr="0093754B" w:rsidRDefault="0093754B" w:rsidP="0093754B">
      <w:pPr>
        <w:numPr>
          <w:ilvl w:val="0"/>
          <w:numId w:val="3"/>
        </w:numPr>
      </w:pPr>
      <w:r w:rsidRPr="0093754B">
        <w:rPr>
          <w:b/>
          <w:bCs/>
        </w:rPr>
        <w:t>Community Engagement and Resource Development:</w:t>
      </w:r>
    </w:p>
    <w:p w14:paraId="0CB3E30B" w14:textId="6C1B60A5" w:rsidR="0093754B" w:rsidRPr="0093754B" w:rsidRDefault="0093754B" w:rsidP="0093754B">
      <w:pPr>
        <w:numPr>
          <w:ilvl w:val="1"/>
          <w:numId w:val="3"/>
        </w:numPr>
      </w:pPr>
      <w:r w:rsidRPr="0093754B">
        <w:t xml:space="preserve">Recognizing geographic disparities, particularly in South Jersey, the Committee affirmed the need to address resource deserts. Strategies include bolstering family support at entry points and enhancing local recreational </w:t>
      </w:r>
      <w:r w:rsidR="004C7D49" w:rsidRPr="0093754B">
        <w:t>facilities.</w:t>
      </w:r>
    </w:p>
    <w:p w14:paraId="6C19D45E" w14:textId="77777777" w:rsidR="0093754B" w:rsidRPr="0093754B" w:rsidRDefault="0093754B" w:rsidP="0093754B">
      <w:pPr>
        <w:numPr>
          <w:ilvl w:val="0"/>
          <w:numId w:val="3"/>
        </w:numPr>
      </w:pPr>
      <w:r w:rsidRPr="0093754B">
        <w:rPr>
          <w:b/>
          <w:bCs/>
        </w:rPr>
        <w:t>Legislative Advocacy:</w:t>
      </w:r>
    </w:p>
    <w:p w14:paraId="35F4FCE8" w14:textId="43A28A29" w:rsidR="0093754B" w:rsidRPr="0093754B" w:rsidRDefault="0093754B" w:rsidP="0093754B">
      <w:pPr>
        <w:numPr>
          <w:ilvl w:val="1"/>
          <w:numId w:val="3"/>
        </w:numPr>
      </w:pPr>
      <w:r w:rsidRPr="0093754B">
        <w:t xml:space="preserve">A proposal to establish a dedicated legislative and advocacy committee was received positively, foreseeing it as an avenue to increase proactive policy engagement and </w:t>
      </w:r>
      <w:r w:rsidR="004C7D49" w:rsidRPr="0093754B">
        <w:t>support.</w:t>
      </w:r>
    </w:p>
    <w:p w14:paraId="12971358" w14:textId="77777777" w:rsidR="0093754B" w:rsidRPr="0093754B" w:rsidRDefault="0093754B" w:rsidP="0093754B">
      <w:pPr>
        <w:numPr>
          <w:ilvl w:val="0"/>
          <w:numId w:val="3"/>
        </w:numPr>
      </w:pPr>
      <w:r w:rsidRPr="0093754B">
        <w:rPr>
          <w:b/>
          <w:bCs/>
        </w:rPr>
        <w:t>Communication Improvement:</w:t>
      </w:r>
    </w:p>
    <w:p w14:paraId="48CDE040" w14:textId="5429939F" w:rsidR="0093754B" w:rsidRPr="0093754B" w:rsidRDefault="0093754B" w:rsidP="0093754B">
      <w:pPr>
        <w:numPr>
          <w:ilvl w:val="1"/>
          <w:numId w:val="3"/>
        </w:numPr>
      </w:pPr>
      <w:r w:rsidRPr="0093754B">
        <w:t xml:space="preserve">Efforts to bolster communication across platforms were deliberated. The need for greater clarity and outreach via modern and traditional media was emphasized to enhance public awareness and </w:t>
      </w:r>
      <w:r w:rsidR="004C7D49" w:rsidRPr="0093754B">
        <w:t>engagement.</w:t>
      </w:r>
    </w:p>
    <w:p w14:paraId="1D20C374" w14:textId="77777777" w:rsidR="0093754B" w:rsidRPr="0093754B" w:rsidRDefault="0093754B" w:rsidP="0093754B">
      <w:r w:rsidRPr="0093754B">
        <w:rPr>
          <w:b/>
          <w:bCs/>
        </w:rPr>
        <w:t>Next Steps</w:t>
      </w:r>
    </w:p>
    <w:p w14:paraId="0CF70891" w14:textId="77777777" w:rsidR="0093754B" w:rsidRPr="0093754B" w:rsidRDefault="0093754B" w:rsidP="0093754B">
      <w:pPr>
        <w:numPr>
          <w:ilvl w:val="0"/>
          <w:numId w:val="4"/>
        </w:numPr>
      </w:pPr>
      <w:r w:rsidRPr="0093754B">
        <w:rPr>
          <w:b/>
          <w:bCs/>
        </w:rPr>
        <w:t>Action Steps and Timeline:</w:t>
      </w:r>
    </w:p>
    <w:p w14:paraId="1B2DD070" w14:textId="77777777" w:rsidR="005210D5" w:rsidRDefault="0093754B" w:rsidP="005210D5">
      <w:pPr>
        <w:pStyle w:val="ListParagraph"/>
        <w:numPr>
          <w:ilvl w:val="0"/>
          <w:numId w:val="5"/>
        </w:numPr>
      </w:pPr>
      <w:r w:rsidRPr="0093754B">
        <w:t xml:space="preserve">The Committee recognized the importance of setting clear action steps and timelines. </w:t>
      </w:r>
    </w:p>
    <w:p w14:paraId="7C106AD4" w14:textId="25933390" w:rsidR="0093754B" w:rsidRPr="0093754B" w:rsidRDefault="0093754B" w:rsidP="00BC3915">
      <w:pPr>
        <w:pStyle w:val="ListParagraph"/>
        <w:numPr>
          <w:ilvl w:val="0"/>
          <w:numId w:val="5"/>
        </w:numPr>
      </w:pPr>
      <w:r w:rsidRPr="0093754B">
        <w:t xml:space="preserve">Strategies for restructuring and new task implementations are anticipated to be discussed further in an upcoming meeting planned for early </w:t>
      </w:r>
      <w:r w:rsidR="004C7D49" w:rsidRPr="0093754B">
        <w:t>June.</w:t>
      </w:r>
    </w:p>
    <w:p w14:paraId="1CDF4426" w14:textId="77777777" w:rsidR="0093754B" w:rsidRPr="0093754B" w:rsidRDefault="0093754B" w:rsidP="0093754B">
      <w:pPr>
        <w:numPr>
          <w:ilvl w:val="0"/>
          <w:numId w:val="4"/>
        </w:numPr>
      </w:pPr>
      <w:r w:rsidRPr="0093754B">
        <w:rPr>
          <w:b/>
          <w:bCs/>
        </w:rPr>
        <w:t>Inclusive Participation:</w:t>
      </w:r>
    </w:p>
    <w:p w14:paraId="3C462678" w14:textId="3E5864C8" w:rsidR="0093754B" w:rsidRPr="0093754B" w:rsidRDefault="0093754B" w:rsidP="0093754B">
      <w:pPr>
        <w:numPr>
          <w:ilvl w:val="1"/>
          <w:numId w:val="4"/>
        </w:numPr>
      </w:pPr>
      <w:r w:rsidRPr="0093754B">
        <w:t xml:space="preserve">Ongoing commitment to broaden stakeholder participation was stressed. The Committee aims to involve a wider array of partners to build a resilient support network and </w:t>
      </w:r>
      <w:r w:rsidR="005210D5">
        <w:t xml:space="preserve">to </w:t>
      </w:r>
      <w:r w:rsidRPr="0093754B">
        <w:t xml:space="preserve">ensure diverse perspectives in future planning </w:t>
      </w:r>
      <w:r w:rsidR="006D27DC" w:rsidRPr="0093754B">
        <w:t>initiatives.</w:t>
      </w:r>
    </w:p>
    <w:p w14:paraId="6A3E9A11" w14:textId="77777777" w:rsidR="0093754B" w:rsidRPr="0093754B" w:rsidRDefault="0093754B" w:rsidP="000A5FF4">
      <w:pPr>
        <w:spacing w:after="0"/>
      </w:pPr>
      <w:r w:rsidRPr="0093754B">
        <w:rPr>
          <w:b/>
          <w:bCs/>
        </w:rPr>
        <w:t>Conclusion</w:t>
      </w:r>
    </w:p>
    <w:p w14:paraId="7EA95B29" w14:textId="727E96FC" w:rsidR="0093754B" w:rsidRPr="0093754B" w:rsidRDefault="0093754B" w:rsidP="000A5FF4">
      <w:pPr>
        <w:spacing w:after="0"/>
      </w:pPr>
      <w:r w:rsidRPr="0093754B">
        <w:t xml:space="preserve">The strategic planning sessions provided a foundational step towards modernizing and strengthening the Task Force's commitment to </w:t>
      </w:r>
      <w:r w:rsidR="005210D5">
        <w:t>child</w:t>
      </w:r>
      <w:r w:rsidRPr="0093754B">
        <w:t xml:space="preserve"> welfare. The forthcoming tasks involve refining these deliberations into actionable strategies that perpetuate the Committee's mission of supporting families and children across New Jersey.</w:t>
      </w:r>
    </w:p>
    <w:p w14:paraId="0ABE32C8" w14:textId="77777777" w:rsidR="0093754B" w:rsidRPr="002D0BAC" w:rsidRDefault="0093754B" w:rsidP="0093754B">
      <w:pPr>
        <w:rPr>
          <w:i/>
          <w:iCs/>
        </w:rPr>
      </w:pPr>
      <w:r w:rsidRPr="002D0BAC">
        <w:rPr>
          <w:i/>
          <w:iCs/>
        </w:rPr>
        <w:t>This memo aims to maintain transparency and provide the public with an overview of the task force's recent deliberations. The committee values community input and engagement as we collectively strive to enhance the welfare of children and families across New Jersey. This meeting report was prepared, in part, with the use of Artificial Intelligence (AI).</w:t>
      </w:r>
    </w:p>
    <w:p w14:paraId="64C1E1C5" w14:textId="796614D0" w:rsidR="00DE7A4C" w:rsidRPr="006D27DC" w:rsidRDefault="0093754B">
      <w:pPr>
        <w:rPr>
          <w:i/>
          <w:iCs/>
        </w:rPr>
      </w:pPr>
      <w:r w:rsidRPr="002D0BAC">
        <w:rPr>
          <w:i/>
          <w:iCs/>
        </w:rPr>
        <w:t>For further information or queries, the public can reach out via the contact channels provided by the Department of Children and Families</w:t>
      </w:r>
      <w:r w:rsidRPr="00E34501">
        <w:rPr>
          <w:i/>
          <w:iCs/>
        </w:rPr>
        <w:t>.</w:t>
      </w:r>
    </w:p>
    <w:sectPr w:rsidR="00DE7A4C" w:rsidRPr="006D27DC" w:rsidSect="0093754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9C8A" w14:textId="77777777" w:rsidR="00A50A91" w:rsidRDefault="00A50A91" w:rsidP="0093754B">
      <w:pPr>
        <w:spacing w:after="0" w:line="240" w:lineRule="auto"/>
      </w:pPr>
      <w:r>
        <w:separator/>
      </w:r>
    </w:p>
  </w:endnote>
  <w:endnote w:type="continuationSeparator" w:id="0">
    <w:p w14:paraId="4EF05E95" w14:textId="77777777" w:rsidR="00A50A91" w:rsidRDefault="00A50A91" w:rsidP="0093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41AA" w14:textId="77777777" w:rsidR="00A50A91" w:rsidRDefault="00A50A91" w:rsidP="0093754B">
      <w:pPr>
        <w:spacing w:after="0" w:line="240" w:lineRule="auto"/>
      </w:pPr>
      <w:r>
        <w:separator/>
      </w:r>
    </w:p>
  </w:footnote>
  <w:footnote w:type="continuationSeparator" w:id="0">
    <w:p w14:paraId="108D92E5" w14:textId="77777777" w:rsidR="00A50A91" w:rsidRDefault="00A50A91" w:rsidP="0093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AD9E" w14:textId="77777777" w:rsidR="0093754B" w:rsidRDefault="0093754B" w:rsidP="0093754B">
    <w:pPr>
      <w:pStyle w:val="Header"/>
      <w:jc w:val="center"/>
    </w:pPr>
    <w:r>
      <w:rPr>
        <w:noProof/>
      </w:rPr>
      <w:drawing>
        <wp:inline distT="0" distB="0" distL="0" distR="0" wp14:anchorId="68D0AC95" wp14:editId="2879CDDC">
          <wp:extent cx="1476508" cy="9521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TFC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883" cy="953690"/>
                  </a:xfrm>
                  <a:prstGeom prst="rect">
                    <a:avLst/>
                  </a:prstGeom>
                </pic:spPr>
              </pic:pic>
            </a:graphicData>
          </a:graphic>
        </wp:inline>
      </w:drawing>
    </w:r>
  </w:p>
  <w:p w14:paraId="7BE56B66" w14:textId="77777777" w:rsidR="0093754B" w:rsidRPr="000C78FB" w:rsidRDefault="0093754B" w:rsidP="0093754B">
    <w:pPr>
      <w:tabs>
        <w:tab w:val="left" w:pos="5652"/>
      </w:tabs>
      <w:spacing w:after="0"/>
      <w:jc w:val="center"/>
      <w:rPr>
        <w:rFonts w:ascii="Arial Narrow" w:hAnsi="Arial Narrow"/>
        <w:b/>
        <w:caps/>
        <w:color w:val="C45911" w:themeColor="accent2" w:themeShade="BF"/>
        <w:sz w:val="36"/>
        <w:szCs w:val="36"/>
      </w:rPr>
    </w:pPr>
    <w:r w:rsidRPr="000C78FB">
      <w:rPr>
        <w:rFonts w:ascii="Arial Narrow" w:hAnsi="Arial Narrow"/>
        <w:b/>
        <w:caps/>
        <w:color w:val="C45911" w:themeColor="accent2" w:themeShade="BF"/>
        <w:sz w:val="36"/>
        <w:szCs w:val="36"/>
      </w:rPr>
      <w:t>Prevention Committee</w:t>
    </w:r>
  </w:p>
  <w:p w14:paraId="2B562290" w14:textId="77777777" w:rsidR="0093754B" w:rsidRDefault="0093754B" w:rsidP="0093754B">
    <w:pPr>
      <w:tabs>
        <w:tab w:val="left" w:pos="5652"/>
      </w:tabs>
      <w:spacing w:after="0"/>
      <w:jc w:val="center"/>
      <w:rPr>
        <w:rFonts w:ascii="Arial Narrow" w:hAnsi="Arial Narrow"/>
        <w:sz w:val="24"/>
        <w:szCs w:val="24"/>
      </w:rPr>
    </w:pPr>
    <w:r>
      <w:rPr>
        <w:rFonts w:ascii="Arial Narrow" w:hAnsi="Arial Narrow"/>
        <w:sz w:val="24"/>
        <w:szCs w:val="24"/>
      </w:rPr>
      <w:t>Patty Mojta, Co-Chair</w:t>
    </w:r>
  </w:p>
  <w:p w14:paraId="2278C78E" w14:textId="77777777" w:rsidR="0093754B" w:rsidRPr="00192B10" w:rsidRDefault="0093754B" w:rsidP="0093754B">
    <w:pPr>
      <w:tabs>
        <w:tab w:val="left" w:pos="5652"/>
      </w:tabs>
      <w:spacing w:after="0"/>
      <w:jc w:val="center"/>
      <w:rPr>
        <w:rFonts w:ascii="Arial Narrow" w:hAnsi="Arial Narrow"/>
        <w:sz w:val="24"/>
        <w:szCs w:val="24"/>
      </w:rPr>
    </w:pPr>
    <w:r>
      <w:rPr>
        <w:rFonts w:ascii="Arial Narrow" w:hAnsi="Arial Narrow"/>
        <w:sz w:val="24"/>
        <w:szCs w:val="24"/>
      </w:rPr>
      <w:t>Sanford Starr, Co-Chair</w:t>
    </w:r>
  </w:p>
  <w:p w14:paraId="0E8C52E1" w14:textId="77777777" w:rsidR="0093754B" w:rsidRDefault="0093754B" w:rsidP="0093754B">
    <w:pPr>
      <w:pStyle w:val="Header"/>
      <w:tabs>
        <w:tab w:val="left" w:pos="90"/>
      </w:tabs>
    </w:pPr>
    <w:r>
      <w:rPr>
        <w:noProof/>
      </w:rPr>
      <mc:AlternateContent>
        <mc:Choice Requires="wps">
          <w:drawing>
            <wp:anchor distT="0" distB="0" distL="114300" distR="114300" simplePos="0" relativeHeight="251659264" behindDoc="0" locked="0" layoutInCell="1" allowOverlap="1" wp14:anchorId="63DB42D1" wp14:editId="6D9F3A38">
              <wp:simplePos x="0" y="0"/>
              <wp:positionH relativeFrom="column">
                <wp:posOffset>38100</wp:posOffset>
              </wp:positionH>
              <wp:positionV relativeFrom="paragraph">
                <wp:posOffset>102235</wp:posOffset>
              </wp:positionV>
              <wp:extent cx="678180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6781800" cy="0"/>
                      </a:xfrm>
                      <a:prstGeom prst="line">
                        <a:avLst/>
                      </a:prstGeom>
                      <a:noFill/>
                      <a:ln w="28575" cap="flat" cmpd="sng" algn="ctr">
                        <a:solidFill>
                          <a:srgbClr val="4472C4">
                            <a:lumMod val="50000"/>
                          </a:srgbClr>
                        </a:solidFill>
                        <a:prstDash val="solid"/>
                        <a:miter lim="800000"/>
                      </a:ln>
                      <a:effectLst/>
                    </wps:spPr>
                    <wps:bodyPr/>
                  </wps:wsp>
                </a:graphicData>
              </a:graphic>
              <wp14:sizeRelH relativeFrom="margin">
                <wp14:pctWidth>0</wp14:pctWidth>
              </wp14:sizeRelH>
            </wp:anchor>
          </w:drawing>
        </mc:Choice>
        <mc:Fallback>
          <w:pict>
            <v:line w14:anchorId="3808A25A"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05pt" to="53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" strokecolor="#203864" strokeweight="2.25pt">
              <v:stroke joinstyle="miter"/>
            </v:line>
          </w:pict>
        </mc:Fallback>
      </mc:AlternateContent>
    </w:r>
  </w:p>
  <w:p w14:paraId="38542F5F" w14:textId="77777777" w:rsidR="0093754B" w:rsidRPr="002B476E" w:rsidRDefault="0093754B" w:rsidP="0093754B">
    <w:pPr>
      <w:spacing w:after="25" w:line="358" w:lineRule="auto"/>
      <w:ind w:left="594"/>
      <w:jc w:val="center"/>
      <w:rPr>
        <w:rFonts w:ascii="Times New Roman" w:eastAsia="Times New Roman" w:hAnsi="Times New Roman" w:cs="Times New Roman"/>
        <w:color w:val="000000"/>
        <w:szCs w:val="20"/>
      </w:rPr>
    </w:pPr>
    <w:r w:rsidRPr="002B476E">
      <w:rPr>
        <w:rFonts w:ascii="Arial" w:eastAsia="Arial" w:hAnsi="Arial" w:cs="Arial"/>
        <w:i/>
        <w:color w:val="000000"/>
        <w:sz w:val="20"/>
        <w:szCs w:val="20"/>
      </w:rPr>
      <w:t>In compliance with Chapter 231 of the Public Laws of 1975, notice of this meeting was given by way of notice filed with the Secretary of State, the Trenton Times and the Newark Star Ledger and posted at the</w:t>
    </w:r>
    <w:r>
      <w:rPr>
        <w:rFonts w:ascii="Arial" w:eastAsia="Arial" w:hAnsi="Arial" w:cs="Arial"/>
        <w:i/>
        <w:color w:val="000000"/>
        <w:sz w:val="20"/>
        <w:szCs w:val="20"/>
      </w:rPr>
      <w:t xml:space="preserve"> </w:t>
    </w:r>
    <w:r w:rsidRPr="002B476E">
      <w:rPr>
        <w:rFonts w:ascii="Arial" w:eastAsia="Arial" w:hAnsi="Arial" w:cs="Arial"/>
        <w:i/>
        <w:color w:val="000000"/>
        <w:sz w:val="20"/>
        <w:szCs w:val="20"/>
      </w:rPr>
      <w:t>Department of State, 125 West State St., 1st Floor, Trenton, New Jersey.”</w:t>
    </w:r>
  </w:p>
  <w:p w14:paraId="10AA1ABE" w14:textId="77777777" w:rsidR="0093754B" w:rsidRPr="00DC0103" w:rsidRDefault="0093754B" w:rsidP="0093754B">
    <w:pPr>
      <w:pStyle w:val="Header"/>
      <w:jc w:val="center"/>
      <w:rPr>
        <w:i/>
      </w:rPr>
    </w:pPr>
    <w:r w:rsidRPr="00DC0103">
      <w:rPr>
        <w:i/>
      </w:rPr>
      <w:t xml:space="preserve">*Please note the meeting </w:t>
    </w:r>
    <w:r>
      <w:rPr>
        <w:i/>
      </w:rPr>
      <w:t>was</w:t>
    </w:r>
    <w:r w:rsidRPr="00DC0103">
      <w:rPr>
        <w:i/>
      </w:rPr>
      <w:t xml:space="preserve"> recorded for the transcription of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E20"/>
    <w:multiLevelType w:val="multilevel"/>
    <w:tmpl w:val="26980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2476A"/>
    <w:multiLevelType w:val="multilevel"/>
    <w:tmpl w:val="BC2421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385F"/>
    <w:multiLevelType w:val="multilevel"/>
    <w:tmpl w:val="C70EF2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45F0F"/>
    <w:multiLevelType w:val="multilevel"/>
    <w:tmpl w:val="0CD0E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A7662"/>
    <w:multiLevelType w:val="hybridMultilevel"/>
    <w:tmpl w:val="9D183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173982">
    <w:abstractNumId w:val="1"/>
  </w:num>
  <w:num w:numId="2" w16cid:durableId="955017121">
    <w:abstractNumId w:val="0"/>
  </w:num>
  <w:num w:numId="3" w16cid:durableId="262540990">
    <w:abstractNumId w:val="2"/>
  </w:num>
  <w:num w:numId="4" w16cid:durableId="1021207034">
    <w:abstractNumId w:val="3"/>
  </w:num>
  <w:num w:numId="5" w16cid:durableId="202994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4B"/>
    <w:rsid w:val="00066535"/>
    <w:rsid w:val="000A5FF4"/>
    <w:rsid w:val="004913CA"/>
    <w:rsid w:val="004C7D49"/>
    <w:rsid w:val="005210D5"/>
    <w:rsid w:val="006D27DC"/>
    <w:rsid w:val="0093754B"/>
    <w:rsid w:val="00A50A91"/>
    <w:rsid w:val="00A71F3A"/>
    <w:rsid w:val="00BC3915"/>
    <w:rsid w:val="00DE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C328"/>
  <w15:chartTrackingRefBased/>
  <w15:docId w15:val="{224E6412-D113-4B96-9DEA-3E4C854F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4B"/>
  </w:style>
  <w:style w:type="paragraph" w:styleId="Footer">
    <w:name w:val="footer"/>
    <w:basedOn w:val="Normal"/>
    <w:link w:val="FooterChar"/>
    <w:uiPriority w:val="99"/>
    <w:unhideWhenUsed/>
    <w:rsid w:val="0093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4B"/>
  </w:style>
  <w:style w:type="paragraph" w:styleId="Revision">
    <w:name w:val="Revision"/>
    <w:hidden/>
    <w:uiPriority w:val="99"/>
    <w:semiHidden/>
    <w:rsid w:val="005210D5"/>
    <w:pPr>
      <w:spacing w:after="0" w:line="240" w:lineRule="auto"/>
    </w:pPr>
  </w:style>
  <w:style w:type="paragraph" w:styleId="ListParagraph">
    <w:name w:val="List Paragraph"/>
    <w:basedOn w:val="Normal"/>
    <w:uiPriority w:val="34"/>
    <w:qFormat/>
    <w:rsid w:val="0052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1978">
      <w:bodyDiv w:val="1"/>
      <w:marLeft w:val="0"/>
      <w:marRight w:val="0"/>
      <w:marTop w:val="0"/>
      <w:marBottom w:val="0"/>
      <w:divBdr>
        <w:top w:val="none" w:sz="0" w:space="0" w:color="auto"/>
        <w:left w:val="none" w:sz="0" w:space="0" w:color="auto"/>
        <w:bottom w:val="none" w:sz="0" w:space="0" w:color="auto"/>
        <w:right w:val="none" w:sz="0" w:space="0" w:color="auto"/>
      </w:divBdr>
    </w:div>
    <w:div w:id="19503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D'Amelio, Bethany [DCF]</dc:creator>
  <cp:keywords/>
  <dc:description/>
  <cp:lastModifiedBy>D'Amelio, Bethany [DCF]</cp:lastModifiedBy>
  <cp:revision>3</cp:revision>
  <dcterms:created xsi:type="dcterms:W3CDTF">2025-01-29T21:03:00Z</dcterms:created>
  <dcterms:modified xsi:type="dcterms:W3CDTF">2025-02-05T19:22:00Z</dcterms:modified>
</cp:coreProperties>
</file>