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DA43" w14:textId="26F7E437" w:rsidR="00004174" w:rsidRDefault="00004174" w:rsidP="0013049E">
      <w:pPr>
        <w:jc w:val="center"/>
        <w:rPr>
          <w:b/>
          <w:bCs/>
        </w:rPr>
      </w:pPr>
      <w:r>
        <w:rPr>
          <w:b/>
          <w:bCs/>
        </w:rPr>
        <w:t xml:space="preserve">NEW JERSEY DEPARTMENT OF BANKING AND INSURANCE </w:t>
      </w:r>
    </w:p>
    <w:p w14:paraId="051575C8" w14:textId="2DFB883A" w:rsidR="0013049E" w:rsidRPr="002B2342" w:rsidRDefault="0013049E" w:rsidP="0013049E">
      <w:pPr>
        <w:jc w:val="center"/>
        <w:rPr>
          <w:b/>
          <w:bCs/>
          <w:i/>
          <w:iCs/>
        </w:rPr>
      </w:pPr>
      <w:r w:rsidRPr="002B2342">
        <w:rPr>
          <w:b/>
          <w:bCs/>
          <w:i/>
          <w:iCs/>
        </w:rPr>
        <w:t>ANNUAL REPORT NON-QUANTITATIVE TREATMENT LIMITATION (NQTL)</w:t>
      </w:r>
    </w:p>
    <w:p w14:paraId="671ED7BF" w14:textId="33CEB5AD" w:rsidR="0013049E" w:rsidRDefault="0013049E" w:rsidP="0013049E">
      <w:r>
        <w:t>[Reporting Year]</w:t>
      </w:r>
    </w:p>
    <w:p w14:paraId="235436A6" w14:textId="6CBB43A4" w:rsidR="0013049E" w:rsidRPr="00A352CC" w:rsidRDefault="0013049E" w:rsidP="0013049E">
      <w:r w:rsidRPr="00A352CC">
        <w:t>[Carrier contact information]</w:t>
      </w:r>
    </w:p>
    <w:p w14:paraId="438A9EAF" w14:textId="7764AFDA" w:rsidR="0013049E" w:rsidRPr="00A352CC" w:rsidRDefault="0013049E" w:rsidP="007C76DD">
      <w:pPr>
        <w:jc w:val="both"/>
      </w:pPr>
      <w:r w:rsidRPr="00A352CC">
        <w:t>The information requested in this form is based upon P.L. 2019, c. 58 (“Chapter 58”) and P.L. 2022, c. 33 (“Chapter 33”), which are variously codified,</w:t>
      </w:r>
      <w:r w:rsidRPr="00A352CC">
        <w:rPr>
          <w:rStyle w:val="FootnoteReference"/>
        </w:rPr>
        <w:footnoteReference w:id="1"/>
      </w:r>
      <w:r w:rsidRPr="00A352CC">
        <w:t xml:space="preserve"> pursuant to which carriers are required to submit to the Department</w:t>
      </w:r>
      <w:r>
        <w:t xml:space="preserve"> of Banking and Insurance</w:t>
      </w:r>
      <w:r w:rsidRPr="00A352CC">
        <w:t xml:space="preserve"> an annual report, which shall contain the information identified below.  Carriers may submit comparative analyses developed to demonstrate </w:t>
      </w:r>
      <w:r w:rsidRPr="00917B6D">
        <w:t>federal Paul Wellstone and Pete Domenici Mental Health Parity and Addiction Equity Act of 2008 (MHPAEA)</w:t>
      </w:r>
      <w:r w:rsidRPr="00A352CC">
        <w:t xml:space="preserve">-compliant design and application of </w:t>
      </w:r>
      <w:r w:rsidRPr="00917B6D">
        <w:rPr>
          <w:color w:val="000000"/>
        </w:rPr>
        <w:t>non-quantitative treatment limitation</w:t>
      </w:r>
      <w:r>
        <w:rPr>
          <w:color w:val="000000"/>
        </w:rPr>
        <w:t>s</w:t>
      </w:r>
      <w:r w:rsidRPr="00A352CC">
        <w:t xml:space="preserve"> </w:t>
      </w:r>
      <w:r>
        <w:t>(</w:t>
      </w:r>
      <w:r w:rsidRPr="00A352CC">
        <w:t>NQTLs</w:t>
      </w:r>
      <w:r>
        <w:t>)</w:t>
      </w:r>
      <w:r w:rsidRPr="00A352CC">
        <w:rPr>
          <w:rStyle w:val="FootnoteReference"/>
        </w:rPr>
        <w:footnoteReference w:id="2"/>
      </w:r>
      <w:r w:rsidRPr="00A352CC">
        <w:t xml:space="preserve"> to satisfy this reporting requirement, provided the analysis includes all NQTLs identified in state law.</w:t>
      </w:r>
    </w:p>
    <w:p w14:paraId="31E77BC9" w14:textId="77777777" w:rsidR="000F60E9" w:rsidRDefault="0013049E" w:rsidP="007C76DD">
      <w:pPr>
        <w:jc w:val="both"/>
      </w:pPr>
      <w:r w:rsidRPr="00A352CC">
        <w:t>For each NQTL, please identify the page number within the Comparative Analysis document on which the analysis starts or provide the Comparative Analysis file name if NQTL analyses are provided in separate documents.</w:t>
      </w:r>
      <w:r w:rsidR="00B9216B">
        <w:t xml:space="preserve">  </w:t>
      </w:r>
    </w:p>
    <w:p w14:paraId="37F67704" w14:textId="1884926F" w:rsidR="0013049E" w:rsidRPr="00B9216B" w:rsidRDefault="00B9216B" w:rsidP="007C76DD">
      <w:pPr>
        <w:jc w:val="both"/>
      </w:pPr>
      <w:r>
        <w:t xml:space="preserve">The completed form should be submitted electronically, no later than March 1 of each year, to </w:t>
      </w:r>
      <w:hyperlink r:id="rId6" w:history="1">
        <w:r w:rsidRPr="00EC08D4">
          <w:rPr>
            <w:rStyle w:val="Hyperlink"/>
          </w:rPr>
          <w:t>lifehealth@dobi.nj.gov</w:t>
        </w:r>
      </w:hyperlink>
      <w:r>
        <w:t>.</w:t>
      </w:r>
    </w:p>
    <w:tbl>
      <w:tblPr>
        <w:tblStyle w:val="TableGrid"/>
        <w:tblW w:w="0" w:type="auto"/>
        <w:tblLook w:val="04A0" w:firstRow="1" w:lastRow="0" w:firstColumn="1" w:lastColumn="0" w:noHBand="0" w:noVBand="1"/>
      </w:tblPr>
      <w:tblGrid>
        <w:gridCol w:w="5035"/>
        <w:gridCol w:w="4315"/>
      </w:tblGrid>
      <w:tr w:rsidR="0013049E" w:rsidRPr="00A352CC" w14:paraId="1DAC642F" w14:textId="77777777" w:rsidTr="00B90A72">
        <w:tc>
          <w:tcPr>
            <w:tcW w:w="5035" w:type="dxa"/>
          </w:tcPr>
          <w:p w14:paraId="0540AD52" w14:textId="77777777" w:rsidR="0013049E" w:rsidRPr="00A352CC" w:rsidRDefault="0013049E" w:rsidP="00B90A72">
            <w:pPr>
              <w:spacing w:after="0"/>
            </w:pPr>
          </w:p>
        </w:tc>
        <w:tc>
          <w:tcPr>
            <w:tcW w:w="4315" w:type="dxa"/>
          </w:tcPr>
          <w:p w14:paraId="1D45E69A" w14:textId="77777777" w:rsidR="0013049E" w:rsidRPr="00A352CC" w:rsidRDefault="0013049E" w:rsidP="00B90A72">
            <w:pPr>
              <w:spacing w:after="0"/>
            </w:pPr>
            <w:r w:rsidRPr="00A352CC">
              <w:t>Comparative Analysis location</w:t>
            </w:r>
          </w:p>
        </w:tc>
      </w:tr>
      <w:tr w:rsidR="0013049E" w:rsidRPr="00A352CC" w14:paraId="0F04FECF" w14:textId="77777777" w:rsidTr="00B90A72">
        <w:tc>
          <w:tcPr>
            <w:tcW w:w="5035" w:type="dxa"/>
          </w:tcPr>
          <w:p w14:paraId="798C286D" w14:textId="77777777" w:rsidR="0013049E" w:rsidRPr="00A352CC" w:rsidRDefault="0013049E" w:rsidP="00B90A72">
            <w:pPr>
              <w:spacing w:after="0"/>
            </w:pPr>
            <w:r w:rsidRPr="00A352CC">
              <w:t>Medical Necessity</w:t>
            </w:r>
          </w:p>
        </w:tc>
        <w:tc>
          <w:tcPr>
            <w:tcW w:w="4315" w:type="dxa"/>
          </w:tcPr>
          <w:p w14:paraId="10F7D722" w14:textId="77777777" w:rsidR="0013049E" w:rsidRPr="00A352CC" w:rsidRDefault="0013049E" w:rsidP="00B90A72">
            <w:pPr>
              <w:spacing w:after="0"/>
            </w:pPr>
          </w:p>
        </w:tc>
      </w:tr>
      <w:tr w:rsidR="0013049E" w:rsidRPr="00A352CC" w14:paraId="45BB9EA0" w14:textId="77777777" w:rsidTr="00B90A72">
        <w:tc>
          <w:tcPr>
            <w:tcW w:w="5035" w:type="dxa"/>
          </w:tcPr>
          <w:p w14:paraId="4DAFFB4D" w14:textId="77777777" w:rsidR="0013049E" w:rsidRPr="00A352CC" w:rsidRDefault="0013049E" w:rsidP="00B90A72">
            <w:pPr>
              <w:spacing w:after="0"/>
            </w:pPr>
            <w:r w:rsidRPr="00A352CC">
              <w:t>Medical Management</w:t>
            </w:r>
          </w:p>
        </w:tc>
        <w:tc>
          <w:tcPr>
            <w:tcW w:w="4315" w:type="dxa"/>
          </w:tcPr>
          <w:p w14:paraId="7348AA56" w14:textId="77777777" w:rsidR="0013049E" w:rsidRPr="00A352CC" w:rsidRDefault="0013049E" w:rsidP="00B90A72">
            <w:pPr>
              <w:spacing w:after="0"/>
            </w:pPr>
          </w:p>
        </w:tc>
      </w:tr>
      <w:tr w:rsidR="0013049E" w:rsidRPr="00A352CC" w14:paraId="54EE0460" w14:textId="77777777" w:rsidTr="00B90A72">
        <w:tc>
          <w:tcPr>
            <w:tcW w:w="5035" w:type="dxa"/>
          </w:tcPr>
          <w:p w14:paraId="49C143DB" w14:textId="77777777" w:rsidR="0013049E" w:rsidRPr="00A352CC" w:rsidRDefault="0013049E" w:rsidP="00B90A72">
            <w:pPr>
              <w:spacing w:after="0"/>
            </w:pPr>
            <w:r w:rsidRPr="00A352CC">
              <w:t>Formulary Design</w:t>
            </w:r>
          </w:p>
        </w:tc>
        <w:tc>
          <w:tcPr>
            <w:tcW w:w="4315" w:type="dxa"/>
          </w:tcPr>
          <w:p w14:paraId="1654F956" w14:textId="77777777" w:rsidR="0013049E" w:rsidRPr="00A352CC" w:rsidRDefault="0013049E" w:rsidP="00B90A72">
            <w:pPr>
              <w:spacing w:after="0"/>
            </w:pPr>
          </w:p>
        </w:tc>
      </w:tr>
      <w:tr w:rsidR="0013049E" w:rsidRPr="00A352CC" w14:paraId="7D6C8252" w14:textId="77777777" w:rsidTr="00B90A72">
        <w:tc>
          <w:tcPr>
            <w:tcW w:w="5035" w:type="dxa"/>
          </w:tcPr>
          <w:p w14:paraId="4A2AB030" w14:textId="77777777" w:rsidR="0013049E" w:rsidRPr="00A352CC" w:rsidRDefault="0013049E" w:rsidP="00B90A72">
            <w:pPr>
              <w:spacing w:after="0"/>
            </w:pPr>
            <w:r w:rsidRPr="00A352CC">
              <w:t>Network Tiering</w:t>
            </w:r>
          </w:p>
        </w:tc>
        <w:tc>
          <w:tcPr>
            <w:tcW w:w="4315" w:type="dxa"/>
          </w:tcPr>
          <w:p w14:paraId="62B60F0E" w14:textId="77777777" w:rsidR="0013049E" w:rsidRPr="00A352CC" w:rsidRDefault="0013049E" w:rsidP="00B90A72">
            <w:pPr>
              <w:spacing w:after="0"/>
            </w:pPr>
          </w:p>
        </w:tc>
      </w:tr>
      <w:tr w:rsidR="0013049E" w:rsidRPr="00A352CC" w14:paraId="7940FDF2" w14:textId="77777777" w:rsidTr="00B90A72">
        <w:tc>
          <w:tcPr>
            <w:tcW w:w="5035" w:type="dxa"/>
          </w:tcPr>
          <w:p w14:paraId="46D075C1" w14:textId="77777777" w:rsidR="0013049E" w:rsidRPr="00A352CC" w:rsidRDefault="0013049E" w:rsidP="00B90A72">
            <w:pPr>
              <w:spacing w:after="0"/>
            </w:pPr>
            <w:r w:rsidRPr="00A352CC">
              <w:t>Network admission and reimbursement (e.g., rate negotiation)</w:t>
            </w:r>
          </w:p>
        </w:tc>
        <w:tc>
          <w:tcPr>
            <w:tcW w:w="4315" w:type="dxa"/>
          </w:tcPr>
          <w:p w14:paraId="46425198" w14:textId="77777777" w:rsidR="0013049E" w:rsidRPr="00A352CC" w:rsidRDefault="0013049E" w:rsidP="00B90A72">
            <w:pPr>
              <w:spacing w:after="0"/>
            </w:pPr>
          </w:p>
        </w:tc>
      </w:tr>
      <w:tr w:rsidR="0013049E" w:rsidRPr="00A352CC" w14:paraId="0CB6BE2C" w14:textId="77777777" w:rsidTr="00B90A72">
        <w:tc>
          <w:tcPr>
            <w:tcW w:w="5035" w:type="dxa"/>
          </w:tcPr>
          <w:p w14:paraId="4D5B22ED" w14:textId="77777777" w:rsidR="0013049E" w:rsidRPr="00A352CC" w:rsidRDefault="0013049E" w:rsidP="00B90A72">
            <w:pPr>
              <w:spacing w:after="0"/>
            </w:pPr>
            <w:r w:rsidRPr="00A352CC">
              <w:t>Usual and Customary calculations</w:t>
            </w:r>
          </w:p>
        </w:tc>
        <w:tc>
          <w:tcPr>
            <w:tcW w:w="4315" w:type="dxa"/>
          </w:tcPr>
          <w:p w14:paraId="3C57BB3C" w14:textId="77777777" w:rsidR="0013049E" w:rsidRPr="00A352CC" w:rsidRDefault="0013049E" w:rsidP="00B90A72">
            <w:pPr>
              <w:spacing w:after="0"/>
            </w:pPr>
          </w:p>
        </w:tc>
      </w:tr>
      <w:tr w:rsidR="0013049E" w:rsidRPr="00A352CC" w14:paraId="48980DDF" w14:textId="77777777" w:rsidTr="00B90A72">
        <w:tc>
          <w:tcPr>
            <w:tcW w:w="5035" w:type="dxa"/>
          </w:tcPr>
          <w:p w14:paraId="59AA5B80" w14:textId="77777777" w:rsidR="0013049E" w:rsidRPr="00A352CC" w:rsidRDefault="0013049E" w:rsidP="00B90A72">
            <w:pPr>
              <w:spacing w:after="0"/>
            </w:pPr>
            <w:r w:rsidRPr="00A352CC">
              <w:t>Fail First and Step Therapy</w:t>
            </w:r>
          </w:p>
        </w:tc>
        <w:tc>
          <w:tcPr>
            <w:tcW w:w="4315" w:type="dxa"/>
          </w:tcPr>
          <w:p w14:paraId="77851C35" w14:textId="77777777" w:rsidR="0013049E" w:rsidRPr="00A352CC" w:rsidRDefault="0013049E" w:rsidP="00B90A72">
            <w:pPr>
              <w:spacing w:after="0"/>
            </w:pPr>
          </w:p>
        </w:tc>
      </w:tr>
      <w:tr w:rsidR="0013049E" w:rsidRPr="00A352CC" w14:paraId="1BDD769A" w14:textId="77777777" w:rsidTr="00B90A72">
        <w:tc>
          <w:tcPr>
            <w:tcW w:w="5035" w:type="dxa"/>
          </w:tcPr>
          <w:p w14:paraId="0C58FE27" w14:textId="77777777" w:rsidR="0013049E" w:rsidRPr="00A352CC" w:rsidRDefault="0013049E" w:rsidP="00B90A72">
            <w:pPr>
              <w:spacing w:after="0"/>
            </w:pPr>
            <w:r w:rsidRPr="00A352CC">
              <w:t>Failure to complete course of treatment</w:t>
            </w:r>
          </w:p>
        </w:tc>
        <w:tc>
          <w:tcPr>
            <w:tcW w:w="4315" w:type="dxa"/>
          </w:tcPr>
          <w:p w14:paraId="4D1AE559" w14:textId="77777777" w:rsidR="0013049E" w:rsidRPr="00A352CC" w:rsidRDefault="0013049E" w:rsidP="00B90A72">
            <w:pPr>
              <w:spacing w:after="0"/>
            </w:pPr>
          </w:p>
        </w:tc>
      </w:tr>
      <w:tr w:rsidR="0013049E" w:rsidRPr="00A352CC" w14:paraId="2BF01B74" w14:textId="77777777" w:rsidTr="00B90A72">
        <w:tc>
          <w:tcPr>
            <w:tcW w:w="5035" w:type="dxa"/>
          </w:tcPr>
          <w:p w14:paraId="1A1BC1AC" w14:textId="77777777" w:rsidR="0013049E" w:rsidRPr="00A352CC" w:rsidRDefault="0013049E" w:rsidP="00B90A72">
            <w:pPr>
              <w:spacing w:after="0"/>
            </w:pPr>
            <w:r w:rsidRPr="00A352CC">
              <w:t>Geographic restrictions</w:t>
            </w:r>
          </w:p>
        </w:tc>
        <w:tc>
          <w:tcPr>
            <w:tcW w:w="4315" w:type="dxa"/>
          </w:tcPr>
          <w:p w14:paraId="35E1A127" w14:textId="77777777" w:rsidR="0013049E" w:rsidRPr="00A352CC" w:rsidRDefault="0013049E" w:rsidP="00B90A72">
            <w:pPr>
              <w:spacing w:after="0"/>
            </w:pPr>
          </w:p>
        </w:tc>
      </w:tr>
      <w:tr w:rsidR="0013049E" w:rsidRPr="00A352CC" w14:paraId="506FF1B7" w14:textId="77777777" w:rsidTr="00B90A72">
        <w:tc>
          <w:tcPr>
            <w:tcW w:w="5035" w:type="dxa"/>
          </w:tcPr>
          <w:p w14:paraId="3559F327" w14:textId="77777777" w:rsidR="0013049E" w:rsidRPr="00A352CC" w:rsidRDefault="0013049E" w:rsidP="00B90A72">
            <w:pPr>
              <w:spacing w:after="0"/>
            </w:pPr>
            <w:r w:rsidRPr="00A352CC">
              <w:lastRenderedPageBreak/>
              <w:t>In- and out-of-network geographic limits</w:t>
            </w:r>
          </w:p>
        </w:tc>
        <w:tc>
          <w:tcPr>
            <w:tcW w:w="4315" w:type="dxa"/>
          </w:tcPr>
          <w:p w14:paraId="56D1F9FB" w14:textId="77777777" w:rsidR="0013049E" w:rsidRPr="00A352CC" w:rsidRDefault="0013049E" w:rsidP="00B90A72">
            <w:pPr>
              <w:spacing w:after="0"/>
            </w:pPr>
          </w:p>
        </w:tc>
      </w:tr>
      <w:tr w:rsidR="0013049E" w:rsidRPr="00A352CC" w14:paraId="245B5734" w14:textId="77777777" w:rsidTr="00B90A72">
        <w:tc>
          <w:tcPr>
            <w:tcW w:w="5035" w:type="dxa"/>
          </w:tcPr>
          <w:p w14:paraId="7198EA05" w14:textId="77777777" w:rsidR="0013049E" w:rsidRPr="00A352CC" w:rsidRDefault="0013049E" w:rsidP="00B90A72">
            <w:pPr>
              <w:spacing w:after="0"/>
            </w:pPr>
            <w:r w:rsidRPr="00A352CC">
              <w:t>Limitations based on threat to self</w:t>
            </w:r>
          </w:p>
        </w:tc>
        <w:tc>
          <w:tcPr>
            <w:tcW w:w="4315" w:type="dxa"/>
          </w:tcPr>
          <w:p w14:paraId="1256BB47" w14:textId="77777777" w:rsidR="0013049E" w:rsidRPr="00A352CC" w:rsidRDefault="0013049E" w:rsidP="00B90A72">
            <w:pPr>
              <w:spacing w:after="0"/>
            </w:pPr>
          </w:p>
        </w:tc>
      </w:tr>
      <w:tr w:rsidR="0013049E" w:rsidRPr="00A352CC" w14:paraId="6B1950C5" w14:textId="77777777" w:rsidTr="00B90A72">
        <w:tc>
          <w:tcPr>
            <w:tcW w:w="5035" w:type="dxa"/>
          </w:tcPr>
          <w:p w14:paraId="5F2D3982" w14:textId="77777777" w:rsidR="0013049E" w:rsidRPr="00A352CC" w:rsidRDefault="0013049E" w:rsidP="00B90A72">
            <w:pPr>
              <w:spacing w:after="0"/>
            </w:pPr>
            <w:r w:rsidRPr="00A352CC">
              <w:t>Exclusions relating to court-ordered treatment</w:t>
            </w:r>
          </w:p>
        </w:tc>
        <w:tc>
          <w:tcPr>
            <w:tcW w:w="4315" w:type="dxa"/>
          </w:tcPr>
          <w:p w14:paraId="65042556" w14:textId="77777777" w:rsidR="0013049E" w:rsidRPr="00A352CC" w:rsidRDefault="0013049E" w:rsidP="00B90A72">
            <w:pPr>
              <w:spacing w:after="0"/>
            </w:pPr>
          </w:p>
        </w:tc>
      </w:tr>
      <w:tr w:rsidR="0013049E" w:rsidRPr="00A352CC" w14:paraId="080277C4" w14:textId="77777777" w:rsidTr="00B90A72">
        <w:tc>
          <w:tcPr>
            <w:tcW w:w="5035" w:type="dxa"/>
          </w:tcPr>
          <w:p w14:paraId="453C916C" w14:textId="77777777" w:rsidR="0013049E" w:rsidRPr="00A352CC" w:rsidRDefault="0013049E" w:rsidP="00B90A72">
            <w:pPr>
              <w:spacing w:after="0"/>
            </w:pPr>
            <w:r w:rsidRPr="00A352CC">
              <w:t>Experimental treatment</w:t>
            </w:r>
          </w:p>
        </w:tc>
        <w:tc>
          <w:tcPr>
            <w:tcW w:w="4315" w:type="dxa"/>
          </w:tcPr>
          <w:p w14:paraId="3FA3BFD0" w14:textId="77777777" w:rsidR="0013049E" w:rsidRPr="00A352CC" w:rsidRDefault="0013049E" w:rsidP="00B90A72">
            <w:pPr>
              <w:spacing w:after="0"/>
            </w:pPr>
          </w:p>
        </w:tc>
      </w:tr>
      <w:tr w:rsidR="0013049E" w:rsidRPr="00A352CC" w14:paraId="64CAF72D" w14:textId="77777777" w:rsidTr="00B90A72">
        <w:tc>
          <w:tcPr>
            <w:tcW w:w="5035" w:type="dxa"/>
          </w:tcPr>
          <w:p w14:paraId="61B94E94" w14:textId="77777777" w:rsidR="0013049E" w:rsidRPr="00A352CC" w:rsidRDefault="0013049E" w:rsidP="00B90A72">
            <w:pPr>
              <w:spacing w:after="0"/>
            </w:pPr>
            <w:r w:rsidRPr="00A352CC">
              <w:t>Coding and code edits</w:t>
            </w:r>
          </w:p>
        </w:tc>
        <w:tc>
          <w:tcPr>
            <w:tcW w:w="4315" w:type="dxa"/>
          </w:tcPr>
          <w:p w14:paraId="1D085C55" w14:textId="77777777" w:rsidR="0013049E" w:rsidRPr="00A352CC" w:rsidRDefault="0013049E" w:rsidP="00B90A72">
            <w:pPr>
              <w:spacing w:after="0"/>
            </w:pPr>
          </w:p>
        </w:tc>
      </w:tr>
      <w:tr w:rsidR="0013049E" w:rsidRPr="00A352CC" w14:paraId="4A03C9F8" w14:textId="77777777" w:rsidTr="00B90A72">
        <w:tc>
          <w:tcPr>
            <w:tcW w:w="5035" w:type="dxa"/>
          </w:tcPr>
          <w:p w14:paraId="5979726E" w14:textId="77777777" w:rsidR="0013049E" w:rsidRPr="00A352CC" w:rsidRDefault="0013049E" w:rsidP="00B90A72">
            <w:pPr>
              <w:spacing w:after="0"/>
            </w:pPr>
            <w:r w:rsidRPr="00A352CC">
              <w:t>Exclusions for MH/SUD providers</w:t>
            </w:r>
          </w:p>
        </w:tc>
        <w:tc>
          <w:tcPr>
            <w:tcW w:w="4315" w:type="dxa"/>
          </w:tcPr>
          <w:p w14:paraId="2327D42F" w14:textId="77777777" w:rsidR="0013049E" w:rsidRPr="00A352CC" w:rsidRDefault="0013049E" w:rsidP="00B90A72">
            <w:pPr>
              <w:spacing w:after="0"/>
            </w:pPr>
          </w:p>
        </w:tc>
      </w:tr>
      <w:tr w:rsidR="0013049E" w:rsidRPr="00A352CC" w14:paraId="74F8346D" w14:textId="77777777" w:rsidTr="00B90A72">
        <w:tc>
          <w:tcPr>
            <w:tcW w:w="5035" w:type="dxa"/>
          </w:tcPr>
          <w:p w14:paraId="0E680018" w14:textId="77777777" w:rsidR="0013049E" w:rsidRPr="00A352CC" w:rsidRDefault="0013049E" w:rsidP="00B90A72">
            <w:pPr>
              <w:spacing w:after="0"/>
            </w:pPr>
            <w:r w:rsidRPr="00A352CC">
              <w:t>Network adequacy</w:t>
            </w:r>
          </w:p>
        </w:tc>
        <w:tc>
          <w:tcPr>
            <w:tcW w:w="4315" w:type="dxa"/>
          </w:tcPr>
          <w:p w14:paraId="46D859C2" w14:textId="77777777" w:rsidR="0013049E" w:rsidRPr="00A352CC" w:rsidRDefault="0013049E" w:rsidP="00B90A72">
            <w:pPr>
              <w:spacing w:after="0"/>
            </w:pPr>
          </w:p>
        </w:tc>
      </w:tr>
      <w:tr w:rsidR="0013049E" w:rsidRPr="00A352CC" w14:paraId="7C90A71F" w14:textId="77777777" w:rsidTr="00B90A72">
        <w:tc>
          <w:tcPr>
            <w:tcW w:w="5035" w:type="dxa"/>
          </w:tcPr>
          <w:p w14:paraId="71002857" w14:textId="77777777" w:rsidR="0013049E" w:rsidRPr="00A352CC" w:rsidRDefault="0013049E" w:rsidP="00B90A72">
            <w:pPr>
              <w:spacing w:after="0"/>
            </w:pPr>
            <w:r w:rsidRPr="00A352CC">
              <w:t>Provider reimbursement rates</w:t>
            </w:r>
          </w:p>
        </w:tc>
        <w:tc>
          <w:tcPr>
            <w:tcW w:w="4315" w:type="dxa"/>
          </w:tcPr>
          <w:p w14:paraId="2E187D6E" w14:textId="77777777" w:rsidR="0013049E" w:rsidRPr="00A352CC" w:rsidRDefault="0013049E" w:rsidP="00B90A72">
            <w:pPr>
              <w:spacing w:after="0"/>
            </w:pPr>
          </w:p>
        </w:tc>
      </w:tr>
      <w:tr w:rsidR="0013049E" w:rsidRPr="00A352CC" w14:paraId="26DADD46" w14:textId="77777777" w:rsidTr="00B90A72">
        <w:sdt>
          <w:sdtPr>
            <w:tag w:val="Enter additional NQTLs here"/>
            <w:id w:val="1728176580"/>
            <w:placeholder>
              <w:docPart w:val="67181F1D4AE14AF4B158C14FD9280E51"/>
            </w:placeholder>
            <w:showingPlcHdr/>
            <w:text w:multiLine="1"/>
          </w:sdtPr>
          <w:sdtEndPr/>
          <w:sdtContent>
            <w:tc>
              <w:tcPr>
                <w:tcW w:w="5035" w:type="dxa"/>
              </w:tcPr>
              <w:p w14:paraId="54683903" w14:textId="77777777" w:rsidR="0013049E" w:rsidRPr="00A352CC" w:rsidRDefault="0013049E" w:rsidP="00B90A72">
                <w:pPr>
                  <w:spacing w:after="0"/>
                </w:pPr>
                <w:r w:rsidRPr="00A352CC">
                  <w:t>Enter additional NQTLs here</w:t>
                </w:r>
              </w:p>
            </w:tc>
          </w:sdtContent>
        </w:sdt>
        <w:tc>
          <w:tcPr>
            <w:tcW w:w="4315" w:type="dxa"/>
          </w:tcPr>
          <w:p w14:paraId="3D5FFF88" w14:textId="77777777" w:rsidR="0013049E" w:rsidRPr="00A352CC" w:rsidRDefault="0013049E" w:rsidP="00B90A72">
            <w:pPr>
              <w:spacing w:after="0"/>
            </w:pPr>
          </w:p>
        </w:tc>
      </w:tr>
    </w:tbl>
    <w:p w14:paraId="35678A3E" w14:textId="77777777" w:rsidR="0013049E" w:rsidRPr="00A352CC" w:rsidRDefault="0013049E" w:rsidP="0013049E"/>
    <w:p w14:paraId="4F43B680" w14:textId="77777777" w:rsidR="0043285A" w:rsidRDefault="0043285A"/>
    <w:sectPr w:rsidR="0043285A" w:rsidSect="0013049E">
      <w:footerReference w:type="even" r:id="rId7"/>
      <w:footerReference w:type="default" r:id="rId8"/>
      <w:footerReference w:type="first" r:id="rId9"/>
      <w:pgSz w:w="12240" w:h="15840"/>
      <w:pgMar w:top="1440" w:right="1440" w:bottom="800" w:left="1440" w:header="346" w:footer="8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A1A9" w14:textId="77777777" w:rsidR="00502F72" w:rsidRDefault="00502F72" w:rsidP="0013049E">
      <w:pPr>
        <w:spacing w:after="0"/>
      </w:pPr>
      <w:r>
        <w:separator/>
      </w:r>
    </w:p>
  </w:endnote>
  <w:endnote w:type="continuationSeparator" w:id="0">
    <w:p w14:paraId="33487FE2" w14:textId="77777777" w:rsidR="00502F72" w:rsidRDefault="00502F72" w:rsidP="001304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E143" w14:textId="77777777" w:rsidR="0013049E" w:rsidRDefault="0013049E" w:rsidP="00EC08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F1DDCC" w14:textId="77777777" w:rsidR="0013049E" w:rsidRDefault="00130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C991" w14:textId="21C2C2CD" w:rsidR="0013049E" w:rsidRDefault="0013049E" w:rsidP="00EC08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8AC946" w14:textId="77777777" w:rsidR="0013049E" w:rsidRPr="0013049E" w:rsidRDefault="0013049E" w:rsidP="001304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3726" w14:textId="13CF5966" w:rsidR="0013049E" w:rsidRPr="0013049E" w:rsidRDefault="0013049E" w:rsidP="0013049E">
    <w:pPr>
      <w:pStyle w:val="Footer"/>
      <w:jc w:val="center"/>
      <w:rPr>
        <w:rFonts w:ascii="Book Antiqua" w:hAnsi="Book Antiqua"/>
        <w:b/>
        <w:i/>
        <w:color w:val="000000"/>
        <w:sz w:val="18"/>
      </w:rPr>
    </w:pPr>
    <w:r>
      <w:rPr>
        <w:noProof/>
      </w:rPr>
      <mc:AlternateContent>
        <mc:Choice Requires="wps">
          <w:drawing>
            <wp:anchor distT="0" distB="0" distL="114300" distR="114300" simplePos="0" relativeHeight="251659264" behindDoc="0" locked="0" layoutInCell="1" allowOverlap="1" wp14:anchorId="14A5695C" wp14:editId="1A19610A">
              <wp:simplePos x="0" y="0"/>
              <wp:positionH relativeFrom="page">
                <wp:posOffset>182880</wp:posOffset>
              </wp:positionH>
              <wp:positionV relativeFrom="paragraph">
                <wp:posOffset>0</wp:posOffset>
              </wp:positionV>
              <wp:extent cx="7315200" cy="548640"/>
              <wp:effectExtent l="0" t="0" r="0" b="3810"/>
              <wp:wrapTopAndBottom/>
              <wp:docPr id="472340689" name="Text Box 1"/>
              <wp:cNvGraphicFramePr/>
              <a:graphic xmlns:a="http://schemas.openxmlformats.org/drawingml/2006/main">
                <a:graphicData uri="http://schemas.microsoft.com/office/word/2010/wordprocessingShape">
                  <wps:wsp>
                    <wps:cNvSpPr txBox="1"/>
                    <wps:spPr>
                      <a:xfrm>
                        <a:off x="0" y="0"/>
                        <a:ext cx="7315200" cy="5486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9470D" w14:textId="77777777" w:rsidR="0013049E" w:rsidRDefault="0013049E" w:rsidP="0013049E">
                          <w:pPr>
                            <w:pStyle w:val="Footer"/>
                            <w:jc w:val="center"/>
                            <w:rPr>
                              <w:rFonts w:ascii="Book Antiqua" w:hAnsi="Book Antiqua"/>
                              <w:b/>
                              <w:i/>
                              <w:color w:val="000000"/>
                              <w:sz w:val="18"/>
                            </w:rPr>
                          </w:pPr>
                          <w:r>
                            <w:rPr>
                              <w:rFonts w:ascii="Book Antiqua" w:hAnsi="Book Antiqua"/>
                              <w:b/>
                              <w:i/>
                              <w:color w:val="000000"/>
                              <w:sz w:val="18"/>
                            </w:rPr>
                            <w:t>Visit us on the Web at dobi.nj.gov</w:t>
                          </w:r>
                        </w:p>
                        <w:p w14:paraId="3887A653" w14:textId="77777777" w:rsidR="0013049E" w:rsidRPr="004B10D3" w:rsidRDefault="0013049E" w:rsidP="0013049E">
                          <w:pPr>
                            <w:pStyle w:val="Footer"/>
                            <w:jc w:val="center"/>
                            <w:rPr>
                              <w:rFonts w:ascii="Book Antiqua" w:hAnsi="Book Antiqua"/>
                              <w:b/>
                              <w:i/>
                              <w:color w:val="000000"/>
                              <w:sz w:val="18"/>
                            </w:rPr>
                          </w:pPr>
                          <w:r>
                            <w:rPr>
                              <w:rFonts w:ascii="Book Antiqua" w:hAnsi="Book Antiqua"/>
                              <w:b/>
                              <w:i/>
                              <w:color w:val="000000"/>
                              <w:sz w:val="18"/>
                            </w:rPr>
                            <w:t>New Jersey is an Equal Opportunity Employer   •   Printed on Recycled Paper and Recyclable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14A5695C" id="_x0000_t202" coordsize="21600,21600" o:spt="202" path="m,l,21600r21600,l21600,xe">
              <v:stroke joinstyle="miter"/>
              <v:path gradientshapeok="t" o:connecttype="rect"/>
            </v:shapetype>
            <v:shape id="Text Box 1" o:spid="_x0000_s1026" type="#_x0000_t202" style="position:absolute;left:0;text-align:left;margin-left:14.4pt;margin-top:0;width:8in;height:4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" filled="f" stroked="f" strokeweight=".5pt">
              <v:fill o:detectmouseclick="t"/>
              <v:textbox>
                <w:txbxContent>
                  <w:p w14:paraId="66D9470D" w14:textId="77777777" w:rsidR="0013049E" w:rsidRDefault="0013049E" w:rsidP="0013049E">
                    <w:pPr>
                      <w:pStyle w:val="Footer"/>
                      <w:jc w:val="center"/>
                      <w:rPr>
                        <w:rFonts w:ascii="Book Antiqua" w:hAnsi="Book Antiqua"/>
                        <w:b/>
                        <w:i/>
                        <w:color w:val="000000"/>
                        <w:sz w:val="18"/>
                      </w:rPr>
                    </w:pPr>
                    <w:r>
                      <w:rPr>
                        <w:rFonts w:ascii="Book Antiqua" w:hAnsi="Book Antiqua"/>
                        <w:b/>
                        <w:i/>
                        <w:color w:val="000000"/>
                        <w:sz w:val="18"/>
                      </w:rPr>
                      <w:t xml:space="preserve">Visit us on the Web at </w:t>
                    </w:r>
                    <w:proofErr w:type="gramStart"/>
                    <w:r>
                      <w:rPr>
                        <w:rFonts w:ascii="Book Antiqua" w:hAnsi="Book Antiqua"/>
                        <w:b/>
                        <w:i/>
                        <w:color w:val="000000"/>
                        <w:sz w:val="18"/>
                      </w:rPr>
                      <w:t>dobi.nj.gov</w:t>
                    </w:r>
                    <w:proofErr w:type="gramEnd"/>
                  </w:p>
                  <w:p w14:paraId="3887A653" w14:textId="77777777" w:rsidR="0013049E" w:rsidRPr="004B10D3" w:rsidRDefault="0013049E" w:rsidP="0013049E">
                    <w:pPr>
                      <w:pStyle w:val="Footer"/>
                      <w:jc w:val="center"/>
                      <w:rPr>
                        <w:rFonts w:ascii="Book Antiqua" w:hAnsi="Book Antiqua"/>
                        <w:b/>
                        <w:i/>
                        <w:color w:val="000000"/>
                        <w:sz w:val="18"/>
                      </w:rPr>
                    </w:pPr>
                    <w:r>
                      <w:rPr>
                        <w:rFonts w:ascii="Book Antiqua" w:hAnsi="Book Antiqua"/>
                        <w:b/>
                        <w:i/>
                        <w:color w:val="000000"/>
                        <w:sz w:val="18"/>
                      </w:rPr>
                      <w:t>New Jersey is an Equal Opportunity Employer   •   Printed on Recycled Paper and Recyclable</w:t>
                    </w: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BAB5" w14:textId="77777777" w:rsidR="00502F72" w:rsidRDefault="00502F72" w:rsidP="0013049E">
      <w:pPr>
        <w:spacing w:after="0"/>
      </w:pPr>
      <w:r>
        <w:separator/>
      </w:r>
    </w:p>
  </w:footnote>
  <w:footnote w:type="continuationSeparator" w:id="0">
    <w:p w14:paraId="174FD17C" w14:textId="77777777" w:rsidR="00502F72" w:rsidRDefault="00502F72" w:rsidP="0013049E">
      <w:pPr>
        <w:spacing w:after="0"/>
      </w:pPr>
      <w:r>
        <w:continuationSeparator/>
      </w:r>
    </w:p>
  </w:footnote>
  <w:footnote w:id="1">
    <w:p w14:paraId="602F2EC2" w14:textId="77777777" w:rsidR="0013049E" w:rsidRDefault="0013049E" w:rsidP="007C76DD">
      <w:pPr>
        <w:pStyle w:val="FootnoteText"/>
        <w:spacing w:after="0"/>
        <w:jc w:val="both"/>
        <w:rPr>
          <w:sz w:val="24"/>
          <w:szCs w:val="24"/>
        </w:rPr>
      </w:pPr>
      <w:r w:rsidRPr="007C76DD">
        <w:rPr>
          <w:rStyle w:val="FootnoteReference"/>
          <w:rFonts w:eastAsiaTheme="majorEastAsia"/>
          <w:sz w:val="24"/>
          <w:szCs w:val="24"/>
        </w:rPr>
        <w:footnoteRef/>
      </w:r>
      <w:r w:rsidRPr="007C76DD">
        <w:rPr>
          <w:sz w:val="24"/>
          <w:szCs w:val="24"/>
        </w:rPr>
        <w:t xml:space="preserve"> Chapter 58 and Chapter 33 are codified at N.J.S.A. 17:48-6v, N.J.S.A. 17:48A-7u, N.J.S.A. 17:48E-35.20, N.J.S.A. 17B:26-2.1s, N.J.S.A. 17B:27-46.1v, N.J.S.A. 17B:27A-7.5, N.J.S.A. 17B:27A-19.7, N.J.S.A. 26:2J-4.20, N.J.S.A. 52:14-17.29d – 29e.  Chapter 58 is also codified at N.J.S.A. 26:2S-10.8.</w:t>
      </w:r>
    </w:p>
    <w:p w14:paraId="72DDA318" w14:textId="77777777" w:rsidR="007C76DD" w:rsidRPr="007C76DD" w:rsidRDefault="007C76DD" w:rsidP="007C76DD">
      <w:pPr>
        <w:pStyle w:val="FootnoteText"/>
        <w:spacing w:after="0"/>
        <w:jc w:val="both"/>
        <w:rPr>
          <w:sz w:val="24"/>
          <w:szCs w:val="24"/>
        </w:rPr>
      </w:pPr>
    </w:p>
  </w:footnote>
  <w:footnote w:id="2">
    <w:p w14:paraId="0D21B833" w14:textId="77777777" w:rsidR="0013049E" w:rsidRPr="007C76DD" w:rsidRDefault="0013049E" w:rsidP="007C76DD">
      <w:pPr>
        <w:pStyle w:val="FootnoteText"/>
        <w:spacing w:after="0"/>
        <w:jc w:val="both"/>
        <w:rPr>
          <w:sz w:val="24"/>
          <w:szCs w:val="24"/>
        </w:rPr>
      </w:pPr>
      <w:r w:rsidRPr="007C76DD">
        <w:rPr>
          <w:rStyle w:val="FootnoteReference"/>
          <w:rFonts w:eastAsiaTheme="majorEastAsia"/>
          <w:sz w:val="24"/>
          <w:szCs w:val="24"/>
        </w:rPr>
        <w:footnoteRef/>
      </w:r>
      <w:r w:rsidRPr="007C76DD">
        <w:rPr>
          <w:sz w:val="24"/>
          <w:szCs w:val="24"/>
        </w:rPr>
        <w:t xml:space="preserve"> </w:t>
      </w:r>
      <w:r w:rsidRPr="007C76DD">
        <w:rPr>
          <w:i/>
          <w:iCs/>
          <w:sz w:val="24"/>
          <w:szCs w:val="24"/>
        </w:rPr>
        <w:t>See</w:t>
      </w:r>
      <w:r w:rsidRPr="007C76DD">
        <w:rPr>
          <w:sz w:val="24"/>
          <w:szCs w:val="24"/>
        </w:rPr>
        <w:t xml:space="preserve"> FAQs about Mental Health and Substance Use Disorder Parity Implementation and the Consolidated Appropriations Act, 2021 Part 45, April 2, 2021, </w:t>
      </w:r>
      <w:r w:rsidRPr="007C76DD">
        <w:rPr>
          <w:i/>
          <w:iCs/>
          <w:sz w:val="24"/>
          <w:szCs w:val="24"/>
        </w:rPr>
        <w:t>available at</w:t>
      </w:r>
      <w:r w:rsidRPr="007C76DD">
        <w:rPr>
          <w:sz w:val="24"/>
          <w:szCs w:val="24"/>
        </w:rPr>
        <w:t xml:space="preserve">  </w:t>
      </w:r>
      <w:hyperlink r:id="rId1" w:history="1">
        <w:r w:rsidRPr="007C76DD">
          <w:rPr>
            <w:rStyle w:val="Hyperlink"/>
            <w:rFonts w:eastAsiaTheme="majorEastAsia"/>
            <w:sz w:val="24"/>
            <w:szCs w:val="24"/>
          </w:rPr>
          <w:t>https://www.dol.gov/sites/dolgov/files/EBSA/about-ebsa/our-activities/resource-center/faqs/aca-part-45.pdf</w:t>
        </w:r>
      </w:hyperlink>
      <w:r w:rsidRPr="007C76DD">
        <w:rPr>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49E"/>
    <w:rsid w:val="00004174"/>
    <w:rsid w:val="000F60E9"/>
    <w:rsid w:val="0013049E"/>
    <w:rsid w:val="002B2342"/>
    <w:rsid w:val="002C6A39"/>
    <w:rsid w:val="0043285A"/>
    <w:rsid w:val="00486997"/>
    <w:rsid w:val="00502F72"/>
    <w:rsid w:val="007669B5"/>
    <w:rsid w:val="007C76DD"/>
    <w:rsid w:val="007F1957"/>
    <w:rsid w:val="009113F5"/>
    <w:rsid w:val="00B9216B"/>
    <w:rsid w:val="00E63F33"/>
    <w:rsid w:val="00EE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150C"/>
  <w15:chartTrackingRefBased/>
  <w15:docId w15:val="{0E76B969-6032-4C07-B795-D302F0BC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49E"/>
    <w:pPr>
      <w:spacing w:after="24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4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049E"/>
    <w:rPr>
      <w:color w:val="0563C1" w:themeColor="hyperlink"/>
      <w:u w:val="single"/>
    </w:rPr>
  </w:style>
  <w:style w:type="paragraph" w:styleId="FootnoteText">
    <w:name w:val="footnote text"/>
    <w:basedOn w:val="Normal"/>
    <w:link w:val="FootnoteTextChar"/>
    <w:uiPriority w:val="99"/>
    <w:unhideWhenUsed/>
    <w:rsid w:val="0013049E"/>
    <w:rPr>
      <w:rFonts w:eastAsia="Times New Roman"/>
      <w:sz w:val="20"/>
      <w:szCs w:val="20"/>
    </w:rPr>
  </w:style>
  <w:style w:type="character" w:customStyle="1" w:styleId="FootnoteTextChar">
    <w:name w:val="Footnote Text Char"/>
    <w:basedOn w:val="DefaultParagraphFont"/>
    <w:link w:val="FootnoteText"/>
    <w:uiPriority w:val="99"/>
    <w:rsid w:val="0013049E"/>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13049E"/>
    <w:rPr>
      <w:vertAlign w:val="superscript"/>
    </w:rPr>
  </w:style>
  <w:style w:type="paragraph" w:styleId="Header">
    <w:name w:val="header"/>
    <w:basedOn w:val="Normal"/>
    <w:link w:val="HeaderChar"/>
    <w:uiPriority w:val="99"/>
    <w:unhideWhenUsed/>
    <w:rsid w:val="0013049E"/>
    <w:pPr>
      <w:tabs>
        <w:tab w:val="center" w:pos="4680"/>
        <w:tab w:val="right" w:pos="9360"/>
      </w:tabs>
      <w:spacing w:after="0"/>
    </w:pPr>
  </w:style>
  <w:style w:type="character" w:customStyle="1" w:styleId="HeaderChar">
    <w:name w:val="Header Char"/>
    <w:basedOn w:val="DefaultParagraphFont"/>
    <w:link w:val="Header"/>
    <w:uiPriority w:val="99"/>
    <w:rsid w:val="0013049E"/>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13049E"/>
    <w:pPr>
      <w:tabs>
        <w:tab w:val="center" w:pos="4680"/>
        <w:tab w:val="right" w:pos="9360"/>
      </w:tabs>
      <w:spacing w:after="0"/>
    </w:pPr>
  </w:style>
  <w:style w:type="character" w:customStyle="1" w:styleId="FooterChar">
    <w:name w:val="Footer Char"/>
    <w:basedOn w:val="DefaultParagraphFont"/>
    <w:link w:val="Footer"/>
    <w:uiPriority w:val="99"/>
    <w:rsid w:val="0013049E"/>
    <w:rPr>
      <w:rFonts w:ascii="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13049E"/>
  </w:style>
  <w:style w:type="paragraph" w:styleId="Revision">
    <w:name w:val="Revision"/>
    <w:hidden/>
    <w:uiPriority w:val="99"/>
    <w:semiHidden/>
    <w:rsid w:val="00004174"/>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fehealth@dobi.nj.gov"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dol.gov/sites/dolgov/files/EBSA/about-ebsa/our-activities/resource-center/faqs/aca-part-4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81F1D4AE14AF4B158C14FD9280E51"/>
        <w:category>
          <w:name w:val="General"/>
          <w:gallery w:val="placeholder"/>
        </w:category>
        <w:types>
          <w:type w:val="bbPlcHdr"/>
        </w:types>
        <w:behaviors>
          <w:behavior w:val="content"/>
        </w:behaviors>
        <w:guid w:val="{27A9CCB2-FA87-4A1D-A8DE-E920B8F34803}"/>
      </w:docPartPr>
      <w:docPartBody>
        <w:p w:rsidR="00BD0E30" w:rsidRDefault="00BD0E30" w:rsidP="00BD0E30">
          <w:pPr>
            <w:pStyle w:val="67181F1D4AE14AF4B158C14FD9280E51"/>
          </w:pPr>
          <w:r>
            <w:t>Enter additional NQTLs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30"/>
    <w:rsid w:val="00BD0E30"/>
    <w:rsid w:val="00D61C89"/>
    <w:rsid w:val="00F4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81F1D4AE14AF4B158C14FD9280E51">
    <w:name w:val="67181F1D4AE14AF4B158C14FD9280E51"/>
    <w:rsid w:val="00BD0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Fahncke</dc:creator>
  <cp:keywords/>
  <dc:description/>
  <cp:lastModifiedBy>McKeever, Lucy [DOBI]</cp:lastModifiedBy>
  <cp:revision>5</cp:revision>
  <dcterms:created xsi:type="dcterms:W3CDTF">2024-10-30T18:47:00Z</dcterms:created>
  <dcterms:modified xsi:type="dcterms:W3CDTF">2024-10-30T20:35:00Z</dcterms:modified>
</cp:coreProperties>
</file>