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5CF6" w14:textId="77777777" w:rsidR="001051C5" w:rsidRPr="002C4F95" w:rsidRDefault="001051C5" w:rsidP="001051C5">
      <w:pPr>
        <w:spacing w:after="0" w:line="240" w:lineRule="auto"/>
        <w:jc w:val="center"/>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EXPLANATION OF BRACKETS</w:t>
      </w:r>
    </w:p>
    <w:p w14:paraId="04F2120D" w14:textId="77777777" w:rsidR="001051C5" w:rsidRPr="002C4F95" w:rsidRDefault="001051C5" w:rsidP="001051C5">
      <w:pPr>
        <w:spacing w:after="0" w:line="240" w:lineRule="auto"/>
        <w:jc w:val="center"/>
        <w:rPr>
          <w:rFonts w:ascii="Times New Roman" w:eastAsia="Times New Roman" w:hAnsi="Times New Roman" w:cs="Times New Roman"/>
          <w:b/>
          <w:sz w:val="24"/>
          <w:szCs w:val="20"/>
        </w:rPr>
      </w:pPr>
    </w:p>
    <w:p w14:paraId="55AB378A" w14:textId="77777777" w:rsidR="001051C5" w:rsidRPr="002C4F95" w:rsidRDefault="001051C5" w:rsidP="001051C5">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Plans B through E Policy and Certificate</w:t>
      </w:r>
    </w:p>
    <w:p w14:paraId="247E9987" w14:textId="77777777" w:rsidR="001051C5" w:rsidRPr="002C4F95" w:rsidRDefault="001051C5" w:rsidP="001051C5">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F and W for Plans B – E)</w:t>
      </w:r>
    </w:p>
    <w:p w14:paraId="27D49534"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216CB878"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All text which is enclosed in brackets [ ] is variable.  Enclosure in Brackets does </w:t>
      </w:r>
      <w:r w:rsidRPr="002C4F95">
        <w:rPr>
          <w:rFonts w:ascii="Times New Roman" w:eastAsia="Times New Roman" w:hAnsi="Times New Roman" w:cs="Times New Roman"/>
          <w:b/>
          <w:sz w:val="24"/>
          <w:szCs w:val="20"/>
        </w:rPr>
        <w:t>not</w:t>
      </w:r>
      <w:r w:rsidRPr="002C4F95">
        <w:rPr>
          <w:rFonts w:ascii="Times New Roman" w:eastAsia="Times New Roman" w:hAnsi="Times New Roman" w:cs="Times New Roman"/>
          <w:sz w:val="24"/>
          <w:szCs w:val="20"/>
        </w:rPr>
        <w:t xml:space="preserve"> give Carriers liberty to deviate from the standard </w:t>
      </w:r>
      <w:proofErr w:type="gramStart"/>
      <w:r w:rsidRPr="002C4F95">
        <w:rPr>
          <w:rFonts w:ascii="Times New Roman" w:eastAsia="Times New Roman" w:hAnsi="Times New Roman" w:cs="Times New Roman"/>
          <w:sz w:val="24"/>
          <w:szCs w:val="20"/>
        </w:rPr>
        <w:t>text</w:t>
      </w:r>
      <w:proofErr w:type="gramEnd"/>
      <w:r w:rsidRPr="002C4F95">
        <w:rPr>
          <w:rFonts w:ascii="Times New Roman" w:eastAsia="Times New Roman" w:hAnsi="Times New Roman" w:cs="Times New Roman"/>
          <w:sz w:val="24"/>
          <w:szCs w:val="20"/>
        </w:rPr>
        <w:t xml:space="preserve">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14:paraId="62ED9F7F"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510CA50D" w14:textId="77777777"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[Policyholder], and [ABC]</w:t>
      </w:r>
    </w:p>
    <w:p w14:paraId="6D24BC5C" w14:textId="77777777"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are noted with brief explanations within the text.  Examples </w:t>
      </w:r>
      <w:proofErr w:type="gramStart"/>
      <w:r w:rsidRPr="002C4F95">
        <w:rPr>
          <w:rFonts w:ascii="Times New Roman" w:eastAsia="Times New Roman" w:hAnsi="Times New Roman" w:cs="Times New Roman"/>
          <w:sz w:val="24"/>
          <w:szCs w:val="20"/>
        </w:rPr>
        <w:t>include:</w:t>
      </w:r>
      <w:proofErr w:type="gramEnd"/>
      <w:r w:rsidRPr="002C4F95">
        <w:rPr>
          <w:rFonts w:ascii="Times New Roman" w:eastAsia="Times New Roman" w:hAnsi="Times New Roman" w:cs="Times New Roman"/>
          <w:sz w:val="24"/>
          <w:szCs w:val="20"/>
        </w:rPr>
        <w:t xml:space="preserve">  use of PPO, EPO and POS text.</w:t>
      </w:r>
    </w:p>
    <w:p w14:paraId="355B110E" w14:textId="77777777"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14:paraId="01AA14D7" w14:textId="77777777"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and parameters specified in statute and/or regulation</w:t>
      </w:r>
    </w:p>
    <w:p w14:paraId="74EE2BE8" w14:textId="77777777"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the election made by a Carrier.</w:t>
      </w:r>
    </w:p>
    <w:p w14:paraId="70175F23" w14:textId="77777777"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14:paraId="4BA9B0D5" w14:textId="77777777"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the delivery system (i.e., indemnity, PPO, POS or EPO)</w:t>
      </w:r>
    </w:p>
    <w:p w14:paraId="47F1C39B" w14:textId="77777777"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14:paraId="20E9DE30" w14:textId="77777777"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14:paraId="46FD98DA"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09DDACA1"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b/>
          <w:sz w:val="24"/>
          <w:szCs w:val="20"/>
        </w:rPr>
        <w:t>Note:</w:t>
      </w:r>
      <w:r w:rsidRPr="002C4F95">
        <w:rPr>
          <w:rFonts w:ascii="Times New Roman" w:eastAsia="Times New Roman" w:hAnsi="Times New Roman" w:cs="Times New Roman"/>
          <w:sz w:val="24"/>
          <w:szCs w:val="20"/>
        </w:rPr>
        <w:t xml:space="preserve">  Due to the complexity of issuing plans through or in conjunction with an approved Selective Contracting Arrangement, commonly known as PPO or POS or EPO plans, explicit guidance is set forth in item 29 below.  </w:t>
      </w:r>
    </w:p>
    <w:p w14:paraId="18345044"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Areas of variability, which may require clarification and explanation as to use, are explained below.  The order of the list is generally consistent with the order of appearance in the policy and certificate forms.</w:t>
      </w:r>
    </w:p>
    <w:p w14:paraId="29F807E3"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2B53585F"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Dividend text which appears both on the Face Page and in the General Provisions should only be included by carriers that could pay dividends.</w:t>
      </w:r>
    </w:p>
    <w:p w14:paraId="3772043C"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14:paraId="2C1955D4"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Although the schedule pages specify the plan letter in the upper right corner this identification is intended solely to identify which plan letter the page illustrates.  Carriers need not specify the plan letter on the schedule pages of plans being issued.  </w:t>
      </w:r>
    </w:p>
    <w:p w14:paraId="62FE6C4C"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Deductible, Co-Insurance, and Copayments may be elected by the Employer, subject to the availability specified in regulation.</w:t>
      </w:r>
    </w:p>
    <w:p w14:paraId="558D87FC"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schedule page to illustrate the services for which a tiered network design is applicable.  Additional variable text addressing a tiered network is included in the PPO, POS and EPO descriptions and other coverage sections of the policy.  </w:t>
      </w:r>
    </w:p>
    <w:p w14:paraId="31A6A95C"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list of services and supplies for which pre-approval is required includes two items, included in brackets: specified therapies and prescription drugs.  The benefit provisions for these services and supplies also includes text in brackets concerning pre-approval.  Carriers that elect to require pre-approval for these services and supplies must include them on the list on the schedule page in addition to using the pre-approval text in the benefit provision.  </w:t>
      </w:r>
    </w:p>
    <w:p w14:paraId="61BC0DF4"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may be included or omitted, at the option of the carrier.  The provision includes two options for a reinstatement fee.  Carriers should include the applicable text.</w:t>
      </w:r>
    </w:p>
    <w:p w14:paraId="06703A30"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Percentage participation requirements as noted in the Participation Requirements and in the Termination of the Policy - Renewal Privilege provisions of the General Provisions may be determined by the Carrier, provided the requirements comply with the requirements permitted in Statute and regulation.</w:t>
      </w:r>
    </w:p>
    <w:p w14:paraId="1A74F02C"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Notice of Loss provision of the Claims Provisions may be omitted at the option of the Carrier.</w:t>
      </w:r>
    </w:p>
    <w:p w14:paraId="132E8C52"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Payment of Claims provision of the Claims Provisions should include the second or third sentence of the last paragraph, as appropriate.</w:t>
      </w:r>
    </w:p>
    <w:p w14:paraId="7BC9F270"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definition of an Approved Cancer Clinical Trial and the corresponding benefit provision should be included only by those carriers that wish to make such coverage available and want to specify such coverage in the policy form.  </w:t>
      </w:r>
    </w:p>
    <w:p w14:paraId="0D66ABED"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definition of Referral should be included in POS plans that require referrals.  </w:t>
      </w:r>
    </w:p>
    <w:p w14:paraId="36DE52AE"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“Actively at Work” requirement may be deleted.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14:paraId="0A169DCE"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Reasonable and Customary should only include a reference to the negotiated fee schedule if the Carrier is offering the plan using a Preferred Provider Option or a Point of Service delivery system.</w:t>
      </w:r>
    </w:p>
    <w:p w14:paraId="20B08AFB"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Waiting Period provision of the Employee Coverage Provision may be omitted or included at the option of the Employer.  If included, the period may not exceed 90 days and must satisfy the requirements of regulation.  The text may address a date certain </w:t>
      </w:r>
      <w:r w:rsidRPr="002C4F95">
        <w:rPr>
          <w:rFonts w:ascii="Times New Roman" w:eastAsia="Times New Roman" w:hAnsi="Times New Roman" w:cs="Times New Roman"/>
          <w:sz w:val="24"/>
          <w:szCs w:val="20"/>
        </w:rPr>
        <w:lastRenderedPageBreak/>
        <w:t>following a waiting period, such as first of the month following 2months.  If included, the carrier may include the bracketed definition of Waiting Period in the Definitions section.</w:t>
      </w:r>
    </w:p>
    <w:p w14:paraId="2FD079EE"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date Employee and Dependent coverage begins or ends may vary to accommodate Employer and/or Carrier administration practices.  For example, Coverage may begin as of the first of the month following any waiting period, or coverage may end immediately or may end at the end of the month following a termination event.</w:t>
      </w:r>
    </w:p>
    <w:p w14:paraId="6BE26285"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text describing provider compensation in the PPO and POS sections contains a number of bracketed words and phrases.  Include the words and </w:t>
      </w:r>
      <w:proofErr w:type="spellStart"/>
      <w:r w:rsidRPr="002C4F95">
        <w:rPr>
          <w:rFonts w:ascii="Times New Roman" w:eastAsia="Times New Roman" w:hAnsi="Times New Roman" w:cs="Times New Roman"/>
          <w:sz w:val="24"/>
          <w:szCs w:val="20"/>
        </w:rPr>
        <w:t>phases</w:t>
      </w:r>
      <w:proofErr w:type="spellEnd"/>
      <w:r w:rsidRPr="002C4F95">
        <w:rPr>
          <w:rFonts w:ascii="Times New Roman" w:eastAsia="Times New Roman" w:hAnsi="Times New Roman" w:cs="Times New Roman"/>
          <w:sz w:val="24"/>
          <w:szCs w:val="20"/>
        </w:rPr>
        <w:t xml:space="preserve"> that describe the arrangement carrier has with network providers.  </w:t>
      </w:r>
    </w:p>
    <w:p w14:paraId="66EA77F5"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continuation of care text must be included in all plans that use networks.  </w:t>
      </w:r>
    </w:p>
    <w:p w14:paraId="4C08E4B8"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treatment of hemophilia provision includes variable text that would only be included in PPO and POS plans.</w:t>
      </w:r>
    </w:p>
    <w:p w14:paraId="0C3B4435"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prescription drugs provision includes variable text that would be included by carriers that require pre-approval for specified drugs.  </w:t>
      </w:r>
    </w:p>
    <w:p w14:paraId="58B4652B"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therapy services provision includes variable text that would be included by carriers that require pre-approval for certain therapy services.</w:t>
      </w:r>
    </w:p>
    <w:p w14:paraId="1B99FA24"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method a Carrier chooses to make the optional cancer treatment benefits available will determine which transplant benefit text the Carrier would include.  For Carriers electing to include the optional cancer treatment benefits as part of the standard forms, the list of services for which Pre-Approval is required, as it appears in the Schedule of Benefits, must be modified to omit the item for autologous bone marrow transplant and associated dose intensive chemotherapy. </w:t>
      </w:r>
      <w:r w:rsidRPr="002C4F95">
        <w:rPr>
          <w:rFonts w:ascii="Times New Roman" w:eastAsia="Times New Roman" w:hAnsi="Times New Roman" w:cs="Times New Roman"/>
          <w:b/>
          <w:sz w:val="24"/>
          <w:szCs w:val="20"/>
        </w:rPr>
        <w:t xml:space="preserve"> </w:t>
      </w:r>
    </w:p>
    <w:p w14:paraId="7D1DF08B"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Utilization Review Features provisions may be omitted in their entirety, or only one section, the Required Hospital Stay Review or the Required Pre-Surgical Review section may be omitted.  If any portion of Utilization Review Features is to be included, the text must conform to the text of the standard form, except that the penalty for non-compliance may be adjusted to reflect a different percentage, or to utilize a dollar penalty.</w:t>
      </w:r>
    </w:p>
    <w:p w14:paraId="00A210EA"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Specialty Case Management provision may be omitted.  Carriers may administratively provide for such provisions.  If included in the policy and certificate, the text must conform to the text of the standard form.</w:t>
      </w:r>
    </w:p>
    <w:p w14:paraId="646FA3C4"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Centers of Excellence Features provisions may be omitted.  If included in the policy, the text must conform to the text of the standard form.</w:t>
      </w:r>
    </w:p>
    <w:p w14:paraId="29EA9057"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w:t>
      </w:r>
      <w:smartTag w:uri="urn:schemas-microsoft-com:office:smarttags" w:element="place">
        <w:smartTag w:uri="urn:schemas-microsoft-com:office:smarttags" w:element="Stat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SHOP-certified stand-alone dental plan.  Dental benefits may be limited to services provided by a network provider.  </w:t>
      </w:r>
    </w:p>
    <w:p w14:paraId="26B01B65"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that issue plans through or in conjunction with an approved Selective Contracting Arrangement must consider the following when creating the plan documents:</w:t>
      </w:r>
    </w:p>
    <w:p w14:paraId="4D17B799" w14:textId="77777777"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b/>
        <w:t xml:space="preserve">a.  The policy and certificate documents contain “SAMPLE” schedule page text.  The dollar amounts for the deductibles and copayments are purely illustrative.  </w:t>
      </w:r>
      <w:r w:rsidRPr="002C4F95">
        <w:rPr>
          <w:rFonts w:ascii="Times New Roman" w:eastAsia="Times New Roman" w:hAnsi="Times New Roman" w:cs="Times New Roman"/>
          <w:sz w:val="24"/>
          <w:szCs w:val="20"/>
        </w:rPr>
        <w:lastRenderedPageBreak/>
        <w:t xml:space="preserve">Refer to N.J.A.C. 11:21-3(d) for direction as to which amounts may be substituted for those in the example.  For plans that utilize a copay feature, the copays replace the cash deductible for the particular service, and benefits following the copay must be paid at 100%.  The dollar amounts for the copays must be consistent with those that an HMO carrier may use. </w:t>
      </w:r>
    </w:p>
    <w:p w14:paraId="21EB547B" w14:textId="77777777"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b/>
        <w:t>b.  Include the specific page of text describing either the PPO, POS or the EPO mechanism, with specification of the name of the network or provider organization.</w:t>
      </w:r>
    </w:p>
    <w:p w14:paraId="5C14BBBD" w14:textId="77777777"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p>
    <w:p w14:paraId="22731F53"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35856894"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In </w:t>
      </w:r>
      <w:r w:rsidRPr="002C4F95">
        <w:rPr>
          <w:rFonts w:ascii="Times New Roman" w:eastAsia="Times New Roman" w:hAnsi="Times New Roman" w:cs="Times New Roman"/>
          <w:b/>
          <w:sz w:val="24"/>
          <w:szCs w:val="20"/>
        </w:rPr>
        <w:t>addition</w:t>
      </w:r>
      <w:r w:rsidRPr="002C4F95">
        <w:rPr>
          <w:rFonts w:ascii="Times New Roman" w:eastAsia="Times New Roman" w:hAnsi="Times New Roman" w:cs="Times New Roman"/>
          <w:sz w:val="24"/>
          <w:szCs w:val="20"/>
        </w:rPr>
        <w:t xml:space="preserve"> to the above items, Carriers must consider the following in connection with the certificate forms:</w:t>
      </w:r>
    </w:p>
    <w:p w14:paraId="5A09BCCC"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429CBF71"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face page text may be modified to be consistent with a carrier’s methods of certificate personalization.  The certificate level data that is illustrated on the face page of the standard forms may appear on a separate schedule, or sticker, or may be incorporated in the body of the certificate.  Carriers may also elect to issue “no-name” certificates, which would fully describe eligibility and effective date provisions such that the covered persons could apply the rules to determine the terms of their coverage.</w:t>
      </w:r>
    </w:p>
    <w:p w14:paraId="12692A05"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“certificate” may be replaced with certificate booklet, certificate of insurance, employee booklet, booklet certificate, evidence of coverage, or similar titles used to identify the document provided to employees insured under an employer’s group plan.</w:t>
      </w:r>
    </w:p>
    <w:p w14:paraId="677DBEBB"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schedule data such as deductible, and copayment amounts may be included on the schedule, shown on the face page, sticker or separate schedule.</w:t>
      </w:r>
    </w:p>
    <w:p w14:paraId="5E0AFF9F"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Payment of Premiums-Grace Period section may be omitted, at the carrier’s option.</w:t>
      </w:r>
    </w:p>
    <w:p w14:paraId="66FD61FB" w14:textId="77777777"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“You, Your and Yours” may be omitted by carriers that elect to refer to the employee as Employee, rather than use the personal “You”.  Throughout the text, the words “You,” “Your” and “Yours” must be replaced with “Employee” terminology.</w:t>
      </w:r>
    </w:p>
    <w:p w14:paraId="21A4D79E" w14:textId="77777777"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p>
    <w:p w14:paraId="4BF07E6C" w14:textId="77777777" w:rsidR="001051C5" w:rsidRPr="002C4F95" w:rsidRDefault="001051C5" w:rsidP="001051C5">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 HMO Contract and Evidence of Coverage</w:t>
      </w:r>
    </w:p>
    <w:p w14:paraId="642ECDA6" w14:textId="77777777" w:rsidR="001051C5" w:rsidRPr="002C4F95" w:rsidRDefault="001051C5" w:rsidP="001051C5">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G and Y)</w:t>
      </w:r>
    </w:p>
    <w:p w14:paraId="72944007"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3C694DDF"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All text which is enclosed in brackets [ ] is variable.  Enclosure in Brackets does </w:t>
      </w:r>
      <w:r w:rsidRPr="002C4F95">
        <w:rPr>
          <w:rFonts w:ascii="Times New Roman" w:eastAsia="Times New Roman" w:hAnsi="Times New Roman" w:cs="Times New Roman"/>
          <w:b/>
          <w:i/>
          <w:sz w:val="24"/>
          <w:szCs w:val="20"/>
        </w:rPr>
        <w:t xml:space="preserve">not </w:t>
      </w:r>
      <w:r w:rsidRPr="002C4F95">
        <w:rPr>
          <w:rFonts w:ascii="Times New Roman" w:eastAsia="Times New Roman" w:hAnsi="Times New Roman" w:cs="Times New Roman"/>
          <w:sz w:val="24"/>
          <w:szCs w:val="20"/>
        </w:rPr>
        <w:t xml:space="preserve">give Carriers liberty to deviate from the standard </w:t>
      </w:r>
      <w:proofErr w:type="gramStart"/>
      <w:r w:rsidRPr="002C4F95">
        <w:rPr>
          <w:rFonts w:ascii="Times New Roman" w:eastAsia="Times New Roman" w:hAnsi="Times New Roman" w:cs="Times New Roman"/>
          <w:sz w:val="24"/>
          <w:szCs w:val="20"/>
        </w:rPr>
        <w:t>text</w:t>
      </w:r>
      <w:proofErr w:type="gramEnd"/>
      <w:r w:rsidRPr="002C4F95">
        <w:rPr>
          <w:rFonts w:ascii="Times New Roman" w:eastAsia="Times New Roman" w:hAnsi="Times New Roman" w:cs="Times New Roman"/>
          <w:sz w:val="24"/>
          <w:szCs w:val="20"/>
        </w:rPr>
        <w:t xml:space="preserve">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14:paraId="2EDD2B45"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75D1C5F0" w14:textId="77777777"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and [ABC].</w:t>
      </w:r>
    </w:p>
    <w:p w14:paraId="0BA37A28" w14:textId="77777777"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noted with brief explanations within the text.</w:t>
      </w:r>
    </w:p>
    <w:p w14:paraId="19920EA6" w14:textId="77777777"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14:paraId="1348C00A" w14:textId="77777777"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and parameters specified in statute and/or regulation.</w:t>
      </w:r>
    </w:p>
    <w:p w14:paraId="68FBE8EB" w14:textId="77777777"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14:paraId="23235C6F" w14:textId="77777777"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14:paraId="1E9DD8BB" w14:textId="77777777"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14:paraId="28903F93"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40E3A260"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Areas of variability, which may require clarification and explanation as to use, are explained below.  The order of the list is consistent with the order of appearance in Contract and Evidence of Coverage forms.</w:t>
      </w:r>
    </w:p>
    <w:p w14:paraId="77D90AA6"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5C7A70F9"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Health Care Quality Act requires carriers to specify the legal name, trade name fax and e-mail numbers.  Carriers may include this information on a separate page, immediately following the face page, as illustrated in the standard forms.  Alternatively, carriers may include this information directly on the face page.  </w:t>
      </w:r>
    </w:p>
    <w:p w14:paraId="604CE53C"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an Approved Cancer Clinical Trial and the corresponding benefit provision should be included only by those carriers that wish to make such coverage available and want to specify such coverage in the contract form.</w:t>
      </w:r>
    </w:p>
    <w:p w14:paraId="01031467"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Copayments may be elected by the Employer, subject to the availability specified in regulation.</w:t>
      </w:r>
    </w:p>
    <w:p w14:paraId="6E327294"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Deductible, coinsurance and maximum out of pocket provisions may be included for network benefits.  Applicable text to address the deductible, coinsurance and maximum out of pocket features must be included on the schedule page and in the benefit provisions.  </w:t>
      </w:r>
    </w:p>
    <w:p w14:paraId="20629CB1"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p>
    <w:p w14:paraId="0221FA29"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Actively At Work requirement can be deleted.  Federally Qualified HMOs cannot apply Active Work Requirements.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14:paraId="6C86B1C9"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method a Carrier chooses to make the optional cancer treatment benefits available will determine which transplant benefit text the Carrier would include.  </w:t>
      </w:r>
      <w:r w:rsidRPr="002C4F95">
        <w:rPr>
          <w:rFonts w:ascii="Times New Roman" w:eastAsia="Times New Roman" w:hAnsi="Times New Roman" w:cs="Times New Roman"/>
          <w:b/>
          <w:sz w:val="24"/>
          <w:szCs w:val="20"/>
        </w:rPr>
        <w:t>NOTE:</w:t>
      </w:r>
      <w:r w:rsidRPr="002C4F95">
        <w:rPr>
          <w:rFonts w:ascii="Times New Roman" w:eastAsia="Times New Roman" w:hAnsi="Times New Roman" w:cs="Times New Roman"/>
          <w:sz w:val="24"/>
          <w:szCs w:val="20"/>
        </w:rPr>
        <w:t xml:space="preserve">  ALL plans issued by a Carrier must make the optional benefit available in the same manner.</w:t>
      </w:r>
    </w:p>
    <w:p w14:paraId="065F6363"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bracketed dispensing limit text contained in the prescription drug coverage should be deleted by carriers that provide the in-plan prescription drug coverage subject to coinsurance.</w:t>
      </w:r>
    </w:p>
    <w:p w14:paraId="14747EA5"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Eligible class references can be removed.</w:t>
      </w:r>
    </w:p>
    <w:p w14:paraId="542B43D3"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The Waiting Period provision of the Employee Coverage Provision may be omitted or included at the option of the Carrier.  If included, the period may not exceed 90 days and must satisfy the requirements of regulation.  The text may address a date certain following a waiting period, such as first of the month following 60 days.  If included, the carrier may include the bracketed definition of Waiting Period in the Definitions section.</w:t>
      </w:r>
    </w:p>
    <w:p w14:paraId="1AD5E539"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date Employee and Dependent coverage begins or ends may vary to accommodate Employer and/or Carrier administration practices.  For example, Coverage may begin as of the first of the month following any waiting period, or  coverage may end immediately or may end at the end of the month following a termination event.</w:t>
      </w:r>
    </w:p>
    <w:p w14:paraId="1AC780F2"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Percentage participation requirement as noted in the Participation Requirements and in the Termination of the Policy Renewal Privilege provisions of the General Provisions may be determined by the Carrier, provided the requirements comply with the requirements permitted in Statute and regulation.</w:t>
      </w:r>
    </w:p>
    <w:p w14:paraId="72AA7118"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Transfer of Primary Care Physician can occur according to carrier </w:t>
      </w:r>
      <w:proofErr w:type="gramStart"/>
      <w:r w:rsidRPr="002C4F95">
        <w:rPr>
          <w:rFonts w:ascii="Times New Roman" w:eastAsia="Times New Roman" w:hAnsi="Times New Roman" w:cs="Times New Roman"/>
          <w:sz w:val="24"/>
          <w:szCs w:val="20"/>
        </w:rPr>
        <w:t>administration, but</w:t>
      </w:r>
      <w:proofErr w:type="gramEnd"/>
      <w:r w:rsidRPr="002C4F95">
        <w:rPr>
          <w:rFonts w:ascii="Times New Roman" w:eastAsia="Times New Roman" w:hAnsi="Times New Roman" w:cs="Times New Roman"/>
          <w:sz w:val="24"/>
          <w:szCs w:val="20"/>
        </w:rPr>
        <w:t xml:space="preserve"> may not be more restrictive to the member than stated in the form.</w:t>
      </w:r>
    </w:p>
    <w:p w14:paraId="0FC193DE"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should include variable material contained in the Provider Payment section to correctly address the compensation arrangement the carriers have with the network.</w:t>
      </w:r>
    </w:p>
    <w:p w14:paraId="10525FBA"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Carriers that wish to apply pre-approval requirements to the Prescription Drugs coverage should include the variable pre-approval text.  </w:t>
      </w:r>
    </w:p>
    <w:p w14:paraId="432F1F43"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should be included by carriers that will allow reinstatement.  The provision includes two options for a reinstatement fee.  Carriers should include the applicable text.</w:t>
      </w:r>
    </w:p>
    <w:p w14:paraId="01CF2C21"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w:t>
      </w:r>
      <w:smartTag w:uri="urn:schemas-microsoft-com:office:smarttags" w:element="place">
        <w:smartTag w:uri="urn:schemas-microsoft-com:office:smarttags" w:element="Stat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SHOP-certified stand-alone dental plan.  Dental benefits may be limited to services provided by a network provider.  </w:t>
      </w:r>
    </w:p>
    <w:p w14:paraId="03DC98DA"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40E092C7"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b/>
          <w:sz w:val="24"/>
          <w:szCs w:val="20"/>
        </w:rPr>
        <w:t>In addition</w:t>
      </w:r>
      <w:r w:rsidRPr="002C4F95">
        <w:rPr>
          <w:rFonts w:ascii="Times New Roman" w:eastAsia="Times New Roman" w:hAnsi="Times New Roman" w:cs="Times New Roman"/>
          <w:sz w:val="24"/>
          <w:szCs w:val="20"/>
        </w:rPr>
        <w:t xml:space="preserve"> to the above items, Carriers must consider the following in connection with the evidence of coverage forms:</w:t>
      </w:r>
    </w:p>
    <w:p w14:paraId="026BB3E1" w14:textId="77777777" w:rsidR="001051C5" w:rsidRPr="002C4F95" w:rsidRDefault="001051C5" w:rsidP="001051C5">
      <w:pPr>
        <w:spacing w:after="0" w:line="240" w:lineRule="auto"/>
        <w:jc w:val="both"/>
        <w:rPr>
          <w:rFonts w:ascii="Times New Roman" w:eastAsia="Times New Roman" w:hAnsi="Times New Roman" w:cs="Times New Roman"/>
          <w:sz w:val="24"/>
          <w:szCs w:val="20"/>
        </w:rPr>
      </w:pPr>
    </w:p>
    <w:p w14:paraId="78E06FE3"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face page text may be modified to be consistent with a carrier’s methods of evidence of coverage personalization.  The evidence of coverage level data that is illustrated on the face page of the standard forms may appear on a separate schedule, or sticker, or may be incorporated in the body of the document.  Carriers may also elect to issue “no-name” certificates, which would fully describe eligibility and effective date provisions such that the covered persons could apply the rules to determine the terms of their coverage.</w:t>
      </w:r>
    </w:p>
    <w:p w14:paraId="55315DAA" w14:textId="77777777"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“evidence of coverage” may be replaced with a similar term used to identify the document provided to employees covered under an employer’s group plan.</w:t>
      </w:r>
    </w:p>
    <w:p w14:paraId="61E31973" w14:textId="77777777"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p>
    <w:p w14:paraId="605430AF" w14:textId="77777777" w:rsidR="001051C5" w:rsidRDefault="001051C5" w:rsidP="001051C5"/>
    <w:p w14:paraId="18DC9699" w14:textId="77777777" w:rsidR="00D22155" w:rsidRDefault="00D22155"/>
    <w:sectPr w:rsidR="00D22155">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25E2F" w14:textId="77777777" w:rsidR="001D210E" w:rsidRDefault="001D210E">
      <w:pPr>
        <w:spacing w:after="0" w:line="240" w:lineRule="auto"/>
      </w:pPr>
      <w:r>
        <w:separator/>
      </w:r>
    </w:p>
  </w:endnote>
  <w:endnote w:type="continuationSeparator" w:id="0">
    <w:p w14:paraId="2F41977E" w14:textId="77777777" w:rsidR="001D210E" w:rsidRDefault="001D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5307" w14:textId="77777777" w:rsidR="001D210E" w:rsidRDefault="001051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82117" w14:textId="77777777" w:rsidR="001D210E" w:rsidRDefault="001D2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AA5C" w14:textId="77777777" w:rsidR="001D210E" w:rsidRDefault="001051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3477046" w14:textId="77777777" w:rsidR="001D210E" w:rsidRDefault="001D21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A2A12" w14:textId="77777777" w:rsidR="001D210E" w:rsidRDefault="001D210E">
      <w:pPr>
        <w:spacing w:after="0" w:line="240" w:lineRule="auto"/>
      </w:pPr>
      <w:r>
        <w:separator/>
      </w:r>
    </w:p>
  </w:footnote>
  <w:footnote w:type="continuationSeparator" w:id="0">
    <w:p w14:paraId="2DD4D095" w14:textId="77777777" w:rsidR="001D210E" w:rsidRDefault="001D2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22D"/>
    <w:multiLevelType w:val="singleLevel"/>
    <w:tmpl w:val="1BA4A6F6"/>
    <w:lvl w:ilvl="0">
      <w:start w:val="1"/>
      <w:numFmt w:val="decimal"/>
      <w:lvlText w:val="%1."/>
      <w:legacy w:legacy="1" w:legacySpace="0" w:legacyIndent="360"/>
      <w:lvlJc w:val="left"/>
      <w:pPr>
        <w:ind w:left="360" w:hanging="360"/>
      </w:pPr>
    </w:lvl>
  </w:abstractNum>
  <w:abstractNum w:abstractNumId="1" w15:restartNumberingAfterBreak="0">
    <w:nsid w:val="195D42AA"/>
    <w:multiLevelType w:val="singleLevel"/>
    <w:tmpl w:val="99804194"/>
    <w:lvl w:ilvl="0">
      <w:start w:val="1"/>
      <w:numFmt w:val="lowerLetter"/>
      <w:lvlText w:val="%1)"/>
      <w:legacy w:legacy="1" w:legacySpace="0" w:legacyIndent="360"/>
      <w:lvlJc w:val="left"/>
      <w:pPr>
        <w:ind w:left="360" w:hanging="360"/>
      </w:pPr>
    </w:lvl>
  </w:abstractNum>
  <w:abstractNum w:abstractNumId="2" w15:restartNumberingAfterBreak="0">
    <w:nsid w:val="232B57BF"/>
    <w:multiLevelType w:val="singleLevel"/>
    <w:tmpl w:val="1BA4A6F6"/>
    <w:lvl w:ilvl="0">
      <w:start w:val="1"/>
      <w:numFmt w:val="decimal"/>
      <w:lvlText w:val="%1."/>
      <w:legacy w:legacy="1" w:legacySpace="0" w:legacyIndent="360"/>
      <w:lvlJc w:val="left"/>
      <w:pPr>
        <w:ind w:left="360" w:hanging="360"/>
      </w:pPr>
    </w:lvl>
  </w:abstractNum>
  <w:abstractNum w:abstractNumId="3" w15:restartNumberingAfterBreak="0">
    <w:nsid w:val="5C6841CA"/>
    <w:multiLevelType w:val="singleLevel"/>
    <w:tmpl w:val="99804194"/>
    <w:lvl w:ilvl="0">
      <w:start w:val="1"/>
      <w:numFmt w:val="lowerLetter"/>
      <w:lvlText w:val="%1)"/>
      <w:legacy w:legacy="1" w:legacySpace="0" w:legacyIndent="360"/>
      <w:lvlJc w:val="left"/>
      <w:pPr>
        <w:ind w:left="360" w:hanging="360"/>
      </w:pPr>
    </w:lvl>
  </w:abstractNum>
  <w:num w:numId="1" w16cid:durableId="1185947613">
    <w:abstractNumId w:val="3"/>
  </w:num>
  <w:num w:numId="2" w16cid:durableId="589315594">
    <w:abstractNumId w:val="2"/>
  </w:num>
  <w:num w:numId="3" w16cid:durableId="379551083">
    <w:abstractNumId w:val="1"/>
  </w:num>
  <w:num w:numId="4" w16cid:durableId="20016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C5"/>
    <w:rsid w:val="001051C5"/>
    <w:rsid w:val="001D210E"/>
    <w:rsid w:val="00D2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979AA4"/>
  <w15:chartTrackingRefBased/>
  <w15:docId w15:val="{87B90CA8-BD63-4BF7-81E0-E3B8C00D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051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1C5"/>
  </w:style>
  <w:style w:type="character" w:styleId="PageNumber">
    <w:name w:val="page number"/>
    <w:basedOn w:val="DefaultParagraphFont"/>
    <w:rsid w:val="0010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2793</Words>
  <Characters>15921</Characters>
  <Application>Microsoft Office Word</Application>
  <DocSecurity>0</DocSecurity>
  <Lines>132</Lines>
  <Paragraphs>37</Paragraphs>
  <ScaleCrop>false</ScaleCrop>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Fahncke, Michael [DOBI]</cp:lastModifiedBy>
  <cp:revision>2</cp:revision>
  <dcterms:created xsi:type="dcterms:W3CDTF">2025-04-21T19:14:00Z</dcterms:created>
  <dcterms:modified xsi:type="dcterms:W3CDTF">2025-04-21T19:14:00Z</dcterms:modified>
</cp:coreProperties>
</file>