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80" w:rsidRDefault="001012B4" w:rsidP="0088283F">
      <w:pPr>
        <w:pStyle w:val="Title"/>
      </w:pPr>
      <w:bookmarkStart w:id="0" w:name="_GoBack"/>
      <w:bookmarkEnd w:id="0"/>
      <w:r>
        <w:t>Goal 1</w:t>
      </w:r>
      <w:r w:rsidR="0088283F">
        <w:t xml:space="preserve"> - Toxics Monitoring</w:t>
      </w:r>
      <w:r w:rsidR="00232327">
        <w:t xml:space="preserve"> (2020)</w:t>
      </w:r>
    </w:p>
    <w:p w:rsidR="001012B4" w:rsidRDefault="0088283F" w:rsidP="0088283F">
      <w:pPr>
        <w:pStyle w:val="Heading2"/>
      </w:pPr>
      <w:r>
        <w:t>“Continue</w:t>
      </w:r>
      <w:r w:rsidR="001012B4">
        <w:t xml:space="preserve"> support for established monitoring programs (e.g. fish tissue), and achieve expansion of toxics monitoring</w:t>
      </w:r>
      <w:r>
        <w:t xml:space="preserve"> in ambient water and sediment, by 2020”</w:t>
      </w:r>
    </w:p>
    <w:p w:rsidR="00232327" w:rsidRPr="00232327" w:rsidRDefault="00232327">
      <w:r>
        <w:rPr>
          <w:u w:val="single"/>
        </w:rPr>
        <w:br/>
      </w:r>
      <w:r w:rsidRPr="00232327">
        <w:rPr>
          <w:u w:val="single"/>
        </w:rPr>
        <w:t xml:space="preserve">Suggested Responsible </w:t>
      </w:r>
      <w:r>
        <w:rPr>
          <w:u w:val="single"/>
        </w:rPr>
        <w:t>Entities</w:t>
      </w:r>
      <w:r w:rsidRPr="00232327">
        <w:t>: DRBC</w:t>
      </w:r>
      <w:r>
        <w:t>, States, EPA, NOAA, PDE</w:t>
      </w:r>
      <w:r>
        <w:tab/>
        <w:t>Other:___________________________________________________________</w:t>
      </w:r>
    </w:p>
    <w:p w:rsidR="001012B4" w:rsidRDefault="001012B4">
      <w:r w:rsidRPr="0088283F">
        <w:rPr>
          <w:u w:val="single"/>
        </w:rPr>
        <w:t>Background:</w:t>
      </w:r>
      <w:r>
        <w:t xml:space="preserve"> </w:t>
      </w:r>
      <w:r w:rsidR="008209FE">
        <w:t xml:space="preserve">An interim step is assumed in this goal. An assessment must be conducted to recommend toxics that would benefit from additional of ambient water and sediment column testing. </w:t>
      </w:r>
    </w:p>
    <w:p w:rsidR="001012B4" w:rsidRPr="0088283F" w:rsidRDefault="001012B4">
      <w:pPr>
        <w:rPr>
          <w:u w:val="single"/>
        </w:rPr>
      </w:pPr>
      <w:r w:rsidRPr="0088283F">
        <w:rPr>
          <w:u w:val="single"/>
        </w:rPr>
        <w:t xml:space="preserve">Discussion questions: </w:t>
      </w:r>
    </w:p>
    <w:p w:rsidR="0088283F" w:rsidRDefault="0088283F" w:rsidP="0088283F">
      <w:pPr>
        <w:pStyle w:val="ListParagraph"/>
        <w:numPr>
          <w:ilvl w:val="0"/>
          <w:numId w:val="1"/>
        </w:numPr>
      </w:pPr>
      <w:r>
        <w:t xml:space="preserve">Which toxics could most benefit from additional ambient water or sediment monitoring? </w:t>
      </w:r>
    </w:p>
    <w:p w:rsidR="001012B4" w:rsidRDefault="001012B4" w:rsidP="001012B4">
      <w:pPr>
        <w:pStyle w:val="ListParagraph"/>
        <w:numPr>
          <w:ilvl w:val="0"/>
          <w:numId w:val="1"/>
        </w:numPr>
      </w:pPr>
      <w:r>
        <w:t xml:space="preserve">Which </w:t>
      </w:r>
      <w:r w:rsidR="0088283F">
        <w:t>established</w:t>
      </w:r>
      <w:r>
        <w:t xml:space="preserve"> monitoring programs are most at risk from funding cuts? </w:t>
      </w:r>
    </w:p>
    <w:p w:rsidR="0088283F" w:rsidRDefault="0088283F" w:rsidP="0088283F">
      <w:pPr>
        <w:pStyle w:val="ListParagraph"/>
        <w:numPr>
          <w:ilvl w:val="0"/>
          <w:numId w:val="1"/>
        </w:numPr>
      </w:pPr>
      <w:r>
        <w:t xml:space="preserve">Are current levels and intervals of fish tissue monitoring sufficient? </w:t>
      </w:r>
    </w:p>
    <w:p w:rsidR="001012B4" w:rsidRDefault="001012B4" w:rsidP="001012B4">
      <w:pPr>
        <w:pStyle w:val="ListParagraph"/>
        <w:numPr>
          <w:ilvl w:val="0"/>
          <w:numId w:val="1"/>
        </w:numPr>
      </w:pPr>
      <w:r>
        <w:t xml:space="preserve">Brainstorm: How could education, marketing, or outreach goals be used to improve public support for toxics monitoring? </w:t>
      </w:r>
    </w:p>
    <w:p w:rsidR="0088283F" w:rsidRDefault="0088283F"/>
    <w:p w:rsidR="001012B4" w:rsidRDefault="0088283F">
      <w:r w:rsidRPr="0088283F">
        <w:rPr>
          <w:u w:val="single"/>
        </w:rPr>
        <w:t>2020 Timeline (circle one):</w:t>
      </w:r>
      <w:r>
        <w:t xml:space="preserve"> </w:t>
      </w:r>
      <w:r>
        <w:tab/>
        <w:t>Sufficient</w:t>
      </w:r>
      <w:r>
        <w:tab/>
        <w:t>Too early</w:t>
      </w:r>
      <w:r>
        <w:tab/>
        <w:t>Too Late</w:t>
      </w:r>
      <w:r>
        <w:tab/>
        <w:t>Other:____________________</w:t>
      </w:r>
    </w:p>
    <w:p w:rsidR="0088283F" w:rsidRDefault="0088283F"/>
    <w:p w:rsidR="0088283F" w:rsidRPr="0088283F" w:rsidRDefault="0088283F">
      <w:pPr>
        <w:rPr>
          <w:u w:val="single"/>
        </w:rPr>
      </w:pPr>
      <w:r w:rsidRPr="0088283F">
        <w:rPr>
          <w:u w:val="single"/>
        </w:rPr>
        <w:t xml:space="preserve">Notes/Rewrite Goal: </w:t>
      </w:r>
    </w:p>
    <w:p w:rsidR="0088283F" w:rsidRDefault="0088283F">
      <w:pPr>
        <w:sectPr w:rsidR="0088283F" w:rsidSect="001012B4">
          <w:pgSz w:w="15840" w:h="12240" w:orient="landscape"/>
          <w:pgMar w:top="1440" w:right="1440" w:bottom="1440" w:left="1440" w:header="720" w:footer="720" w:gutter="0"/>
          <w:cols w:space="720"/>
          <w:docGrid w:linePitch="360"/>
        </w:sectPr>
      </w:pPr>
    </w:p>
    <w:p w:rsidR="0088283F" w:rsidRDefault="0088283F" w:rsidP="0088283F">
      <w:pPr>
        <w:pStyle w:val="Title"/>
      </w:pPr>
      <w:r>
        <w:lastRenderedPageBreak/>
        <w:t>Goal 2 – Contaminated Sites</w:t>
      </w:r>
      <w:r w:rsidR="00232327">
        <w:t xml:space="preserve"> (2020)</w:t>
      </w:r>
    </w:p>
    <w:p w:rsidR="0088283F" w:rsidRPr="00B06D61" w:rsidRDefault="0088283F" w:rsidP="0088283F">
      <w:pPr>
        <w:pStyle w:val="Heading2"/>
      </w:pPr>
      <w:r>
        <w:t>“</w:t>
      </w:r>
      <w:r w:rsidR="00B06D61" w:rsidRPr="00B06D61">
        <w:t>Prioritize and increase urban waterfront brownfield projects by 2017</w:t>
      </w:r>
      <w:r w:rsidR="00B06D61">
        <w:t xml:space="preserve"> (according to habitat &amp; community goals)”</w:t>
      </w:r>
    </w:p>
    <w:p w:rsidR="00232327" w:rsidRDefault="00232327" w:rsidP="00232327">
      <w:pPr>
        <w:rPr>
          <w:u w:val="single"/>
        </w:rPr>
      </w:pPr>
    </w:p>
    <w:p w:rsidR="00232327" w:rsidRPr="00232327" w:rsidRDefault="00232327" w:rsidP="00232327">
      <w:r w:rsidRPr="00232327">
        <w:rPr>
          <w:u w:val="single"/>
        </w:rPr>
        <w:t xml:space="preserve">Suggested Responsible </w:t>
      </w:r>
      <w:r>
        <w:rPr>
          <w:u w:val="single"/>
        </w:rPr>
        <w:t>Entities</w:t>
      </w:r>
      <w:r w:rsidRPr="00232327">
        <w:t xml:space="preserve">: </w:t>
      </w:r>
      <w:r>
        <w:t>States, EPA, NOAA, PDE</w:t>
      </w:r>
      <w:r>
        <w:tab/>
        <w:t>Other</w:t>
      </w:r>
      <w:proofErr w:type="gramStart"/>
      <w:r>
        <w:t>:_</w:t>
      </w:r>
      <w:proofErr w:type="gramEnd"/>
      <w:r>
        <w:t>__________________________________________________________</w:t>
      </w:r>
    </w:p>
    <w:p w:rsidR="0088283F" w:rsidRDefault="0088283F" w:rsidP="0088283F">
      <w:r w:rsidRPr="0088283F">
        <w:rPr>
          <w:u w:val="single"/>
        </w:rPr>
        <w:t>Background:</w:t>
      </w:r>
      <w:r w:rsidR="00B06D61">
        <w:t xml:space="preserve"> “EPA’s Brownfields Program empowers states, communities, and other stakeholders to work together to prevent, assess, safely cleanup, and sustainably reuse brownfields. </w:t>
      </w:r>
      <w:r w:rsidR="00B06D61" w:rsidRPr="00B06D61">
        <w:rPr>
          <w:b/>
        </w:rPr>
        <w:t>A brownfield site is a real property, the expansion, redevelopment, or reuse of which may be complicated by the presence or potential presence of a hazardous substance, pollutant, or contaminant.</w:t>
      </w:r>
      <w:r w:rsidR="00B06D61">
        <w:t xml:space="preserve"> In 2002, the Small Business Liability Relief and Brownfields Revitalization Act was passed to help states and communities around the county clean up and revitalize brownfield sites. Under this law, EPA provides financial assistance to eligible applicants through competitive grant programs for brownfields site assessment, site cleanup, revolving loan funds, area-wide planning, and job training.”</w:t>
      </w:r>
    </w:p>
    <w:p w:rsidR="00B06D61" w:rsidRDefault="00B06D61" w:rsidP="0088283F">
      <w:r>
        <w:t>-2013 – Philadelphia City Planning Commission was awarded $200K</w:t>
      </w:r>
      <w:r w:rsidR="0051073E">
        <w:t xml:space="preserve"> to develop an area-wide plan. </w:t>
      </w:r>
    </w:p>
    <w:p w:rsidR="0088283F" w:rsidRPr="0088283F" w:rsidRDefault="0088283F" w:rsidP="0088283F">
      <w:pPr>
        <w:rPr>
          <w:u w:val="single"/>
        </w:rPr>
      </w:pPr>
      <w:r w:rsidRPr="0088283F">
        <w:rPr>
          <w:u w:val="single"/>
        </w:rPr>
        <w:t xml:space="preserve">Discussion questions: </w:t>
      </w:r>
    </w:p>
    <w:p w:rsidR="0088283F" w:rsidRDefault="0051073E" w:rsidP="0088283F">
      <w:pPr>
        <w:pStyle w:val="ListParagraph"/>
        <w:numPr>
          <w:ilvl w:val="0"/>
          <w:numId w:val="2"/>
        </w:numPr>
      </w:pPr>
      <w:r>
        <w:t>What</w:t>
      </w:r>
      <w:r w:rsidR="0088283F">
        <w:t xml:space="preserve"> </w:t>
      </w:r>
      <w:r>
        <w:t xml:space="preserve">entity/partnership could develop of an estuary-wide plan for priority brownfields projects? </w:t>
      </w:r>
    </w:p>
    <w:p w:rsidR="0051073E" w:rsidRDefault="0051073E" w:rsidP="0088283F">
      <w:pPr>
        <w:pStyle w:val="ListParagraph"/>
        <w:numPr>
          <w:ilvl w:val="0"/>
          <w:numId w:val="2"/>
        </w:numPr>
      </w:pPr>
      <w:r>
        <w:t xml:space="preserve">Should brownfield projects be prioritized according to toxics of concern? </w:t>
      </w:r>
    </w:p>
    <w:p w:rsidR="00B06D61" w:rsidRDefault="00B06D61" w:rsidP="0088283F">
      <w:pPr>
        <w:rPr>
          <w:u w:val="single"/>
        </w:rPr>
      </w:pPr>
    </w:p>
    <w:p w:rsidR="0088283F" w:rsidRDefault="0088283F" w:rsidP="0088283F">
      <w:r w:rsidRPr="0088283F">
        <w:rPr>
          <w:u w:val="single"/>
        </w:rPr>
        <w:t>2020 Timeline (circle one):</w:t>
      </w:r>
      <w:r>
        <w:t xml:space="preserve"> </w:t>
      </w:r>
      <w:r>
        <w:tab/>
        <w:t>Sufficient</w:t>
      </w:r>
      <w:r>
        <w:tab/>
        <w:t>Too early</w:t>
      </w:r>
      <w:r>
        <w:tab/>
        <w:t>Too Late</w:t>
      </w:r>
      <w:r>
        <w:tab/>
        <w:t>Other:____________________</w:t>
      </w:r>
    </w:p>
    <w:p w:rsidR="0088283F" w:rsidRDefault="0088283F" w:rsidP="0088283F"/>
    <w:p w:rsidR="0088283F" w:rsidRPr="0088283F" w:rsidRDefault="0088283F" w:rsidP="0088283F">
      <w:pPr>
        <w:rPr>
          <w:u w:val="single"/>
        </w:rPr>
      </w:pPr>
      <w:r w:rsidRPr="0088283F">
        <w:rPr>
          <w:u w:val="single"/>
        </w:rPr>
        <w:t xml:space="preserve">Notes/Rewrite Goal: </w:t>
      </w:r>
    </w:p>
    <w:p w:rsidR="0088283F" w:rsidRDefault="0088283F" w:rsidP="0088283F"/>
    <w:p w:rsidR="0088283F" w:rsidRDefault="0088283F">
      <w:pPr>
        <w:sectPr w:rsidR="0088283F" w:rsidSect="001012B4">
          <w:pgSz w:w="15840" w:h="12240" w:orient="landscape"/>
          <w:pgMar w:top="1440" w:right="1440" w:bottom="1440" w:left="1440" w:header="720" w:footer="720" w:gutter="0"/>
          <w:cols w:space="720"/>
          <w:docGrid w:linePitch="360"/>
        </w:sectPr>
      </w:pPr>
    </w:p>
    <w:p w:rsidR="0088283F" w:rsidRDefault="00232327" w:rsidP="0088283F">
      <w:pPr>
        <w:pStyle w:val="Title"/>
      </w:pPr>
      <w:r>
        <w:lastRenderedPageBreak/>
        <w:t>Goal 3</w:t>
      </w:r>
      <w:r w:rsidR="0088283F">
        <w:t xml:space="preserve"> </w:t>
      </w:r>
      <w:r>
        <w:t>–</w:t>
      </w:r>
      <w:r w:rsidR="0088283F">
        <w:t xml:space="preserve"> </w:t>
      </w:r>
      <w:r>
        <w:t>Interim Criteria (2025)</w:t>
      </w:r>
    </w:p>
    <w:p w:rsidR="0088283F" w:rsidRDefault="0088283F" w:rsidP="0088283F">
      <w:pPr>
        <w:pStyle w:val="Heading2"/>
      </w:pPr>
      <w:r>
        <w:t>“</w:t>
      </w:r>
      <w:r w:rsidR="00F47F05">
        <w:t xml:space="preserve">Asses the need for and establish </w:t>
      </w:r>
      <w:r w:rsidR="00F47F05" w:rsidRPr="00F47F05">
        <w:t xml:space="preserve">criteria for </w:t>
      </w:r>
      <w:r w:rsidR="00F47F05">
        <w:t>emerging contaminants</w:t>
      </w:r>
      <w:r w:rsidR="00F47F05" w:rsidRPr="00F47F05">
        <w:t xml:space="preserve"> of </w:t>
      </w:r>
      <w:r w:rsidR="00F47F05">
        <w:t>c</w:t>
      </w:r>
      <w:r w:rsidR="00F47F05" w:rsidRPr="00F47F05">
        <w:t>oncern (</w:t>
      </w:r>
      <w:r w:rsidR="00F47F05">
        <w:t xml:space="preserve">e.g. </w:t>
      </w:r>
      <w:r w:rsidR="00F47F05" w:rsidRPr="00F47F05">
        <w:t>dioxin/furans, flame retardants, PFCs, pharmaceuticals and PCPs) by 2025</w:t>
      </w:r>
      <w:r>
        <w:t>”</w:t>
      </w:r>
    </w:p>
    <w:p w:rsidR="00232327" w:rsidRDefault="00232327" w:rsidP="00232327">
      <w:pPr>
        <w:rPr>
          <w:u w:val="single"/>
        </w:rPr>
      </w:pPr>
    </w:p>
    <w:p w:rsidR="00232327" w:rsidRPr="00232327" w:rsidRDefault="00232327" w:rsidP="00232327">
      <w:r w:rsidRPr="00232327">
        <w:rPr>
          <w:u w:val="single"/>
        </w:rPr>
        <w:t xml:space="preserve">Suggested Responsible </w:t>
      </w:r>
      <w:r>
        <w:rPr>
          <w:u w:val="single"/>
        </w:rPr>
        <w:t>Entities</w:t>
      </w:r>
      <w:r w:rsidRPr="00232327">
        <w:t>: DRBC</w:t>
      </w:r>
      <w:r>
        <w:t>, States, EPA, NOAA, PDE</w:t>
      </w:r>
      <w:r>
        <w:tab/>
        <w:t>Other:___________________________________________________________</w:t>
      </w:r>
    </w:p>
    <w:p w:rsidR="00BA2EEA" w:rsidRDefault="0088283F" w:rsidP="0088283F">
      <w:r w:rsidRPr="0088283F">
        <w:rPr>
          <w:u w:val="single"/>
        </w:rPr>
        <w:t>Background:</w:t>
      </w:r>
      <w:r>
        <w:t xml:space="preserve"> </w:t>
      </w:r>
      <w:r w:rsidR="00F47F05">
        <w:t>This process is already underway, and DRBC sub-committee is working on recommendations for criteria</w:t>
      </w:r>
      <w:r w:rsidR="00BA2EEA">
        <w:t xml:space="preserve"> for emerging contaminants of concern</w:t>
      </w:r>
      <w:r w:rsidR="00F47F05">
        <w:t>.</w:t>
      </w:r>
      <w:r w:rsidR="00BA2EEA">
        <w:t xml:space="preserve"> Once criteria are established, this sets the TMDL process in motion. </w:t>
      </w:r>
      <w:r w:rsidR="00F47F05">
        <w:t xml:space="preserve"> </w:t>
      </w:r>
      <w:r w:rsidR="00BA2EEA">
        <w:t xml:space="preserve">The assumption is that not all COC’s need criteria to be set. </w:t>
      </w:r>
    </w:p>
    <w:p w:rsidR="00EB225C" w:rsidRDefault="00EB225C" w:rsidP="0088283F">
      <w:pPr>
        <w:rPr>
          <w:u w:val="single"/>
        </w:rPr>
      </w:pPr>
    </w:p>
    <w:p w:rsidR="0088283F" w:rsidRPr="0088283F" w:rsidRDefault="0088283F" w:rsidP="0088283F">
      <w:pPr>
        <w:rPr>
          <w:u w:val="single"/>
        </w:rPr>
      </w:pPr>
      <w:r w:rsidRPr="0088283F">
        <w:rPr>
          <w:u w:val="single"/>
        </w:rPr>
        <w:t xml:space="preserve">Discussion questions: </w:t>
      </w:r>
    </w:p>
    <w:p w:rsidR="0088283F" w:rsidRDefault="00BA2EEA" w:rsidP="0088283F">
      <w:pPr>
        <w:pStyle w:val="ListParagraph"/>
        <w:numPr>
          <w:ilvl w:val="0"/>
          <w:numId w:val="3"/>
        </w:numPr>
      </w:pPr>
      <w:r>
        <w:t>Should we list examples of COC’s in this goal, or keep the wording ambiguous?</w:t>
      </w:r>
    </w:p>
    <w:p w:rsidR="00D8593D" w:rsidRDefault="00D8593D" w:rsidP="0088283F">
      <w:pPr>
        <w:pStyle w:val="ListParagraph"/>
        <w:numPr>
          <w:ilvl w:val="0"/>
          <w:numId w:val="3"/>
        </w:numPr>
      </w:pPr>
      <w:r>
        <w:t xml:space="preserve">Is 2025 appropriate </w:t>
      </w:r>
      <w:r w:rsidR="0076775F">
        <w:t xml:space="preserve">to achieve </w:t>
      </w:r>
      <w:r>
        <w:t xml:space="preserve">assessment and </w:t>
      </w:r>
      <w:r w:rsidR="0076775F">
        <w:t>criteria-</w:t>
      </w:r>
      <w:r>
        <w:t>setting for toxics?</w:t>
      </w:r>
    </w:p>
    <w:p w:rsidR="0088283F" w:rsidRDefault="0088283F" w:rsidP="0088283F"/>
    <w:p w:rsidR="0088283F" w:rsidRDefault="0088283F" w:rsidP="0088283F">
      <w:r w:rsidRPr="0088283F">
        <w:rPr>
          <w:u w:val="single"/>
        </w:rPr>
        <w:t>202</w:t>
      </w:r>
      <w:r w:rsidR="00BA2EEA">
        <w:rPr>
          <w:u w:val="single"/>
        </w:rPr>
        <w:t>5</w:t>
      </w:r>
      <w:r w:rsidRPr="0088283F">
        <w:rPr>
          <w:u w:val="single"/>
        </w:rPr>
        <w:t xml:space="preserve"> Timeline (circle one):</w:t>
      </w:r>
      <w:r>
        <w:t xml:space="preserve"> </w:t>
      </w:r>
      <w:r>
        <w:tab/>
        <w:t>Sufficient</w:t>
      </w:r>
      <w:r>
        <w:tab/>
        <w:t>Too early</w:t>
      </w:r>
      <w:r>
        <w:tab/>
        <w:t>Too Late</w:t>
      </w:r>
      <w:r>
        <w:tab/>
        <w:t>Other:____________________</w:t>
      </w:r>
    </w:p>
    <w:p w:rsidR="0088283F" w:rsidRDefault="0088283F" w:rsidP="0088283F"/>
    <w:p w:rsidR="0088283F" w:rsidRPr="0088283F" w:rsidRDefault="0088283F" w:rsidP="0088283F">
      <w:pPr>
        <w:rPr>
          <w:u w:val="single"/>
        </w:rPr>
      </w:pPr>
      <w:r w:rsidRPr="0088283F">
        <w:rPr>
          <w:u w:val="single"/>
        </w:rPr>
        <w:t xml:space="preserve">Notes/Rewrite Goal: </w:t>
      </w:r>
    </w:p>
    <w:p w:rsidR="0088283F" w:rsidRDefault="0088283F" w:rsidP="0088283F"/>
    <w:p w:rsidR="0088283F" w:rsidRDefault="0088283F">
      <w:pPr>
        <w:sectPr w:rsidR="0088283F" w:rsidSect="001012B4">
          <w:pgSz w:w="15840" w:h="12240" w:orient="landscape"/>
          <w:pgMar w:top="1440" w:right="1440" w:bottom="1440" w:left="1440" w:header="720" w:footer="720" w:gutter="0"/>
          <w:cols w:space="720"/>
          <w:docGrid w:linePitch="360"/>
        </w:sectPr>
      </w:pPr>
    </w:p>
    <w:p w:rsidR="0088283F" w:rsidRDefault="00232327" w:rsidP="0088283F">
      <w:pPr>
        <w:pStyle w:val="Title"/>
      </w:pPr>
      <w:r>
        <w:lastRenderedPageBreak/>
        <w:t>Goal 4</w:t>
      </w:r>
      <w:r w:rsidR="0088283F">
        <w:t xml:space="preserve"> </w:t>
      </w:r>
      <w:r>
        <w:t>–</w:t>
      </w:r>
      <w:r w:rsidR="0088283F">
        <w:t xml:space="preserve"> </w:t>
      </w:r>
      <w:r>
        <w:t xml:space="preserve">PCB </w:t>
      </w:r>
      <w:r w:rsidR="0048628B">
        <w:t>Total-</w:t>
      </w:r>
      <w:r>
        <w:t>Load Reduction (2025)</w:t>
      </w:r>
    </w:p>
    <w:p w:rsidR="0088283F" w:rsidRDefault="0088283F" w:rsidP="0088283F">
      <w:pPr>
        <w:pStyle w:val="Heading2"/>
      </w:pPr>
      <w:r>
        <w:t>“</w:t>
      </w:r>
      <w:r w:rsidR="00C25BC8" w:rsidRPr="00C25BC8">
        <w:t xml:space="preserve">Reduce </w:t>
      </w:r>
      <w:r w:rsidR="00C25BC8">
        <w:t xml:space="preserve">total </w:t>
      </w:r>
      <w:r w:rsidR="00C25BC8" w:rsidRPr="00C25BC8">
        <w:t xml:space="preserve">PCB loads by 25% </w:t>
      </w:r>
      <w:r w:rsidR="00C25BC8">
        <w:t>(</w:t>
      </w:r>
      <w:r w:rsidR="00C25BC8" w:rsidRPr="00C25BC8">
        <w:t>relative to 201</w:t>
      </w:r>
      <w:r w:rsidR="00C25BC8">
        <w:t>3</w:t>
      </w:r>
      <w:r w:rsidR="00C25BC8" w:rsidRPr="00C25BC8">
        <w:t xml:space="preserve"> levels by</w:t>
      </w:r>
      <w:r w:rsidR="00C25BC8">
        <w:t>)</w:t>
      </w:r>
      <w:r w:rsidR="00C25BC8" w:rsidRPr="00C25BC8">
        <w:t xml:space="preserve"> 2025</w:t>
      </w:r>
      <w:r>
        <w:t>”</w:t>
      </w:r>
    </w:p>
    <w:p w:rsidR="00232327" w:rsidRDefault="00232327" w:rsidP="00232327">
      <w:pPr>
        <w:rPr>
          <w:u w:val="single"/>
        </w:rPr>
      </w:pPr>
    </w:p>
    <w:p w:rsidR="00232327" w:rsidRPr="00232327" w:rsidRDefault="00232327" w:rsidP="00232327">
      <w:r w:rsidRPr="00232327">
        <w:rPr>
          <w:u w:val="single"/>
        </w:rPr>
        <w:t xml:space="preserve">Suggested Responsible </w:t>
      </w:r>
      <w:r>
        <w:rPr>
          <w:u w:val="single"/>
        </w:rPr>
        <w:t>Entities</w:t>
      </w:r>
      <w:r w:rsidRPr="00232327">
        <w:t>: DRBC</w:t>
      </w:r>
      <w:r>
        <w:t>, States, EPA, NOAA, PDE</w:t>
      </w:r>
      <w:r>
        <w:tab/>
        <w:t>Other:___________________________________________________________</w:t>
      </w:r>
    </w:p>
    <w:p w:rsidR="0088283F" w:rsidRDefault="0088283F" w:rsidP="0088283F">
      <w:r w:rsidRPr="0088283F">
        <w:rPr>
          <w:u w:val="single"/>
        </w:rPr>
        <w:t>Background:</w:t>
      </w:r>
      <w:r>
        <w:t xml:space="preserve"> </w:t>
      </w:r>
      <w:r w:rsidR="00C25BC8">
        <w:t xml:space="preserve">The last report issued was in 2003, and a 10-year followup report is due out in 2013. The 2013 report will set a new baseline for PCBs, which can be the starting point for this goal. The latest findings show a 46% reduction in point source loadings of PCBs between 2005-2011, however this is different from the total PCB loads in the goal. </w:t>
      </w:r>
    </w:p>
    <w:p w:rsidR="0088283F" w:rsidRPr="0088283F" w:rsidRDefault="0088283F" w:rsidP="0088283F">
      <w:pPr>
        <w:rPr>
          <w:u w:val="single"/>
        </w:rPr>
      </w:pPr>
      <w:r w:rsidRPr="0088283F">
        <w:rPr>
          <w:u w:val="single"/>
        </w:rPr>
        <w:t xml:space="preserve">Discussion questions: </w:t>
      </w:r>
    </w:p>
    <w:p w:rsidR="003A2E8C" w:rsidRDefault="003A2E8C" w:rsidP="0088283F">
      <w:pPr>
        <w:pStyle w:val="ListParagraph"/>
        <w:numPr>
          <w:ilvl w:val="0"/>
          <w:numId w:val="4"/>
        </w:numPr>
      </w:pPr>
      <w:r>
        <w:t>Total load vs. point source load –</w:t>
      </w:r>
      <w:r w:rsidR="006C3D61">
        <w:t xml:space="preserve"> all 209 or a subset of </w:t>
      </w:r>
      <w:r>
        <w:t>congeners, and recirculation of legacy pollution.</w:t>
      </w:r>
    </w:p>
    <w:p w:rsidR="003A2E8C" w:rsidRDefault="003A2E8C" w:rsidP="0088283F">
      <w:pPr>
        <w:pStyle w:val="ListParagraph"/>
        <w:numPr>
          <w:ilvl w:val="0"/>
          <w:numId w:val="4"/>
        </w:numPr>
      </w:pPr>
      <w:r>
        <w:t xml:space="preserve">Most contaminated sites have some level of remediation, but is it enough? </w:t>
      </w:r>
    </w:p>
    <w:p w:rsidR="0088283F" w:rsidRDefault="003A2E8C" w:rsidP="0088283F">
      <w:pPr>
        <w:pStyle w:val="ListParagraph"/>
        <w:numPr>
          <w:ilvl w:val="0"/>
          <w:numId w:val="4"/>
        </w:numPr>
      </w:pPr>
      <w:r>
        <w:t>Is 25% by 2025 aggressive enough?</w:t>
      </w:r>
      <w:r w:rsidR="0088283F">
        <w:t xml:space="preserve"> </w:t>
      </w:r>
    </w:p>
    <w:p w:rsidR="003E12FE" w:rsidRDefault="003E12FE" w:rsidP="003E12FE">
      <w:pPr>
        <w:pStyle w:val="ListParagraph"/>
        <w:numPr>
          <w:ilvl w:val="0"/>
          <w:numId w:val="4"/>
        </w:numPr>
      </w:pPr>
      <w:r>
        <w:t>What could sea level rise mean for PCB loadings? More contaminated sites could be vulnerable to flooding.</w:t>
      </w:r>
    </w:p>
    <w:p w:rsidR="006C3D61" w:rsidRDefault="003E12FE" w:rsidP="0088283F">
      <w:pPr>
        <w:pStyle w:val="ListParagraph"/>
        <w:numPr>
          <w:ilvl w:val="0"/>
          <w:numId w:val="4"/>
        </w:numPr>
      </w:pPr>
      <w:r>
        <w:t>How do contributions air and other non-point sources complicate this goal?</w:t>
      </w:r>
    </w:p>
    <w:p w:rsidR="0088283F" w:rsidRDefault="0088283F" w:rsidP="0088283F"/>
    <w:p w:rsidR="0088283F" w:rsidRDefault="0076775F" w:rsidP="0088283F">
      <w:r>
        <w:rPr>
          <w:u w:val="single"/>
        </w:rPr>
        <w:t>2025</w:t>
      </w:r>
      <w:r w:rsidR="0088283F" w:rsidRPr="0088283F">
        <w:rPr>
          <w:u w:val="single"/>
        </w:rPr>
        <w:t xml:space="preserve"> Timeline (circle one):</w:t>
      </w:r>
      <w:r w:rsidR="0088283F">
        <w:t xml:space="preserve"> </w:t>
      </w:r>
      <w:r w:rsidR="0088283F">
        <w:tab/>
        <w:t>Sufficient</w:t>
      </w:r>
      <w:r w:rsidR="0088283F">
        <w:tab/>
        <w:t>Too early</w:t>
      </w:r>
      <w:r w:rsidR="0088283F">
        <w:tab/>
        <w:t>Too Late</w:t>
      </w:r>
      <w:r w:rsidR="0088283F">
        <w:tab/>
        <w:t>Other:____________________</w:t>
      </w:r>
    </w:p>
    <w:p w:rsidR="0088283F" w:rsidRDefault="0088283F" w:rsidP="0088283F"/>
    <w:p w:rsidR="0088283F" w:rsidRPr="0088283F" w:rsidRDefault="0088283F" w:rsidP="0088283F">
      <w:pPr>
        <w:rPr>
          <w:u w:val="single"/>
        </w:rPr>
      </w:pPr>
      <w:r w:rsidRPr="0088283F">
        <w:rPr>
          <w:u w:val="single"/>
        </w:rPr>
        <w:t xml:space="preserve">Notes/Rewrite Goal: </w:t>
      </w:r>
    </w:p>
    <w:p w:rsidR="0088283F" w:rsidRDefault="0088283F" w:rsidP="0088283F"/>
    <w:p w:rsidR="0088283F" w:rsidRDefault="0088283F">
      <w:pPr>
        <w:sectPr w:rsidR="0088283F" w:rsidSect="001012B4">
          <w:pgSz w:w="15840" w:h="12240" w:orient="landscape"/>
          <w:pgMar w:top="1440" w:right="1440" w:bottom="1440" w:left="1440" w:header="720" w:footer="720" w:gutter="0"/>
          <w:cols w:space="720"/>
          <w:docGrid w:linePitch="360"/>
        </w:sectPr>
      </w:pPr>
    </w:p>
    <w:p w:rsidR="0088283F" w:rsidRDefault="00232327" w:rsidP="0088283F">
      <w:pPr>
        <w:pStyle w:val="Title"/>
      </w:pPr>
      <w:r>
        <w:t>Goal 5</w:t>
      </w:r>
      <w:r w:rsidR="0088283F">
        <w:t xml:space="preserve"> </w:t>
      </w:r>
      <w:r>
        <w:t>–</w:t>
      </w:r>
      <w:r w:rsidR="0088283F">
        <w:t xml:space="preserve"> </w:t>
      </w:r>
      <w:r>
        <w:t>Long-term Reductions (2050)</w:t>
      </w:r>
    </w:p>
    <w:p w:rsidR="0088283F" w:rsidRDefault="0088283F" w:rsidP="0088283F">
      <w:pPr>
        <w:pStyle w:val="Heading2"/>
      </w:pPr>
      <w:r>
        <w:t>“</w:t>
      </w:r>
      <w:r w:rsidR="005707F4" w:rsidRPr="005707F4">
        <w:t xml:space="preserve">Reduce loads of </w:t>
      </w:r>
      <w:r w:rsidR="005707F4">
        <w:t>pollutants of c</w:t>
      </w:r>
      <w:r w:rsidR="005707F4" w:rsidRPr="005707F4">
        <w:t>oncern</w:t>
      </w:r>
      <w:r w:rsidR="005707F4">
        <w:t xml:space="preserve"> associated with criteria/TMDLs by</w:t>
      </w:r>
      <w:r w:rsidR="005707F4" w:rsidRPr="005707F4">
        <w:t xml:space="preserve"> 25% by 2050</w:t>
      </w:r>
      <w:r>
        <w:t>”</w:t>
      </w:r>
    </w:p>
    <w:p w:rsidR="00232327" w:rsidRDefault="00232327" w:rsidP="00232327">
      <w:pPr>
        <w:rPr>
          <w:u w:val="single"/>
        </w:rPr>
      </w:pPr>
    </w:p>
    <w:p w:rsidR="00232327" w:rsidRPr="00232327" w:rsidRDefault="00232327" w:rsidP="00232327">
      <w:r w:rsidRPr="00232327">
        <w:rPr>
          <w:u w:val="single"/>
        </w:rPr>
        <w:t xml:space="preserve">Suggested Responsible </w:t>
      </w:r>
      <w:r>
        <w:rPr>
          <w:u w:val="single"/>
        </w:rPr>
        <w:t>Entities</w:t>
      </w:r>
      <w:r w:rsidRPr="00232327">
        <w:t>: DRBC</w:t>
      </w:r>
      <w:r>
        <w:t>, States, EPA, NOAA, PDE</w:t>
      </w:r>
      <w:r>
        <w:tab/>
        <w:t>Other:___________________________________________________________</w:t>
      </w:r>
    </w:p>
    <w:p w:rsidR="0088283F" w:rsidRDefault="0088283F" w:rsidP="0088283F">
      <w:r w:rsidRPr="0088283F">
        <w:rPr>
          <w:u w:val="single"/>
        </w:rPr>
        <w:t>Background:</w:t>
      </w:r>
      <w:r>
        <w:t xml:space="preserve"> </w:t>
      </w:r>
      <w:r w:rsidR="00232327">
        <w:t xml:space="preserve">Follows </w:t>
      </w:r>
      <w:r w:rsidR="005707F4">
        <w:t>from</w:t>
      </w:r>
      <w:r w:rsidR="00232327">
        <w:t xml:space="preserve"> Goal 3, criteria is set by 2025,</w:t>
      </w:r>
      <w:r w:rsidR="005707F4">
        <w:t xml:space="preserve"> and 25 years is allowed for 25% reductions</w:t>
      </w:r>
      <w:r w:rsidR="00232327">
        <w:t xml:space="preserve">. </w:t>
      </w:r>
      <w:r w:rsidR="00F2029D">
        <w:t>This goal applies across equally to any pollutant of concern with its criteria established by 2025.</w:t>
      </w:r>
    </w:p>
    <w:p w:rsidR="0088283F" w:rsidRPr="0088283F" w:rsidRDefault="0088283F" w:rsidP="0088283F">
      <w:pPr>
        <w:rPr>
          <w:u w:val="single"/>
        </w:rPr>
      </w:pPr>
      <w:r w:rsidRPr="0088283F">
        <w:rPr>
          <w:u w:val="single"/>
        </w:rPr>
        <w:t xml:space="preserve">Discussion questions: </w:t>
      </w:r>
    </w:p>
    <w:p w:rsidR="0088283F" w:rsidRDefault="003E12FE" w:rsidP="0088283F">
      <w:pPr>
        <w:pStyle w:val="ListParagraph"/>
        <w:numPr>
          <w:ilvl w:val="0"/>
          <w:numId w:val="5"/>
        </w:numPr>
      </w:pPr>
      <w:r>
        <w:t xml:space="preserve">25% in 25 years – </w:t>
      </w:r>
      <w:r w:rsidR="00F2029D">
        <w:t>too little</w:t>
      </w:r>
      <w:r w:rsidR="006C3D61">
        <w:t>, too much time</w:t>
      </w:r>
      <w:r w:rsidR="00F2029D">
        <w:t xml:space="preserve">? </w:t>
      </w:r>
    </w:p>
    <w:p w:rsidR="0088283F" w:rsidRDefault="0088283F" w:rsidP="0088283F"/>
    <w:p w:rsidR="0088283F" w:rsidRDefault="005707F4" w:rsidP="0088283F">
      <w:r>
        <w:rPr>
          <w:u w:val="single"/>
        </w:rPr>
        <w:t>2050</w:t>
      </w:r>
      <w:r w:rsidR="0088283F" w:rsidRPr="0088283F">
        <w:rPr>
          <w:u w:val="single"/>
        </w:rPr>
        <w:t xml:space="preserve"> Timeline (circle one):</w:t>
      </w:r>
      <w:r w:rsidR="0088283F">
        <w:t xml:space="preserve"> </w:t>
      </w:r>
      <w:r w:rsidR="0088283F">
        <w:tab/>
        <w:t>Sufficient</w:t>
      </w:r>
      <w:r w:rsidR="0088283F">
        <w:tab/>
        <w:t>Too early</w:t>
      </w:r>
      <w:r w:rsidR="0088283F">
        <w:tab/>
        <w:t>Too Late</w:t>
      </w:r>
      <w:r w:rsidR="0088283F">
        <w:tab/>
        <w:t>Other:____________________</w:t>
      </w:r>
    </w:p>
    <w:p w:rsidR="0088283F" w:rsidRDefault="0088283F" w:rsidP="0088283F"/>
    <w:p w:rsidR="0088283F" w:rsidRPr="0088283F" w:rsidRDefault="0088283F" w:rsidP="0088283F">
      <w:pPr>
        <w:rPr>
          <w:u w:val="single"/>
        </w:rPr>
      </w:pPr>
      <w:r w:rsidRPr="0088283F">
        <w:rPr>
          <w:u w:val="single"/>
        </w:rPr>
        <w:t xml:space="preserve">Notes/Rewrite Goal: </w:t>
      </w:r>
    </w:p>
    <w:p w:rsidR="0088283F" w:rsidRDefault="0088283F" w:rsidP="0088283F"/>
    <w:p w:rsidR="0088283F" w:rsidRDefault="0088283F"/>
    <w:sectPr w:rsidR="0088283F" w:rsidSect="001012B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F7D"/>
    <w:multiLevelType w:val="hybridMultilevel"/>
    <w:tmpl w:val="BCBE448A"/>
    <w:lvl w:ilvl="0" w:tplc="8E001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807217"/>
    <w:multiLevelType w:val="hybridMultilevel"/>
    <w:tmpl w:val="555E55F4"/>
    <w:lvl w:ilvl="0" w:tplc="8E001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322D24"/>
    <w:multiLevelType w:val="hybridMultilevel"/>
    <w:tmpl w:val="555E55F4"/>
    <w:lvl w:ilvl="0" w:tplc="8E001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4D7E01"/>
    <w:multiLevelType w:val="hybridMultilevel"/>
    <w:tmpl w:val="555E55F4"/>
    <w:lvl w:ilvl="0" w:tplc="8E001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E30F7F"/>
    <w:multiLevelType w:val="hybridMultilevel"/>
    <w:tmpl w:val="555E55F4"/>
    <w:lvl w:ilvl="0" w:tplc="8E001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B4"/>
    <w:rsid w:val="00015D80"/>
    <w:rsid w:val="001012B4"/>
    <w:rsid w:val="001E1495"/>
    <w:rsid w:val="00232327"/>
    <w:rsid w:val="00265AEE"/>
    <w:rsid w:val="003A2E8C"/>
    <w:rsid w:val="003E12FE"/>
    <w:rsid w:val="0048628B"/>
    <w:rsid w:val="004A4C9B"/>
    <w:rsid w:val="0051073E"/>
    <w:rsid w:val="005314EC"/>
    <w:rsid w:val="005707F4"/>
    <w:rsid w:val="006C3D61"/>
    <w:rsid w:val="00744222"/>
    <w:rsid w:val="0076775F"/>
    <w:rsid w:val="007C6D8F"/>
    <w:rsid w:val="008209FE"/>
    <w:rsid w:val="00827B67"/>
    <w:rsid w:val="0088283F"/>
    <w:rsid w:val="008C486D"/>
    <w:rsid w:val="00B06D61"/>
    <w:rsid w:val="00BA2EEA"/>
    <w:rsid w:val="00C25BC8"/>
    <w:rsid w:val="00D37009"/>
    <w:rsid w:val="00D8593D"/>
    <w:rsid w:val="00DD2571"/>
    <w:rsid w:val="00E03C23"/>
    <w:rsid w:val="00E76F5D"/>
    <w:rsid w:val="00EB225C"/>
    <w:rsid w:val="00F2029D"/>
    <w:rsid w:val="00F4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82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2B4"/>
    <w:pPr>
      <w:ind w:left="720"/>
      <w:contextualSpacing/>
    </w:pPr>
  </w:style>
  <w:style w:type="paragraph" w:styleId="Title">
    <w:name w:val="Title"/>
    <w:basedOn w:val="Normal"/>
    <w:next w:val="Normal"/>
    <w:link w:val="TitleChar"/>
    <w:uiPriority w:val="10"/>
    <w:qFormat/>
    <w:rsid w:val="008828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83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8283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06D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D61"/>
    <w:rPr>
      <w:rFonts w:ascii="Tahoma" w:hAnsi="Tahoma" w:cs="Tahoma"/>
      <w:sz w:val="16"/>
      <w:szCs w:val="16"/>
    </w:rPr>
  </w:style>
  <w:style w:type="character" w:styleId="CommentReference">
    <w:name w:val="annotation reference"/>
    <w:basedOn w:val="DefaultParagraphFont"/>
    <w:uiPriority w:val="99"/>
    <w:semiHidden/>
    <w:unhideWhenUsed/>
    <w:rsid w:val="006C3D61"/>
    <w:rPr>
      <w:sz w:val="16"/>
      <w:szCs w:val="16"/>
    </w:rPr>
  </w:style>
  <w:style w:type="paragraph" w:styleId="CommentText">
    <w:name w:val="annotation text"/>
    <w:basedOn w:val="Normal"/>
    <w:link w:val="CommentTextChar"/>
    <w:uiPriority w:val="99"/>
    <w:semiHidden/>
    <w:unhideWhenUsed/>
    <w:rsid w:val="006C3D61"/>
    <w:pPr>
      <w:spacing w:line="240" w:lineRule="auto"/>
    </w:pPr>
    <w:rPr>
      <w:sz w:val="20"/>
      <w:szCs w:val="20"/>
    </w:rPr>
  </w:style>
  <w:style w:type="character" w:customStyle="1" w:styleId="CommentTextChar">
    <w:name w:val="Comment Text Char"/>
    <w:basedOn w:val="DefaultParagraphFont"/>
    <w:link w:val="CommentText"/>
    <w:uiPriority w:val="99"/>
    <w:semiHidden/>
    <w:rsid w:val="006C3D61"/>
    <w:rPr>
      <w:sz w:val="20"/>
      <w:szCs w:val="20"/>
    </w:rPr>
  </w:style>
  <w:style w:type="paragraph" w:styleId="CommentSubject">
    <w:name w:val="annotation subject"/>
    <w:basedOn w:val="CommentText"/>
    <w:next w:val="CommentText"/>
    <w:link w:val="CommentSubjectChar"/>
    <w:uiPriority w:val="99"/>
    <w:semiHidden/>
    <w:unhideWhenUsed/>
    <w:rsid w:val="006C3D61"/>
    <w:rPr>
      <w:b/>
      <w:bCs/>
    </w:rPr>
  </w:style>
  <w:style w:type="character" w:customStyle="1" w:styleId="CommentSubjectChar">
    <w:name w:val="Comment Subject Char"/>
    <w:basedOn w:val="CommentTextChar"/>
    <w:link w:val="CommentSubject"/>
    <w:uiPriority w:val="99"/>
    <w:semiHidden/>
    <w:rsid w:val="006C3D6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82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2B4"/>
    <w:pPr>
      <w:ind w:left="720"/>
      <w:contextualSpacing/>
    </w:pPr>
  </w:style>
  <w:style w:type="paragraph" w:styleId="Title">
    <w:name w:val="Title"/>
    <w:basedOn w:val="Normal"/>
    <w:next w:val="Normal"/>
    <w:link w:val="TitleChar"/>
    <w:uiPriority w:val="10"/>
    <w:qFormat/>
    <w:rsid w:val="008828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83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8283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06D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D61"/>
    <w:rPr>
      <w:rFonts w:ascii="Tahoma" w:hAnsi="Tahoma" w:cs="Tahoma"/>
      <w:sz w:val="16"/>
      <w:szCs w:val="16"/>
    </w:rPr>
  </w:style>
  <w:style w:type="character" w:styleId="CommentReference">
    <w:name w:val="annotation reference"/>
    <w:basedOn w:val="DefaultParagraphFont"/>
    <w:uiPriority w:val="99"/>
    <w:semiHidden/>
    <w:unhideWhenUsed/>
    <w:rsid w:val="006C3D61"/>
    <w:rPr>
      <w:sz w:val="16"/>
      <w:szCs w:val="16"/>
    </w:rPr>
  </w:style>
  <w:style w:type="paragraph" w:styleId="CommentText">
    <w:name w:val="annotation text"/>
    <w:basedOn w:val="Normal"/>
    <w:link w:val="CommentTextChar"/>
    <w:uiPriority w:val="99"/>
    <w:semiHidden/>
    <w:unhideWhenUsed/>
    <w:rsid w:val="006C3D61"/>
    <w:pPr>
      <w:spacing w:line="240" w:lineRule="auto"/>
    </w:pPr>
    <w:rPr>
      <w:sz w:val="20"/>
      <w:szCs w:val="20"/>
    </w:rPr>
  </w:style>
  <w:style w:type="character" w:customStyle="1" w:styleId="CommentTextChar">
    <w:name w:val="Comment Text Char"/>
    <w:basedOn w:val="DefaultParagraphFont"/>
    <w:link w:val="CommentText"/>
    <w:uiPriority w:val="99"/>
    <w:semiHidden/>
    <w:rsid w:val="006C3D61"/>
    <w:rPr>
      <w:sz w:val="20"/>
      <w:szCs w:val="20"/>
    </w:rPr>
  </w:style>
  <w:style w:type="paragraph" w:styleId="CommentSubject">
    <w:name w:val="annotation subject"/>
    <w:basedOn w:val="CommentText"/>
    <w:next w:val="CommentText"/>
    <w:link w:val="CommentSubjectChar"/>
    <w:uiPriority w:val="99"/>
    <w:semiHidden/>
    <w:unhideWhenUsed/>
    <w:rsid w:val="006C3D61"/>
    <w:rPr>
      <w:b/>
      <w:bCs/>
    </w:rPr>
  </w:style>
  <w:style w:type="character" w:customStyle="1" w:styleId="CommentSubjectChar">
    <w:name w:val="Comment Subject Char"/>
    <w:basedOn w:val="CommentTextChar"/>
    <w:link w:val="CommentSubject"/>
    <w:uiPriority w:val="99"/>
    <w:semiHidden/>
    <w:rsid w:val="006C3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7360">
      <w:bodyDiv w:val="1"/>
      <w:marLeft w:val="0"/>
      <w:marRight w:val="0"/>
      <w:marTop w:val="0"/>
      <w:marBottom w:val="0"/>
      <w:divBdr>
        <w:top w:val="none" w:sz="0" w:space="0" w:color="auto"/>
        <w:left w:val="none" w:sz="0" w:space="0" w:color="auto"/>
        <w:bottom w:val="none" w:sz="0" w:space="0" w:color="auto"/>
        <w:right w:val="none" w:sz="0" w:space="0" w:color="auto"/>
      </w:divBdr>
    </w:div>
    <w:div w:id="1023358974">
      <w:bodyDiv w:val="1"/>
      <w:marLeft w:val="0"/>
      <w:marRight w:val="0"/>
      <w:marTop w:val="0"/>
      <w:marBottom w:val="0"/>
      <w:divBdr>
        <w:top w:val="none" w:sz="0" w:space="0" w:color="auto"/>
        <w:left w:val="none" w:sz="0" w:space="0" w:color="auto"/>
        <w:bottom w:val="none" w:sz="0" w:space="0" w:color="auto"/>
        <w:right w:val="none" w:sz="0" w:space="0" w:color="auto"/>
      </w:divBdr>
    </w:div>
    <w:div w:id="19241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Cole</dc:creator>
  <cp:lastModifiedBy>KateOh</cp:lastModifiedBy>
  <cp:revision>2</cp:revision>
  <cp:lastPrinted>2013-06-03T15:55:00Z</cp:lastPrinted>
  <dcterms:created xsi:type="dcterms:W3CDTF">2013-06-07T18:53:00Z</dcterms:created>
  <dcterms:modified xsi:type="dcterms:W3CDTF">2013-06-07T18:53:00Z</dcterms:modified>
</cp:coreProperties>
</file>