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E7A9" w14:textId="77777777" w:rsidR="008538EC" w:rsidRPr="00E10B1D" w:rsidRDefault="008538EC" w:rsidP="00E10B1D"/>
    <w:p w14:paraId="13B100CE" w14:textId="05665631" w:rsidR="008538EC" w:rsidRDefault="00706921" w:rsidP="00E10B1D">
      <w:pPr>
        <w:jc w:val="center"/>
      </w:pPr>
      <w:r>
        <w:rPr>
          <w:noProof/>
        </w:rPr>
        <w:drawing>
          <wp:inline distT="0" distB="0" distL="0" distR="0" wp14:anchorId="7617D293" wp14:editId="31181EE7">
            <wp:extent cx="5806440" cy="1021080"/>
            <wp:effectExtent l="0" t="0" r="0" b="0"/>
            <wp:docPr id="1" name="Picture 1" descr="New Jersey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75733" w14:textId="55A828CF" w:rsidR="0037393D" w:rsidRPr="008538EC" w:rsidRDefault="008538EC" w:rsidP="00E10B1D">
      <w:pPr>
        <w:pStyle w:val="Heading1"/>
        <w:jc w:val="center"/>
        <w:rPr>
          <w:rFonts w:ascii="Calibri" w:hAnsi="Calibri" w:cs="Calibri"/>
          <w:sz w:val="28"/>
          <w:szCs w:val="28"/>
          <w:u w:val="none"/>
        </w:rPr>
      </w:pPr>
      <w:r w:rsidRPr="008538EC">
        <w:rPr>
          <w:rFonts w:ascii="Calibri" w:hAnsi="Calibri" w:cs="Calibri"/>
          <w:sz w:val="28"/>
          <w:szCs w:val="28"/>
          <w:u w:val="none"/>
        </w:rPr>
        <w:t xml:space="preserve">Budget Guidelines - </w:t>
      </w:r>
      <w:r w:rsidR="0037393D" w:rsidRPr="008538EC">
        <w:rPr>
          <w:rFonts w:ascii="Calibri" w:hAnsi="Calibri" w:cs="Calibri"/>
          <w:sz w:val="28"/>
          <w:szCs w:val="28"/>
          <w:u w:val="none"/>
        </w:rPr>
        <w:t>Appendix D-2</w:t>
      </w:r>
      <w:r w:rsidR="00E10B1D">
        <w:rPr>
          <w:rFonts w:ascii="Calibri" w:hAnsi="Calibri" w:cs="Calibri"/>
          <w:sz w:val="28"/>
          <w:szCs w:val="28"/>
          <w:u w:val="none"/>
        </w:rPr>
        <w:br/>
      </w:r>
      <w:r w:rsidR="0037393D" w:rsidRPr="008538EC">
        <w:rPr>
          <w:rFonts w:ascii="Calibri" w:hAnsi="Calibri" w:cs="Calibri"/>
          <w:sz w:val="28"/>
          <w:szCs w:val="28"/>
          <w:u w:val="none"/>
        </w:rPr>
        <w:t>201</w:t>
      </w:r>
      <w:r w:rsidRPr="008538EC">
        <w:rPr>
          <w:rFonts w:ascii="Calibri" w:hAnsi="Calibri" w:cs="Calibri"/>
          <w:sz w:val="28"/>
          <w:szCs w:val="28"/>
          <w:u w:val="none"/>
        </w:rPr>
        <w:t>9</w:t>
      </w:r>
      <w:r w:rsidR="0037393D" w:rsidRPr="008538EC">
        <w:rPr>
          <w:rFonts w:ascii="Calibri" w:hAnsi="Calibri" w:cs="Calibri"/>
          <w:sz w:val="28"/>
          <w:szCs w:val="28"/>
          <w:u w:val="none"/>
        </w:rPr>
        <w:t xml:space="preserve">- </w:t>
      </w:r>
      <w:r w:rsidRPr="008538EC">
        <w:rPr>
          <w:rFonts w:ascii="Calibri" w:hAnsi="Calibri" w:cs="Calibri"/>
          <w:sz w:val="28"/>
          <w:szCs w:val="28"/>
          <w:u w:val="none"/>
        </w:rPr>
        <w:t>20</w:t>
      </w:r>
      <w:r w:rsidR="0037393D" w:rsidRPr="008538EC">
        <w:rPr>
          <w:rFonts w:ascii="Calibri" w:hAnsi="Calibri" w:cs="Calibri"/>
          <w:sz w:val="28"/>
          <w:szCs w:val="28"/>
          <w:u w:val="none"/>
        </w:rPr>
        <w:t xml:space="preserve"> Budget Review Checklist</w:t>
      </w:r>
      <w:r w:rsidR="00E10B1D">
        <w:rPr>
          <w:rFonts w:ascii="Calibri" w:hAnsi="Calibri" w:cs="Calibri"/>
          <w:sz w:val="28"/>
          <w:szCs w:val="28"/>
          <w:u w:val="none"/>
        </w:rPr>
        <w:br/>
      </w:r>
      <w:r w:rsidR="0037393D" w:rsidRPr="008538EC">
        <w:rPr>
          <w:rFonts w:ascii="Calibri" w:hAnsi="Calibri" w:cs="Calibri"/>
          <w:sz w:val="28"/>
          <w:szCs w:val="28"/>
          <w:u w:val="none"/>
        </w:rPr>
        <w:t>Executive County Superintendent/Educational Specialist Review</w:t>
      </w:r>
    </w:p>
    <w:p w14:paraId="687905BC" w14:textId="77777777" w:rsidR="0037393D" w:rsidRPr="00A20DA9" w:rsidRDefault="0037393D" w:rsidP="0037393D">
      <w:pPr>
        <w:rPr>
          <w:rFonts w:ascii="Calibri" w:hAnsi="Calibri" w:cs="Calibri"/>
          <w:b/>
          <w:sz w:val="22"/>
          <w:szCs w:val="22"/>
        </w:rPr>
      </w:pPr>
    </w:p>
    <w:p w14:paraId="05DDDEB5" w14:textId="77777777" w:rsidR="0037393D" w:rsidRPr="00A20DA9" w:rsidRDefault="0037393D" w:rsidP="0037393D">
      <w:pPr>
        <w:rPr>
          <w:rFonts w:ascii="Calibri" w:hAnsi="Calibri" w:cs="Calibri"/>
          <w:b/>
          <w:sz w:val="22"/>
          <w:szCs w:val="22"/>
        </w:rPr>
      </w:pPr>
      <w:r w:rsidRPr="00A20DA9">
        <w:rPr>
          <w:rFonts w:ascii="Calibri" w:hAnsi="Calibri" w:cs="Calibri"/>
          <w:b/>
          <w:sz w:val="22"/>
          <w:szCs w:val="22"/>
        </w:rPr>
        <w:t>District Name:</w:t>
      </w:r>
    </w:p>
    <w:p w14:paraId="2BB57E54" w14:textId="77777777" w:rsidR="0037393D" w:rsidRPr="00A20DA9" w:rsidRDefault="0037393D" w:rsidP="0037393D">
      <w:pPr>
        <w:rPr>
          <w:rFonts w:ascii="Calibri" w:hAnsi="Calibri" w:cs="Calibri"/>
          <w:b/>
          <w:sz w:val="22"/>
          <w:szCs w:val="22"/>
        </w:rPr>
      </w:pPr>
      <w:r w:rsidRPr="00A20DA9">
        <w:rPr>
          <w:rFonts w:ascii="Calibri" w:hAnsi="Calibri" w:cs="Calibri"/>
          <w:b/>
          <w:sz w:val="22"/>
          <w:szCs w:val="22"/>
        </w:rPr>
        <w:tab/>
      </w:r>
    </w:p>
    <w:p w14:paraId="6CBC154F" w14:textId="6FDD36F4" w:rsidR="0037393D" w:rsidRPr="00E10B1D" w:rsidRDefault="0037393D" w:rsidP="00E10B1D">
      <w:pPr>
        <w:pStyle w:val="Heading2"/>
      </w:pPr>
      <w:r w:rsidRPr="00E10B1D">
        <w:rPr>
          <w:rStyle w:val="Heading2Char"/>
          <w:b/>
        </w:rPr>
        <w:t>District Statement of Priorities (Supporting Documentation Tab</w:t>
      </w:r>
      <w:r w:rsidRPr="00E10B1D">
        <w:t>)</w:t>
      </w:r>
    </w:p>
    <w:p w14:paraId="068A6BC4" w14:textId="77777777" w:rsidR="0037393D" w:rsidRPr="00A20DA9" w:rsidRDefault="0037393D" w:rsidP="0037393D">
      <w:pPr>
        <w:pStyle w:val="Timesnewroman"/>
        <w:ind w:left="360"/>
        <w:jc w:val="left"/>
        <w:rPr>
          <w:rFonts w:ascii="Calibri" w:hAnsi="Calibri" w:cs="Calibri"/>
          <w:b w:val="0"/>
          <w:i w:val="0"/>
          <w:sz w:val="22"/>
          <w:szCs w:val="22"/>
        </w:rPr>
      </w:pPr>
      <w:r w:rsidRPr="00A20DA9">
        <w:rPr>
          <w:rFonts w:ascii="Calibri" w:hAnsi="Calibri" w:cs="Calibri"/>
          <w:b w:val="0"/>
          <w:bCs/>
          <w:i w:val="0"/>
          <w:sz w:val="22"/>
          <w:szCs w:val="22"/>
        </w:rPr>
        <w:t>I</w:t>
      </w:r>
      <w:r w:rsidRPr="00A20DA9">
        <w:rPr>
          <w:rFonts w:ascii="Calibri" w:hAnsi="Calibri" w:cs="Calibri"/>
          <w:b w:val="0"/>
          <w:i w:val="0"/>
          <w:sz w:val="22"/>
          <w:szCs w:val="22"/>
        </w:rPr>
        <w:t>nitiatives and priorities are shown for each of the following five categories and appear reasonable given the nature of the district and other factors: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077"/>
      </w:tblGrid>
      <w:tr w:rsidR="0037393D" w:rsidRPr="00A20DA9" w14:paraId="23EEB428" w14:textId="77777777" w:rsidTr="00E10B1D">
        <w:trPr>
          <w:tblHeader/>
        </w:trPr>
        <w:tc>
          <w:tcPr>
            <w:tcW w:w="1957" w:type="dxa"/>
          </w:tcPr>
          <w:p w14:paraId="0754FF9F" w14:textId="367BBBBE" w:rsidR="0037393D" w:rsidRPr="00A20DA9" w:rsidRDefault="00E10B1D" w:rsidP="00314AC5">
            <w:pPr>
              <w:pStyle w:val="Timesnewroman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r w:rsidR="0037393D"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</w:p>
        </w:tc>
        <w:tc>
          <w:tcPr>
            <w:tcW w:w="8077" w:type="dxa"/>
          </w:tcPr>
          <w:p w14:paraId="62DF19D4" w14:textId="4BE6AEEA" w:rsidR="0037393D" w:rsidRPr="00A20DA9" w:rsidRDefault="0037393D" w:rsidP="00314AC5">
            <w:pPr>
              <w:pStyle w:val="Timesnewroman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The District has followed the </w:t>
            </w:r>
            <w:hyperlink r:id="rId8" w:history="1">
              <w:r w:rsidRPr="00E755F2">
                <w:rPr>
                  <w:rStyle w:val="Hyperlink"/>
                  <w:rFonts w:ascii="Calibri" w:hAnsi="Calibri" w:cs="Calibri"/>
                  <w:i w:val="0"/>
                  <w:color w:val="0000FF"/>
                  <w:sz w:val="22"/>
                  <w:szCs w:val="22"/>
                </w:rPr>
                <w:t>sample format</w:t>
              </w:r>
            </w:hyperlink>
            <w:r w:rsidRPr="00E755F2">
              <w:rPr>
                <w:rFonts w:ascii="Calibri" w:hAnsi="Calibri" w:cs="Calibri"/>
                <w:i w:val="0"/>
                <w:color w:val="0000FF"/>
                <w:sz w:val="22"/>
                <w:szCs w:val="22"/>
              </w:rPr>
              <w:t xml:space="preserve"> </w:t>
            </w:r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for each priority listed:</w:t>
            </w:r>
          </w:p>
        </w:tc>
      </w:tr>
      <w:tr w:rsidR="0037393D" w:rsidRPr="00A20DA9" w14:paraId="150C17B1" w14:textId="77777777" w:rsidTr="00E10B1D">
        <w:tc>
          <w:tcPr>
            <w:tcW w:w="1957" w:type="dxa"/>
          </w:tcPr>
          <w:p w14:paraId="178229B7" w14:textId="03A1C4FA" w:rsidR="0037393D" w:rsidRPr="000D3566" w:rsidRDefault="0037393D" w:rsidP="00314AC5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7" w:type="dxa"/>
          </w:tcPr>
          <w:p w14:paraId="77871A62" w14:textId="77777777" w:rsidR="0037393D" w:rsidRPr="00A20DA9" w:rsidRDefault="0037393D" w:rsidP="0037393D">
            <w:pPr>
              <w:pStyle w:val="Timesnewroman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Maintaining our School System</w:t>
            </w:r>
          </w:p>
        </w:tc>
      </w:tr>
      <w:tr w:rsidR="0037393D" w:rsidRPr="00A20DA9" w14:paraId="015E8941" w14:textId="77777777" w:rsidTr="00E10B1D">
        <w:tc>
          <w:tcPr>
            <w:tcW w:w="1957" w:type="dxa"/>
          </w:tcPr>
          <w:p w14:paraId="0BF59EF8" w14:textId="682F8F85" w:rsidR="0037393D" w:rsidRPr="000D3566" w:rsidRDefault="0037393D" w:rsidP="00314AC5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7" w:type="dxa"/>
          </w:tcPr>
          <w:p w14:paraId="68E05660" w14:textId="77777777" w:rsidR="0037393D" w:rsidRPr="00A20DA9" w:rsidRDefault="0037393D" w:rsidP="0037393D">
            <w:pPr>
              <w:pStyle w:val="Timesnewroman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Raising Standards and Expanding Opportunities</w:t>
            </w:r>
          </w:p>
        </w:tc>
      </w:tr>
      <w:tr w:rsidR="0037393D" w:rsidRPr="00A20DA9" w14:paraId="658E6C03" w14:textId="77777777" w:rsidTr="00E10B1D">
        <w:tc>
          <w:tcPr>
            <w:tcW w:w="1957" w:type="dxa"/>
          </w:tcPr>
          <w:p w14:paraId="22C43711" w14:textId="7AB7F201" w:rsidR="0037393D" w:rsidRPr="000D3566" w:rsidRDefault="0037393D" w:rsidP="00314AC5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7" w:type="dxa"/>
          </w:tcPr>
          <w:p w14:paraId="5C814059" w14:textId="77777777" w:rsidR="0037393D" w:rsidRPr="00A20DA9" w:rsidRDefault="0037393D" w:rsidP="0037393D">
            <w:pPr>
              <w:pStyle w:val="Timesnewroman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Building Professionalism</w:t>
            </w:r>
          </w:p>
        </w:tc>
      </w:tr>
      <w:tr w:rsidR="0037393D" w:rsidRPr="00A20DA9" w14:paraId="6FAD3442" w14:textId="77777777" w:rsidTr="00E10B1D">
        <w:tc>
          <w:tcPr>
            <w:tcW w:w="1957" w:type="dxa"/>
          </w:tcPr>
          <w:p w14:paraId="23D290CC" w14:textId="6283194C" w:rsidR="0037393D" w:rsidRPr="000D3566" w:rsidRDefault="0037393D" w:rsidP="00314AC5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7" w:type="dxa"/>
          </w:tcPr>
          <w:p w14:paraId="6009B68D" w14:textId="77777777" w:rsidR="0037393D" w:rsidRPr="00A20DA9" w:rsidRDefault="0037393D" w:rsidP="0037393D">
            <w:pPr>
              <w:pStyle w:val="Timesnewroman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Protecting our Investments (Capital and Maintenance Projects/Capital Reserve)</w:t>
            </w:r>
          </w:p>
        </w:tc>
      </w:tr>
      <w:tr w:rsidR="0037393D" w:rsidRPr="00A20DA9" w14:paraId="558BD263" w14:textId="77777777" w:rsidTr="00E10B1D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D8A" w14:textId="584EF591" w:rsidR="0037393D" w:rsidRPr="000D3566" w:rsidRDefault="0037393D" w:rsidP="00314AC5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0D3" w14:textId="77777777" w:rsidR="0037393D" w:rsidRPr="00A20DA9" w:rsidRDefault="0037393D" w:rsidP="0037393D">
            <w:pPr>
              <w:pStyle w:val="Timesnewroman"/>
              <w:numPr>
                <w:ilvl w:val="0"/>
                <w:numId w:val="1"/>
              </w:numPr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proofErr w:type="gramStart"/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Planning for the Future</w:t>
            </w:r>
            <w:proofErr w:type="gramEnd"/>
          </w:p>
        </w:tc>
      </w:tr>
    </w:tbl>
    <w:p w14:paraId="70130198" w14:textId="13EE28FC" w:rsidR="0037393D" w:rsidRPr="00E755F2" w:rsidRDefault="0037393D" w:rsidP="0037393D">
      <w:pPr>
        <w:pStyle w:val="Timesnewroman"/>
        <w:tabs>
          <w:tab w:val="left" w:pos="270"/>
        </w:tabs>
        <w:ind w:left="36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 xml:space="preserve">Priorities should include information regarding readiness for </w:t>
      </w:r>
      <w:r w:rsidR="00A92D25"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>state assessment</w:t>
      </w: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 xml:space="preserve"> testing, including hardware/device purchases and maintenance, software purchases, acquisition of broadband internet service technologies, and personnel resources necessary to successfully implement </w:t>
      </w:r>
      <w:r w:rsidR="00A92D25"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>state assessment</w:t>
      </w: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 xml:space="preserve"> tests.</w:t>
      </w:r>
    </w:p>
    <w:p w14:paraId="2431180F" w14:textId="77777777" w:rsidR="0037393D" w:rsidRPr="005267EE" w:rsidRDefault="0037393D" w:rsidP="0037393D">
      <w:pPr>
        <w:pStyle w:val="Timesnewroman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</w:p>
    <w:p w14:paraId="0A74CA66" w14:textId="77777777" w:rsidR="0037393D" w:rsidRPr="00E10B1D" w:rsidRDefault="0037393D" w:rsidP="00E10B1D">
      <w:pPr>
        <w:pStyle w:val="Heading2"/>
        <w:rPr>
          <w:b w:val="0"/>
          <w:i/>
          <w:color w:val="000000"/>
        </w:rPr>
      </w:pPr>
      <w:r w:rsidRPr="00E10B1D">
        <w:rPr>
          <w:rStyle w:val="Heading2Char"/>
          <w:b/>
        </w:rPr>
        <w:t>New Jersey Student Learning Standards (NJSLS) (Supporting Documentation Tab</w:t>
      </w:r>
      <w:r w:rsidRPr="00E10B1D">
        <w:rPr>
          <w:b w:val="0"/>
          <w:color w:val="000000"/>
        </w:rPr>
        <w:t>)</w:t>
      </w:r>
    </w:p>
    <w:p w14:paraId="3D856174" w14:textId="77777777" w:rsidR="0037393D" w:rsidRPr="00A20DA9" w:rsidRDefault="0037393D" w:rsidP="0037393D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</w:rPr>
      </w:pPr>
      <w:r w:rsidRPr="00A20DA9">
        <w:rPr>
          <w:rFonts w:ascii="Calibri" w:hAnsi="Calibri" w:cs="Calibri"/>
          <w:sz w:val="22"/>
          <w:szCs w:val="22"/>
        </w:rPr>
        <w:t>Information regarding new programs or enhancements to existing programs that will ensure implementation of the nine NJSLS in the budget year are provided and appear reasonable: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077"/>
      </w:tblGrid>
      <w:tr w:rsidR="0037393D" w:rsidRPr="00A20DA9" w14:paraId="065A8C2B" w14:textId="77777777" w:rsidTr="00E10B1D">
        <w:trPr>
          <w:tblHeader/>
        </w:trPr>
        <w:tc>
          <w:tcPr>
            <w:tcW w:w="1957" w:type="dxa"/>
          </w:tcPr>
          <w:p w14:paraId="40F87409" w14:textId="3A4CD901" w:rsidR="0037393D" w:rsidRPr="00A20DA9" w:rsidRDefault="00E10B1D" w:rsidP="00314AC5">
            <w:pPr>
              <w:pStyle w:val="Timesnewroman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r w:rsidR="0037393D"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</w:p>
        </w:tc>
        <w:tc>
          <w:tcPr>
            <w:tcW w:w="8077" w:type="dxa"/>
          </w:tcPr>
          <w:p w14:paraId="16884F65" w14:textId="77777777" w:rsidR="0037393D" w:rsidRPr="00A20DA9" w:rsidRDefault="0037393D" w:rsidP="00314AC5">
            <w:pPr>
              <w:pStyle w:val="Timesnewroman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i w:val="0"/>
                <w:sz w:val="22"/>
                <w:szCs w:val="22"/>
              </w:rPr>
              <w:t>Standard</w:t>
            </w:r>
          </w:p>
        </w:tc>
      </w:tr>
      <w:tr w:rsidR="003232E4" w:rsidRPr="00A20DA9" w14:paraId="4779098D" w14:textId="77777777" w:rsidTr="00E10B1D">
        <w:tc>
          <w:tcPr>
            <w:tcW w:w="1957" w:type="dxa"/>
          </w:tcPr>
          <w:p w14:paraId="5AC0031E" w14:textId="0425520A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13448A44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Math</w:t>
            </w:r>
          </w:p>
        </w:tc>
      </w:tr>
      <w:tr w:rsidR="003232E4" w:rsidRPr="00A20DA9" w14:paraId="1CB263A0" w14:textId="77777777" w:rsidTr="00E10B1D">
        <w:tc>
          <w:tcPr>
            <w:tcW w:w="1957" w:type="dxa"/>
          </w:tcPr>
          <w:p w14:paraId="09703E91" w14:textId="26C90068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321CFA12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Science</w:t>
            </w:r>
          </w:p>
        </w:tc>
      </w:tr>
      <w:tr w:rsidR="003232E4" w:rsidRPr="00A20DA9" w14:paraId="7C35C9B0" w14:textId="77777777" w:rsidTr="00E10B1D">
        <w:tc>
          <w:tcPr>
            <w:tcW w:w="1957" w:type="dxa"/>
          </w:tcPr>
          <w:p w14:paraId="02A4B7DD" w14:textId="08216728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042E3862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English Language Arts</w:t>
            </w:r>
          </w:p>
        </w:tc>
      </w:tr>
      <w:tr w:rsidR="003232E4" w:rsidRPr="00A20DA9" w14:paraId="12AB7585" w14:textId="77777777" w:rsidTr="00E10B1D">
        <w:tc>
          <w:tcPr>
            <w:tcW w:w="1957" w:type="dxa"/>
          </w:tcPr>
          <w:p w14:paraId="36875DB7" w14:textId="047F270D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0222F8B2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Social Studies</w:t>
            </w:r>
          </w:p>
        </w:tc>
      </w:tr>
      <w:tr w:rsidR="003232E4" w:rsidRPr="00A20DA9" w14:paraId="6F123580" w14:textId="77777777" w:rsidTr="00E10B1D">
        <w:tc>
          <w:tcPr>
            <w:tcW w:w="1957" w:type="dxa"/>
          </w:tcPr>
          <w:p w14:paraId="56C83347" w14:textId="1D09D612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596411F8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21</w:t>
            </w: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  <w:vertAlign w:val="superscript"/>
              </w:rPr>
              <w:t>st</w:t>
            </w: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 xml:space="preserve"> Century Life &amp; Careers</w:t>
            </w:r>
          </w:p>
        </w:tc>
      </w:tr>
      <w:tr w:rsidR="003232E4" w:rsidRPr="00A20DA9" w14:paraId="09F1E483" w14:textId="77777777" w:rsidTr="00E10B1D">
        <w:tc>
          <w:tcPr>
            <w:tcW w:w="1957" w:type="dxa"/>
          </w:tcPr>
          <w:p w14:paraId="289B6A9C" w14:textId="1D663ACC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6D55A6EE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Visual &amp; Performing Arts</w:t>
            </w:r>
          </w:p>
        </w:tc>
      </w:tr>
      <w:tr w:rsidR="003232E4" w:rsidRPr="00A20DA9" w14:paraId="63A67428" w14:textId="77777777" w:rsidTr="00E10B1D">
        <w:tc>
          <w:tcPr>
            <w:tcW w:w="1957" w:type="dxa"/>
          </w:tcPr>
          <w:p w14:paraId="1FD8265F" w14:textId="75EA57CF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4244C781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Comprehensive Health &amp; Physical Education</w:t>
            </w:r>
          </w:p>
        </w:tc>
      </w:tr>
      <w:tr w:rsidR="003232E4" w:rsidRPr="00A20DA9" w14:paraId="22CF0D1D" w14:textId="77777777" w:rsidTr="00E10B1D">
        <w:tc>
          <w:tcPr>
            <w:tcW w:w="1957" w:type="dxa"/>
          </w:tcPr>
          <w:p w14:paraId="03C309A3" w14:textId="3A3786C7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6C55634A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World Languages</w:t>
            </w:r>
          </w:p>
        </w:tc>
      </w:tr>
      <w:tr w:rsidR="003232E4" w:rsidRPr="00A20DA9" w14:paraId="1D087354" w14:textId="77777777" w:rsidTr="00E10B1D">
        <w:tc>
          <w:tcPr>
            <w:tcW w:w="1957" w:type="dxa"/>
          </w:tcPr>
          <w:p w14:paraId="7C36D57E" w14:textId="7F3A4D64" w:rsidR="003232E4" w:rsidRPr="000D3566" w:rsidRDefault="003232E4" w:rsidP="003232E4">
            <w:pPr>
              <w:pStyle w:val="Timesnewroman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</w:p>
        </w:tc>
        <w:tc>
          <w:tcPr>
            <w:tcW w:w="8077" w:type="dxa"/>
          </w:tcPr>
          <w:p w14:paraId="5EA9394F" w14:textId="77777777" w:rsidR="003232E4" w:rsidRPr="00A20DA9" w:rsidRDefault="003232E4" w:rsidP="003232E4">
            <w:pPr>
              <w:pStyle w:val="Timesnewroman"/>
              <w:numPr>
                <w:ilvl w:val="0"/>
                <w:numId w:val="2"/>
              </w:numPr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  <w:t>Technology</w:t>
            </w:r>
          </w:p>
        </w:tc>
      </w:tr>
    </w:tbl>
    <w:p w14:paraId="683D1902" w14:textId="77777777" w:rsidR="0037393D" w:rsidRPr="00A20DA9" w:rsidRDefault="0037393D" w:rsidP="0037393D">
      <w:pPr>
        <w:pStyle w:val="Timesnewroman"/>
        <w:ind w:left="360"/>
        <w:jc w:val="left"/>
        <w:rPr>
          <w:rFonts w:ascii="Calibri" w:hAnsi="Calibri" w:cs="Calibri"/>
          <w:b w:val="0"/>
          <w:bCs/>
          <w:i w:val="0"/>
          <w:spacing w:val="-3"/>
          <w:sz w:val="22"/>
          <w:szCs w:val="22"/>
        </w:rPr>
      </w:pPr>
      <w:r w:rsidRPr="00A20DA9">
        <w:rPr>
          <w:rFonts w:ascii="Calibri" w:hAnsi="Calibri" w:cs="Calibri"/>
          <w:b w:val="0"/>
          <w:bCs/>
          <w:i w:val="0"/>
          <w:spacing w:val="-3"/>
          <w:sz w:val="22"/>
          <w:szCs w:val="22"/>
        </w:rPr>
        <w:t>If the district is having low achievement or fails to meet NJSLS, does the district appear to be addressing these? If not, propose recommendations to address known causes/factors.</w:t>
      </w:r>
    </w:p>
    <w:p w14:paraId="0AF5441C" w14:textId="77777777" w:rsidR="0037393D" w:rsidRPr="00A20DA9" w:rsidRDefault="0037393D" w:rsidP="0037393D">
      <w:pPr>
        <w:pStyle w:val="Timesnewroman"/>
        <w:ind w:left="45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</w:p>
    <w:p w14:paraId="7E42AC9A" w14:textId="77777777" w:rsidR="0037393D" w:rsidRPr="00924F1C" w:rsidRDefault="0037393D" w:rsidP="00924F1C">
      <w:pPr>
        <w:pStyle w:val="Heading2"/>
        <w:rPr>
          <w:b w:val="0"/>
          <w:i/>
          <w:color w:val="000000"/>
        </w:rPr>
      </w:pPr>
      <w:r w:rsidRPr="00924F1C">
        <w:rPr>
          <w:rStyle w:val="Heading2Char"/>
          <w:b/>
        </w:rPr>
        <w:t>Preschool Education Aid and Preschool Education Expansion Aid (Budget Tab</w:t>
      </w:r>
      <w:r w:rsidRPr="00924F1C">
        <w:rPr>
          <w:b w:val="0"/>
          <w:color w:val="000000"/>
        </w:rPr>
        <w:t>)</w:t>
      </w:r>
    </w:p>
    <w:p w14:paraId="5EE48641" w14:textId="77777777" w:rsidR="0037393D" w:rsidRPr="00A20DA9" w:rsidRDefault="0037393D" w:rsidP="008538EC">
      <w:pPr>
        <w:pStyle w:val="Timesnewroman"/>
        <w:keepNext/>
        <w:ind w:left="36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>Only for Districts who receive Preschool Education Aid (PEA) and Preschool Education Expansion Aid (PEEA):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8077"/>
      </w:tblGrid>
      <w:tr w:rsidR="0037393D" w:rsidRPr="00A20DA9" w14:paraId="1380CB9F" w14:textId="77777777" w:rsidTr="00E10B1D">
        <w:trPr>
          <w:tblHeader/>
        </w:trPr>
        <w:tc>
          <w:tcPr>
            <w:tcW w:w="1957" w:type="dxa"/>
          </w:tcPr>
          <w:p w14:paraId="7FFF649E" w14:textId="6D435BF3" w:rsidR="0037393D" w:rsidRPr="00A20DA9" w:rsidRDefault="00E10B1D" w:rsidP="008538EC">
            <w:pPr>
              <w:pStyle w:val="Timesnewroman"/>
              <w:keepNext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r w:rsidR="0037393D"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</w:p>
        </w:tc>
        <w:tc>
          <w:tcPr>
            <w:tcW w:w="8077" w:type="dxa"/>
          </w:tcPr>
          <w:p w14:paraId="03C40F04" w14:textId="77777777" w:rsidR="0037393D" w:rsidRPr="00A20DA9" w:rsidRDefault="0037393D" w:rsidP="008538EC">
            <w:pPr>
              <w:pStyle w:val="BodyTextIndent3"/>
              <w:keepNext/>
              <w:tabs>
                <w:tab w:val="clear" w:pos="0"/>
                <w:tab w:val="clear" w:pos="720"/>
              </w:tabs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A20DA9">
              <w:rPr>
                <w:rFonts w:ascii="Calibri" w:hAnsi="Calibri" w:cs="Calibri"/>
                <w:b/>
                <w:sz w:val="22"/>
                <w:szCs w:val="22"/>
              </w:rPr>
              <w:t>PEA and PEEA Review Item</w:t>
            </w:r>
          </w:p>
        </w:tc>
      </w:tr>
      <w:tr w:rsidR="0037393D" w:rsidRPr="00A20DA9" w14:paraId="294DCAE2" w14:textId="77777777" w:rsidTr="00E10B1D">
        <w:tc>
          <w:tcPr>
            <w:tcW w:w="1957" w:type="dxa"/>
          </w:tcPr>
          <w:p w14:paraId="4F104AF5" w14:textId="7DCC1A27" w:rsidR="0037393D" w:rsidRPr="000D3566" w:rsidRDefault="0037393D" w:rsidP="008538EC">
            <w:pPr>
              <w:pStyle w:val="Timesnewroman"/>
              <w:keepNext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077" w:type="dxa"/>
          </w:tcPr>
          <w:p w14:paraId="3F187BAF" w14:textId="2B0E57F8" w:rsidR="0037393D" w:rsidRPr="00A20DA9" w:rsidRDefault="0037393D" w:rsidP="008538EC">
            <w:pPr>
              <w:pStyle w:val="BodyTextIndent3"/>
              <w:keepNext/>
              <w:tabs>
                <w:tab w:val="clear" w:pos="0"/>
                <w:tab w:val="clear" w:pos="720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A20DA9">
              <w:rPr>
                <w:rFonts w:ascii="Calibri" w:hAnsi="Calibri" w:cs="Calibri"/>
                <w:sz w:val="22"/>
                <w:szCs w:val="22"/>
              </w:rPr>
              <w:t>PEA and PEEA, if provided, is budgeted properly.</w:t>
            </w:r>
          </w:p>
        </w:tc>
      </w:tr>
    </w:tbl>
    <w:p w14:paraId="775F739C" w14:textId="66D0D6CB" w:rsidR="0037393D" w:rsidRPr="00A20DA9" w:rsidRDefault="0037393D" w:rsidP="0037393D">
      <w:pPr>
        <w:pStyle w:val="Timesnewroman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</w:p>
    <w:p w14:paraId="23E325C7" w14:textId="2D531171" w:rsidR="0037393D" w:rsidRPr="00A20DA9" w:rsidRDefault="0037393D" w:rsidP="0037393D">
      <w:pPr>
        <w:pStyle w:val="Timesnewroman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i w:val="0"/>
          <w:color w:val="000000"/>
          <w:sz w:val="22"/>
          <w:szCs w:val="22"/>
        </w:rPr>
        <w:t>Name of Educational Specialist or Executive County Superintendent Reviewer:</w:t>
      </w:r>
    </w:p>
    <w:p w14:paraId="5C2D11BE" w14:textId="34C13A37" w:rsidR="00314AC5" w:rsidRPr="00A20DA9" w:rsidRDefault="0037393D" w:rsidP="0037393D">
      <w:pPr>
        <w:pStyle w:val="Timesnewroman"/>
        <w:tabs>
          <w:tab w:val="left" w:pos="8658"/>
        </w:tabs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i w:val="0"/>
          <w:color w:val="000000"/>
          <w:sz w:val="22"/>
          <w:szCs w:val="22"/>
        </w:rPr>
        <w:t>Date:</w:t>
      </w:r>
    </w:p>
    <w:p w14:paraId="73E31E81" w14:textId="2698062C" w:rsidR="00A20DA9" w:rsidRPr="00A20DA9" w:rsidRDefault="00A20DA9" w:rsidP="00A20DA9">
      <w:pPr>
        <w:pStyle w:val="Timesnewroman"/>
        <w:jc w:val="left"/>
        <w:rPr>
          <w:rFonts w:ascii="Calibri" w:hAnsi="Calibri" w:cs="Calibri"/>
          <w:sz w:val="22"/>
          <w:szCs w:val="22"/>
        </w:rPr>
      </w:pPr>
      <w:r w:rsidRPr="00A20DA9">
        <w:rPr>
          <w:rStyle w:val="Heading2Char"/>
          <w:rFonts w:ascii="Calibri" w:hAnsi="Calibri"/>
          <w:i w:val="0"/>
        </w:rPr>
        <w:t>Other Comments</w:t>
      </w:r>
      <w:r w:rsidRPr="00A20DA9">
        <w:rPr>
          <w:rFonts w:ascii="Calibri" w:hAnsi="Calibri" w:cs="Calibri"/>
          <w:i w:val="0"/>
          <w:color w:val="000000"/>
          <w:sz w:val="22"/>
          <w:szCs w:val="22"/>
        </w:rPr>
        <w:t>:</w:t>
      </w:r>
    </w:p>
    <w:sectPr w:rsidR="00A20DA9" w:rsidRPr="00A20DA9" w:rsidSect="00314AC5">
      <w:headerReference w:type="default" r:id="rId9"/>
      <w:footerReference w:type="default" r:id="rId10"/>
      <w:pgSz w:w="12240" w:h="15840" w:code="1"/>
      <w:pgMar w:top="360" w:right="864" w:bottom="331" w:left="864" w:header="0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2BB4" w14:textId="77777777" w:rsidR="007810EF" w:rsidRDefault="00A7598A">
      <w:r>
        <w:separator/>
      </w:r>
    </w:p>
  </w:endnote>
  <w:endnote w:type="continuationSeparator" w:id="0">
    <w:p w14:paraId="475822A0" w14:textId="77777777" w:rsidR="007810EF" w:rsidRDefault="00A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575F6" w14:textId="43711169" w:rsidR="008538EC" w:rsidRDefault="00533098" w:rsidP="008538EC">
    <w:pPr>
      <w:pStyle w:val="Footer"/>
      <w:jc w:val="center"/>
    </w:pPr>
    <w:r>
      <w:t xml:space="preserve"> Appendix </w:t>
    </w:r>
    <w:r w:rsidR="008538EC">
      <w:t>D</w:t>
    </w:r>
    <w:r w:rsidR="00D55E08">
      <w:t>2</w:t>
    </w:r>
    <w:r w:rsidR="008538EC">
      <w:t>-</w:t>
    </w:r>
    <w:r w:rsidR="008538EC">
      <w:fldChar w:fldCharType="begin"/>
    </w:r>
    <w:r w:rsidR="008538EC">
      <w:instrText xml:space="preserve"> PAGE   \* MERGEFORMAT </w:instrText>
    </w:r>
    <w:r w:rsidR="008538EC">
      <w:fldChar w:fldCharType="separate"/>
    </w:r>
    <w:r w:rsidR="008538EC">
      <w:rPr>
        <w:noProof/>
      </w:rPr>
      <w:t>2</w:t>
    </w:r>
    <w:r w:rsidR="008538EC">
      <w:rPr>
        <w:noProof/>
      </w:rPr>
      <w:fldChar w:fldCharType="end"/>
    </w:r>
  </w:p>
  <w:p w14:paraId="714FA447" w14:textId="39A63D2B" w:rsidR="00314AC5" w:rsidRDefault="00314AC5" w:rsidP="00853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E86AE" w14:textId="77777777" w:rsidR="007810EF" w:rsidRDefault="00A7598A">
      <w:r>
        <w:separator/>
      </w:r>
    </w:p>
  </w:footnote>
  <w:footnote w:type="continuationSeparator" w:id="0">
    <w:p w14:paraId="0787BE73" w14:textId="77777777" w:rsidR="007810EF" w:rsidRDefault="00A7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05C8" w14:textId="02C1C516" w:rsidR="00137AE6" w:rsidRDefault="00137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26554"/>
    <w:multiLevelType w:val="hybridMultilevel"/>
    <w:tmpl w:val="48DC7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87DC8"/>
    <w:multiLevelType w:val="hybridMultilevel"/>
    <w:tmpl w:val="DCA2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D"/>
    <w:rsid w:val="000D3566"/>
    <w:rsid w:val="00137AE6"/>
    <w:rsid w:val="002D6536"/>
    <w:rsid w:val="00314AC5"/>
    <w:rsid w:val="003232E4"/>
    <w:rsid w:val="00342E66"/>
    <w:rsid w:val="00343535"/>
    <w:rsid w:val="0037393D"/>
    <w:rsid w:val="003B56F7"/>
    <w:rsid w:val="00466991"/>
    <w:rsid w:val="005267EE"/>
    <w:rsid w:val="00533098"/>
    <w:rsid w:val="00566665"/>
    <w:rsid w:val="00631F23"/>
    <w:rsid w:val="00673439"/>
    <w:rsid w:val="006A757D"/>
    <w:rsid w:val="006B0880"/>
    <w:rsid w:val="00706921"/>
    <w:rsid w:val="007810EF"/>
    <w:rsid w:val="008538EC"/>
    <w:rsid w:val="00924F1C"/>
    <w:rsid w:val="009C6F51"/>
    <w:rsid w:val="00A20DA9"/>
    <w:rsid w:val="00A7598A"/>
    <w:rsid w:val="00A92D25"/>
    <w:rsid w:val="00AB727D"/>
    <w:rsid w:val="00AE1992"/>
    <w:rsid w:val="00C65CA1"/>
    <w:rsid w:val="00D55E08"/>
    <w:rsid w:val="00E10B1D"/>
    <w:rsid w:val="00E755F2"/>
    <w:rsid w:val="00EA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3518F"/>
  <w15:chartTrackingRefBased/>
  <w15:docId w15:val="{74C9FCEB-CC7B-4BB4-ADBA-AB422A0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93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7393D"/>
    <w:pPr>
      <w:keepNext/>
      <w:tabs>
        <w:tab w:val="left" w:pos="1080"/>
      </w:tabs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Timesnewroman"/>
    <w:next w:val="Normal"/>
    <w:link w:val="Heading2Char"/>
    <w:uiPriority w:val="9"/>
    <w:unhideWhenUsed/>
    <w:qFormat/>
    <w:rsid w:val="00E10B1D"/>
    <w:pPr>
      <w:jc w:val="left"/>
      <w:outlineLvl w:val="1"/>
    </w:pPr>
    <w:rPr>
      <w:rFonts w:ascii="Calibri" w:hAnsi="Calibri" w:cs="Calibri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393D"/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Timesnewroman">
    <w:name w:val="Times new roman"/>
    <w:basedOn w:val="Title"/>
    <w:rsid w:val="0037393D"/>
    <w:pPr>
      <w:contextualSpacing w:val="0"/>
      <w:jc w:val="center"/>
    </w:pPr>
    <w:rPr>
      <w:rFonts w:ascii="Arial" w:hAnsi="Arial"/>
      <w:b/>
      <w:i/>
      <w:spacing w:val="0"/>
      <w:kern w:val="0"/>
      <w:sz w:val="28"/>
      <w:szCs w:val="28"/>
    </w:rPr>
  </w:style>
  <w:style w:type="paragraph" w:styleId="Header">
    <w:name w:val="header"/>
    <w:basedOn w:val="Normal"/>
    <w:link w:val="HeaderChar"/>
    <w:rsid w:val="003739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739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7393D"/>
    <w:pPr>
      <w:widowControl w:val="0"/>
      <w:tabs>
        <w:tab w:val="left" w:pos="-720"/>
        <w:tab w:val="left" w:pos="0"/>
        <w:tab w:val="left" w:pos="720"/>
      </w:tabs>
      <w:suppressAutoHyphens/>
      <w:ind w:left="720" w:hanging="720"/>
    </w:pPr>
    <w:rPr>
      <w:snapToGrid w:val="0"/>
      <w:spacing w:val="-3"/>
    </w:rPr>
  </w:style>
  <w:style w:type="character" w:customStyle="1" w:styleId="BodyTextIndent3Char">
    <w:name w:val="Body Text Indent 3 Char"/>
    <w:link w:val="BodyTextIndent3"/>
    <w:rsid w:val="0037393D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styleId="CommentReference">
    <w:name w:val="annotation reference"/>
    <w:rsid w:val="0037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93D"/>
    <w:rPr>
      <w:sz w:val="20"/>
    </w:rPr>
  </w:style>
  <w:style w:type="character" w:customStyle="1" w:styleId="CommentTextChar">
    <w:name w:val="Comment Text Char"/>
    <w:link w:val="CommentText"/>
    <w:rsid w:val="0037393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93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393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93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E10B1D"/>
    <w:rPr>
      <w:rFonts w:eastAsia="Times New Roman" w:cs="Calibr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0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education/finance/fp/dwb/Prioriti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Stephanie</dc:creator>
  <cp:keywords/>
  <dc:description/>
  <cp:lastModifiedBy>Gorman, Stephanie</cp:lastModifiedBy>
  <cp:revision>6</cp:revision>
  <dcterms:created xsi:type="dcterms:W3CDTF">2018-12-21T19:54:00Z</dcterms:created>
  <dcterms:modified xsi:type="dcterms:W3CDTF">2019-01-04T17:38:00Z</dcterms:modified>
</cp:coreProperties>
</file>