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A2A5" w14:textId="77777777" w:rsidR="00C43F01" w:rsidRDefault="00241617" w:rsidP="007D462C">
      <w:pPr>
        <w:jc w:val="center"/>
      </w:pPr>
      <w:r w:rsidRPr="00C43F01">
        <w:rPr>
          <w:noProof/>
          <w:snapToGrid/>
        </w:rPr>
        <w:drawing>
          <wp:inline distT="0" distB="0" distL="0" distR="0" wp14:anchorId="1AF26F65" wp14:editId="2A1553F2">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EA5AA52" w14:textId="220234A7" w:rsidR="00F32A3E" w:rsidRPr="007D462C" w:rsidRDefault="00C43F01" w:rsidP="007D462C">
      <w:pPr>
        <w:pStyle w:val="Heading1"/>
      </w:pPr>
      <w:r w:rsidRPr="007D462C">
        <w:t xml:space="preserve">Budget Guidelines - </w:t>
      </w:r>
      <w:r w:rsidR="00F32A3E" w:rsidRPr="007D462C">
        <w:t>Appendix D-1</w:t>
      </w:r>
      <w:r w:rsidR="00D12B76" w:rsidRPr="007D462C">
        <w:br/>
      </w:r>
      <w:r w:rsidR="00F32A3E" w:rsidRPr="007D462C">
        <w:t>20</w:t>
      </w:r>
      <w:r w:rsidR="00E90063" w:rsidRPr="007D462C">
        <w:t>2</w:t>
      </w:r>
      <w:r w:rsidR="004A5729">
        <w:t>3</w:t>
      </w:r>
      <w:r w:rsidR="00E90063" w:rsidRPr="007D462C">
        <w:t>-2</w:t>
      </w:r>
      <w:r w:rsidR="004A5729">
        <w:t>4</w:t>
      </w:r>
      <w:r w:rsidR="00F32A3E" w:rsidRPr="007D462C">
        <w:t xml:space="preserve"> Budget Review Checklist</w:t>
      </w:r>
    </w:p>
    <w:p w14:paraId="168B1AF1" w14:textId="7B84159D" w:rsidR="00F32A3E" w:rsidRDefault="00F32A3E" w:rsidP="1C8EEDEB">
      <w:pPr>
        <w:suppressAutoHyphens/>
        <w:spacing w:after="220"/>
        <w:rPr>
          <w:rFonts w:ascii="Calibri" w:hAnsi="Calibri" w:cs="Calibri"/>
          <w:b/>
          <w:bCs/>
          <w:spacing w:val="-3"/>
          <w:sz w:val="22"/>
          <w:szCs w:val="22"/>
        </w:rPr>
      </w:pPr>
      <w:r w:rsidRPr="00291B99">
        <w:rPr>
          <w:rFonts w:ascii="Calibri" w:hAnsi="Calibri" w:cs="Calibri"/>
          <w:b/>
          <w:bCs/>
          <w:spacing w:val="-3"/>
          <w:szCs w:val="24"/>
        </w:rPr>
        <w:t>District Name</w:t>
      </w:r>
      <w:r w:rsidRPr="1C8EEDEB">
        <w:rPr>
          <w:rFonts w:ascii="Calibri" w:hAnsi="Calibri" w:cs="Calibri"/>
          <w:b/>
          <w:bCs/>
          <w:spacing w:val="-3"/>
          <w:sz w:val="22"/>
          <w:szCs w:val="22"/>
        </w:rPr>
        <w:t>:</w:t>
      </w:r>
    </w:p>
    <w:p w14:paraId="153E235F" w14:textId="183218A0" w:rsidR="008E588A" w:rsidRPr="008E588A" w:rsidRDefault="008E588A" w:rsidP="1C8EEDEB">
      <w:pPr>
        <w:suppressAutoHyphens/>
        <w:spacing w:after="220"/>
        <w:rPr>
          <w:rFonts w:ascii="Calibri" w:hAnsi="Calibri" w:cs="Calibri"/>
          <w:b/>
          <w:bCs/>
          <w:spacing w:val="-3"/>
          <w:szCs w:val="24"/>
        </w:rPr>
      </w:pPr>
      <w:r w:rsidRPr="008E588A">
        <w:rPr>
          <w:rFonts w:ascii="Calibri" w:hAnsi="Calibri" w:cs="Calibri"/>
          <w:b/>
          <w:bCs/>
          <w:spacing w:val="-3"/>
          <w:szCs w:val="24"/>
        </w:rPr>
        <w:t>Completed by:</w:t>
      </w:r>
    </w:p>
    <w:p w14:paraId="71955947" w14:textId="77777777" w:rsidR="00F32A3E" w:rsidRPr="00657590" w:rsidRDefault="00F32A3E" w:rsidP="007D462C">
      <w:pPr>
        <w:pStyle w:val="Heading2"/>
      </w:pPr>
      <w:r w:rsidRPr="00657590">
        <w:t>Edits:</w:t>
      </w:r>
    </w:p>
    <w:tbl>
      <w:tblPr>
        <w:tblStyle w:val="TableGrid"/>
        <w:tblW w:w="0" w:type="auto"/>
        <w:tblLook w:val="0420" w:firstRow="1" w:lastRow="0" w:firstColumn="0" w:lastColumn="0" w:noHBand="0" w:noVBand="1"/>
      </w:tblPr>
      <w:tblGrid>
        <w:gridCol w:w="7447"/>
        <w:gridCol w:w="1350"/>
      </w:tblGrid>
      <w:tr w:rsidR="007D462C" w:rsidRPr="00657590" w14:paraId="10C5EED5" w14:textId="0AD5FD60" w:rsidTr="00FD3F59">
        <w:trPr>
          <w:tblHeader/>
        </w:trPr>
        <w:tc>
          <w:tcPr>
            <w:tcW w:w="7447" w:type="dxa"/>
          </w:tcPr>
          <w:p w14:paraId="4B6C31F9" w14:textId="77777777" w:rsidR="007D462C" w:rsidRPr="00657590" w:rsidRDefault="007D462C">
            <w:pPr>
              <w:rPr>
                <w:rFonts w:ascii="Calibri" w:hAnsi="Calibri" w:cs="Calibri"/>
                <w:b/>
                <w:sz w:val="22"/>
                <w:szCs w:val="22"/>
              </w:rPr>
            </w:pPr>
            <w:r w:rsidRPr="00657590">
              <w:rPr>
                <w:rFonts w:ascii="Calibri" w:hAnsi="Calibri" w:cs="Calibri"/>
                <w:b/>
                <w:sz w:val="22"/>
                <w:szCs w:val="22"/>
              </w:rPr>
              <w:t>Edits Review Item</w:t>
            </w:r>
          </w:p>
        </w:tc>
        <w:tc>
          <w:tcPr>
            <w:tcW w:w="1350" w:type="dxa"/>
          </w:tcPr>
          <w:p w14:paraId="4E65F8C2" w14:textId="233D7835" w:rsidR="007D462C" w:rsidRPr="00657590" w:rsidRDefault="007D462C">
            <w:pPr>
              <w:rPr>
                <w:rFonts w:ascii="Calibri" w:hAnsi="Calibri" w:cs="Calibri"/>
                <w:b/>
                <w:sz w:val="22"/>
                <w:szCs w:val="22"/>
              </w:rPr>
            </w:pPr>
            <w:r>
              <w:rPr>
                <w:rFonts w:ascii="Calibri" w:hAnsi="Calibri" w:cs="Calibri"/>
                <w:b/>
                <w:sz w:val="22"/>
                <w:szCs w:val="22"/>
              </w:rPr>
              <w:t>Check if Reviewed</w:t>
            </w:r>
          </w:p>
        </w:tc>
      </w:tr>
      <w:tr w:rsidR="007D462C" w:rsidRPr="00657590" w14:paraId="4233092C" w14:textId="3904FCC0" w:rsidTr="00FD3F59">
        <w:tc>
          <w:tcPr>
            <w:tcW w:w="7447" w:type="dxa"/>
          </w:tcPr>
          <w:p w14:paraId="797615E6" w14:textId="40540D42" w:rsidR="007D462C" w:rsidRPr="00343B6A" w:rsidRDefault="007D462C">
            <w:pPr>
              <w:rPr>
                <w:rFonts w:ascii="Calibri" w:hAnsi="Calibri" w:cs="Calibri"/>
                <w:sz w:val="22"/>
                <w:szCs w:val="22"/>
              </w:rPr>
            </w:pPr>
            <w:r w:rsidRPr="00343B6A">
              <w:rPr>
                <w:rFonts w:ascii="Calibri" w:hAnsi="Calibri" w:cs="Calibri"/>
                <w:sz w:val="22"/>
                <w:szCs w:val="22"/>
              </w:rPr>
              <w:t>The Warning Edit report</w:t>
            </w:r>
            <w:r>
              <w:rPr>
                <w:rFonts w:ascii="Calibri" w:hAnsi="Calibri" w:cs="Calibri"/>
                <w:sz w:val="22"/>
                <w:szCs w:val="22"/>
              </w:rPr>
              <w:t xml:space="preserve"> with written explanations</w:t>
            </w:r>
            <w:r w:rsidRPr="00343B6A">
              <w:rPr>
                <w:rFonts w:ascii="Calibri" w:hAnsi="Calibri" w:cs="Calibri"/>
                <w:sz w:val="22"/>
                <w:szCs w:val="22"/>
              </w:rPr>
              <w:t xml:space="preserve"> has been reviewed by the county office.  No further changes are needed in the budget to address these items.</w:t>
            </w:r>
          </w:p>
        </w:tc>
        <w:tc>
          <w:tcPr>
            <w:tcW w:w="1350" w:type="dxa"/>
          </w:tcPr>
          <w:p w14:paraId="0F61162A" w14:textId="77777777" w:rsidR="007D462C" w:rsidRPr="00343B6A" w:rsidRDefault="007D462C">
            <w:pPr>
              <w:rPr>
                <w:rFonts w:ascii="Calibri" w:hAnsi="Calibri" w:cs="Calibri"/>
                <w:sz w:val="22"/>
                <w:szCs w:val="22"/>
              </w:rPr>
            </w:pPr>
          </w:p>
        </w:tc>
      </w:tr>
    </w:tbl>
    <w:p w14:paraId="32C50DCF" w14:textId="77777777" w:rsidR="00F32A3E" w:rsidRPr="007D462C" w:rsidRDefault="008D17CC" w:rsidP="00206DE4">
      <w:pPr>
        <w:pStyle w:val="Heading2"/>
        <w:spacing w:after="120"/>
      </w:pPr>
      <w:r w:rsidRPr="007D462C">
        <w:t>School Funding Reform Act (</w:t>
      </w:r>
      <w:r w:rsidR="00F32A3E" w:rsidRPr="007D462C">
        <w:t>SFRA</w:t>
      </w:r>
      <w:r w:rsidRPr="007D462C">
        <w:t>)</w:t>
      </w:r>
      <w:r w:rsidR="00F32A3E" w:rsidRPr="007D462C">
        <w:t xml:space="preserve"> Calculations:</w:t>
      </w:r>
    </w:p>
    <w:p w14:paraId="4CAF871B" w14:textId="77777777" w:rsidR="00F32A3E" w:rsidRPr="00206DE4" w:rsidRDefault="00240B02" w:rsidP="008D26A0">
      <w:pPr>
        <w:pStyle w:val="Heading3"/>
        <w:ind w:left="648"/>
      </w:pPr>
      <w:r w:rsidRPr="00206DE4">
        <w:t>Report of District Status</w:t>
      </w:r>
    </w:p>
    <w:tbl>
      <w:tblPr>
        <w:tblStyle w:val="TableGrid"/>
        <w:tblW w:w="0" w:type="auto"/>
        <w:tblInd w:w="355" w:type="dxa"/>
        <w:tblLook w:val="0420" w:firstRow="1" w:lastRow="0" w:firstColumn="0" w:lastColumn="0" w:noHBand="0" w:noVBand="1"/>
      </w:tblPr>
      <w:tblGrid>
        <w:gridCol w:w="7110"/>
        <w:gridCol w:w="1350"/>
      </w:tblGrid>
      <w:tr w:rsidR="00206DE4" w:rsidRPr="00657590" w14:paraId="634235F8" w14:textId="7AF3EAB6" w:rsidTr="00FD3F59">
        <w:trPr>
          <w:tblHeader/>
        </w:trPr>
        <w:tc>
          <w:tcPr>
            <w:tcW w:w="7110" w:type="dxa"/>
          </w:tcPr>
          <w:p w14:paraId="763ED36F" w14:textId="77777777" w:rsidR="00206DE4" w:rsidRPr="00657590" w:rsidRDefault="00206DE4" w:rsidP="00FD3F59">
            <w:pPr>
              <w:rPr>
                <w:rFonts w:ascii="Calibri" w:hAnsi="Calibri" w:cs="Calibri"/>
                <w:b/>
                <w:sz w:val="22"/>
                <w:szCs w:val="22"/>
              </w:rPr>
            </w:pPr>
            <w:r w:rsidRPr="00657590">
              <w:rPr>
                <w:rFonts w:ascii="Calibri" w:hAnsi="Calibri" w:cs="Calibri"/>
                <w:b/>
                <w:sz w:val="22"/>
                <w:szCs w:val="22"/>
              </w:rPr>
              <w:t>Report of District Status Review Item</w:t>
            </w:r>
          </w:p>
        </w:tc>
        <w:tc>
          <w:tcPr>
            <w:tcW w:w="1350" w:type="dxa"/>
          </w:tcPr>
          <w:p w14:paraId="7A8038BB" w14:textId="2BCDEBF4" w:rsidR="00206DE4" w:rsidRPr="00657590" w:rsidRDefault="00206DE4" w:rsidP="00FD3F5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7DEE323E" w14:textId="240D5E70" w:rsidTr="00FD3F59">
        <w:tc>
          <w:tcPr>
            <w:tcW w:w="7110" w:type="dxa"/>
          </w:tcPr>
          <w:p w14:paraId="461DBD26" w14:textId="77777777" w:rsidR="00206DE4" w:rsidRPr="00343B6A" w:rsidRDefault="00206DE4" w:rsidP="00FD3F59">
            <w:pPr>
              <w:rPr>
                <w:rFonts w:ascii="Calibri" w:hAnsi="Calibri" w:cs="Calibri"/>
                <w:sz w:val="22"/>
                <w:szCs w:val="22"/>
              </w:rPr>
            </w:pPr>
            <w:r w:rsidRPr="00343B6A">
              <w:rPr>
                <w:rFonts w:ascii="Calibri" w:hAnsi="Calibri" w:cs="Calibri"/>
                <w:bCs/>
                <w:spacing w:val="-3"/>
                <w:sz w:val="22"/>
                <w:szCs w:val="22"/>
              </w:rPr>
              <w:t xml:space="preserve">If district budgeted Adequacy Spending is “Above Expected Local Levy” – explanation(s) provided appear reasonable, </w:t>
            </w:r>
            <w:r w:rsidRPr="00343B6A">
              <w:rPr>
                <w:rFonts w:ascii="Calibri" w:hAnsi="Calibri" w:cs="Calibri"/>
                <w:sz w:val="22"/>
                <w:szCs w:val="22"/>
              </w:rPr>
              <w:t>and the sample ballot and notice of public hearing contain the statutory additional wording.</w:t>
            </w:r>
          </w:p>
        </w:tc>
        <w:tc>
          <w:tcPr>
            <w:tcW w:w="1350" w:type="dxa"/>
          </w:tcPr>
          <w:p w14:paraId="2FECB5F2" w14:textId="77777777" w:rsidR="00206DE4" w:rsidRPr="00343B6A" w:rsidRDefault="00206DE4" w:rsidP="00FD3F59">
            <w:pPr>
              <w:rPr>
                <w:rFonts w:ascii="Calibri" w:hAnsi="Calibri" w:cs="Calibri"/>
                <w:bCs/>
                <w:spacing w:val="-3"/>
                <w:sz w:val="22"/>
                <w:szCs w:val="22"/>
              </w:rPr>
            </w:pPr>
          </w:p>
        </w:tc>
      </w:tr>
    </w:tbl>
    <w:p w14:paraId="4A077713" w14:textId="77777777" w:rsidR="002C074A" w:rsidRPr="008D26A0" w:rsidRDefault="002C074A" w:rsidP="008D26A0">
      <w:pPr>
        <w:pStyle w:val="Heading3"/>
      </w:pPr>
      <w:r w:rsidRPr="008D26A0">
        <w:t>Tax Levy Cap Calculation (No data entry required on this form – amounts flow from SFRA reports below)</w:t>
      </w:r>
    </w:p>
    <w:tbl>
      <w:tblPr>
        <w:tblStyle w:val="TableGrid"/>
        <w:tblW w:w="0" w:type="auto"/>
        <w:tblInd w:w="355" w:type="dxa"/>
        <w:tblLook w:val="0420" w:firstRow="1" w:lastRow="0" w:firstColumn="0" w:lastColumn="0" w:noHBand="0" w:noVBand="1"/>
      </w:tblPr>
      <w:tblGrid>
        <w:gridCol w:w="5850"/>
        <w:gridCol w:w="1800"/>
        <w:gridCol w:w="1800"/>
      </w:tblGrid>
      <w:tr w:rsidR="00206DE4" w:rsidRPr="00657590" w14:paraId="033EE629" w14:textId="1F0E207E" w:rsidTr="3BDE21A1">
        <w:trPr>
          <w:tblHeader/>
        </w:trPr>
        <w:tc>
          <w:tcPr>
            <w:tcW w:w="5850" w:type="dxa"/>
          </w:tcPr>
          <w:p w14:paraId="08822129" w14:textId="77777777" w:rsidR="00206DE4" w:rsidRPr="00657590" w:rsidRDefault="00206DE4" w:rsidP="00206DE4">
            <w:pPr>
              <w:rPr>
                <w:rFonts w:ascii="Calibri" w:hAnsi="Calibri" w:cs="Calibri"/>
                <w:b/>
                <w:sz w:val="22"/>
                <w:szCs w:val="22"/>
              </w:rPr>
            </w:pPr>
            <w:r w:rsidRPr="00657590">
              <w:rPr>
                <w:rFonts w:ascii="Calibri" w:hAnsi="Calibri" w:cs="Calibri"/>
                <w:b/>
                <w:sz w:val="22"/>
                <w:szCs w:val="22"/>
              </w:rPr>
              <w:t>Tax Levy Cap Calculation Review Item</w:t>
            </w:r>
          </w:p>
        </w:tc>
        <w:tc>
          <w:tcPr>
            <w:tcW w:w="1800" w:type="dxa"/>
          </w:tcPr>
          <w:p w14:paraId="28CA06D1" w14:textId="0C4D704D" w:rsidR="00206DE4" w:rsidRPr="00657590" w:rsidRDefault="00206DE4" w:rsidP="00206DE4">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00" w:type="dxa"/>
          </w:tcPr>
          <w:p w14:paraId="7C0151A5" w14:textId="735FA4F3" w:rsidR="00206DE4" w:rsidRPr="00657590" w:rsidRDefault="00206DE4" w:rsidP="00206DE4">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40B6C96E" w14:textId="59A618E8" w:rsidTr="3BDE21A1">
        <w:tc>
          <w:tcPr>
            <w:tcW w:w="5850" w:type="dxa"/>
          </w:tcPr>
          <w:p w14:paraId="312CE2E1" w14:textId="77777777" w:rsidR="00206DE4" w:rsidRPr="00657590" w:rsidRDefault="00206DE4" w:rsidP="00206DE4">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631E7675" w14:textId="77777777" w:rsidR="00206DE4" w:rsidRPr="009E004D" w:rsidRDefault="00206DE4" w:rsidP="009E004D">
            <w:pPr>
              <w:pStyle w:val="ListParagraph"/>
              <w:numPr>
                <w:ilvl w:val="0"/>
                <w:numId w:val="8"/>
              </w:numPr>
              <w:ind w:left="345"/>
              <w:rPr>
                <w:rFonts w:ascii="Calibri" w:hAnsi="Calibri" w:cs="Calibri"/>
                <w:sz w:val="22"/>
                <w:szCs w:val="22"/>
              </w:rPr>
            </w:pPr>
            <w:r w:rsidRPr="009E004D">
              <w:rPr>
                <w:rFonts w:ascii="Calibri" w:hAnsi="Calibri" w:cs="Calibri"/>
                <w:spacing w:val="-3"/>
                <w:sz w:val="22"/>
                <w:szCs w:val="22"/>
              </w:rPr>
              <w:t>If the District is requesting to calculate the Enrollment Adjustment using a weight of 1.0 (full enrollment growth) rather than the phased-in rates, the district has submitted the required information listed in the Budget Guidelines section III.D.i.3.</w:t>
            </w:r>
          </w:p>
          <w:p w14:paraId="2208A536" w14:textId="52BCC244" w:rsidR="009E004D" w:rsidRPr="009E004D" w:rsidRDefault="009E004D" w:rsidP="009E004D">
            <w:pPr>
              <w:pStyle w:val="ListParagraph"/>
              <w:numPr>
                <w:ilvl w:val="0"/>
                <w:numId w:val="8"/>
              </w:numPr>
              <w:ind w:left="345"/>
              <w:rPr>
                <w:rFonts w:ascii="Calibri" w:hAnsi="Calibri" w:cs="Calibri"/>
                <w:sz w:val="22"/>
                <w:szCs w:val="22"/>
              </w:rPr>
            </w:pPr>
            <w:r>
              <w:rPr>
                <w:rFonts w:ascii="Calibri" w:hAnsi="Calibri" w:cs="Calibri"/>
                <w:spacing w:val="-3"/>
                <w:sz w:val="22"/>
                <w:szCs w:val="22"/>
              </w:rPr>
              <w:t xml:space="preserve">If the District is requesting a </w:t>
            </w:r>
            <w:r w:rsidR="009D008D">
              <w:rPr>
                <w:rFonts w:ascii="Calibri" w:hAnsi="Calibri" w:cs="Calibri"/>
                <w:spacing w:val="-3"/>
                <w:sz w:val="22"/>
                <w:szCs w:val="22"/>
              </w:rPr>
              <w:t>review</w:t>
            </w:r>
            <w:r>
              <w:rPr>
                <w:rFonts w:ascii="Calibri" w:hAnsi="Calibri" w:cs="Calibri"/>
                <w:spacing w:val="-3"/>
                <w:sz w:val="22"/>
                <w:szCs w:val="22"/>
              </w:rPr>
              <w:t xml:space="preserve"> of the </w:t>
            </w:r>
            <w:r w:rsidR="00412CFA">
              <w:rPr>
                <w:rFonts w:ascii="Calibri" w:hAnsi="Calibri" w:cs="Calibri"/>
                <w:spacing w:val="-3"/>
                <w:sz w:val="22"/>
                <w:szCs w:val="22"/>
              </w:rPr>
              <w:t>P.L.2020, c.</w:t>
            </w:r>
            <w:r>
              <w:rPr>
                <w:rFonts w:ascii="Calibri" w:hAnsi="Calibri" w:cs="Calibri"/>
                <w:spacing w:val="-3"/>
                <w:sz w:val="22"/>
                <w:szCs w:val="22"/>
              </w:rPr>
              <w:t>44 adjustment amount</w:t>
            </w:r>
            <w:r w:rsidR="00E86B03">
              <w:rPr>
                <w:rFonts w:ascii="Calibri" w:hAnsi="Calibri" w:cs="Calibri"/>
                <w:spacing w:val="-3"/>
                <w:sz w:val="22"/>
                <w:szCs w:val="22"/>
              </w:rPr>
              <w:t xml:space="preserve"> based on </w:t>
            </w:r>
            <w:r w:rsidR="009D008D">
              <w:rPr>
                <w:rFonts w:ascii="Calibri" w:hAnsi="Calibri" w:cs="Calibri"/>
                <w:spacing w:val="-3"/>
                <w:sz w:val="22"/>
                <w:szCs w:val="22"/>
              </w:rPr>
              <w:t>special</w:t>
            </w:r>
            <w:r w:rsidR="00E86B03">
              <w:rPr>
                <w:rFonts w:ascii="Calibri" w:hAnsi="Calibri" w:cs="Calibri"/>
                <w:spacing w:val="-3"/>
                <w:sz w:val="22"/>
                <w:szCs w:val="22"/>
              </w:rPr>
              <w:t xml:space="preserve"> circumstances</w:t>
            </w:r>
            <w:r>
              <w:rPr>
                <w:rFonts w:ascii="Calibri" w:hAnsi="Calibri" w:cs="Calibri"/>
                <w:spacing w:val="-3"/>
                <w:sz w:val="22"/>
                <w:szCs w:val="22"/>
              </w:rPr>
              <w:t>, the district has submitted a detailed explanation of the unique circumstances for changes in health care plans; a detailed calculation of the revised amount for the adjustment; and supporting information documenting the explanation and the amount.</w:t>
            </w:r>
          </w:p>
        </w:tc>
        <w:tc>
          <w:tcPr>
            <w:tcW w:w="1800" w:type="dxa"/>
          </w:tcPr>
          <w:p w14:paraId="2B1E19FF" w14:textId="77777777" w:rsidR="00206DE4" w:rsidRPr="00657590" w:rsidRDefault="00206DE4" w:rsidP="00206DE4">
            <w:pPr>
              <w:rPr>
                <w:rFonts w:ascii="Calibri" w:hAnsi="Calibri" w:cs="Calibri"/>
                <w:b/>
                <w:spacing w:val="-3"/>
                <w:sz w:val="22"/>
                <w:szCs w:val="22"/>
              </w:rPr>
            </w:pPr>
          </w:p>
        </w:tc>
        <w:tc>
          <w:tcPr>
            <w:tcW w:w="1800" w:type="dxa"/>
          </w:tcPr>
          <w:p w14:paraId="541660C2" w14:textId="77777777" w:rsidR="00206DE4" w:rsidRPr="00657590" w:rsidRDefault="00206DE4" w:rsidP="00206DE4">
            <w:pPr>
              <w:rPr>
                <w:rFonts w:ascii="Calibri" w:hAnsi="Calibri" w:cs="Calibri"/>
                <w:b/>
                <w:spacing w:val="-3"/>
                <w:sz w:val="22"/>
                <w:szCs w:val="22"/>
              </w:rPr>
            </w:pPr>
          </w:p>
        </w:tc>
      </w:tr>
      <w:tr w:rsidR="00206DE4" w:rsidRPr="00657590" w14:paraId="0C9B1789" w14:textId="798AE291" w:rsidTr="3BDE21A1">
        <w:tc>
          <w:tcPr>
            <w:tcW w:w="5850" w:type="dxa"/>
          </w:tcPr>
          <w:p w14:paraId="4F896C29" w14:textId="77777777" w:rsidR="00206DE4" w:rsidRPr="00657590" w:rsidRDefault="00206DE4" w:rsidP="00206DE4">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660745F9" w14:textId="26EB6520"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lastRenderedPageBreak/>
              <w:t>Fiscal Year 20</w:t>
            </w:r>
            <w:r w:rsidR="004A5729">
              <w:rPr>
                <w:rFonts w:ascii="Calibri" w:hAnsi="Calibri" w:cs="Calibri"/>
                <w:spacing w:val="-3"/>
                <w:sz w:val="22"/>
                <w:szCs w:val="22"/>
              </w:rPr>
              <w:t>22-23</w:t>
            </w:r>
            <w:r w:rsidRPr="00657590">
              <w:rPr>
                <w:rFonts w:ascii="Calibri" w:hAnsi="Calibri" w:cs="Calibri"/>
                <w:spacing w:val="-3"/>
                <w:sz w:val="22"/>
                <w:szCs w:val="22"/>
              </w:rPr>
              <w:t xml:space="preserve"> budgeted costs are net of employee withholding;</w:t>
            </w:r>
          </w:p>
          <w:p w14:paraId="40143C92" w14:textId="101840D1"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sidR="004A5729">
              <w:rPr>
                <w:rFonts w:ascii="Calibri" w:hAnsi="Calibri" w:cs="Calibri"/>
                <w:spacing w:val="-3"/>
                <w:sz w:val="22"/>
                <w:szCs w:val="22"/>
              </w:rPr>
              <w:t>23-24</w:t>
            </w:r>
            <w:r w:rsidRPr="00657590">
              <w:rPr>
                <w:rFonts w:ascii="Calibri" w:hAnsi="Calibri" w:cs="Calibri"/>
                <w:spacing w:val="-3"/>
                <w:sz w:val="22"/>
                <w:szCs w:val="22"/>
              </w:rPr>
              <w:t xml:space="preserve"> budgeted costs are net of employee withholding;</w:t>
            </w:r>
          </w:p>
          <w:p w14:paraId="63648215" w14:textId="77777777"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for dental and vision costs recorded in object 270 accounts have been entered on lines A2 and B2;</w:t>
            </w:r>
          </w:p>
          <w:p w14:paraId="21DF3FB0" w14:textId="77777777" w:rsidR="00206DE4" w:rsidRPr="00657590" w:rsidRDefault="00206DE4" w:rsidP="00BF5A4E">
            <w:pPr>
              <w:numPr>
                <w:ilvl w:val="0"/>
                <w:numId w:val="2"/>
              </w:numPr>
              <w:tabs>
                <w:tab w:val="left" w:pos="368"/>
              </w:tabs>
              <w:suppressAutoHyphens/>
              <w:spacing w:after="360"/>
              <w:rPr>
                <w:rFonts w:ascii="Calibri" w:hAnsi="Calibri" w:cs="Calibri"/>
                <w:spacing w:val="-3"/>
                <w:sz w:val="22"/>
                <w:szCs w:val="22"/>
              </w:rPr>
            </w:pPr>
            <w:r w:rsidRPr="00657590">
              <w:rPr>
                <w:rFonts w:ascii="Calibri" w:hAnsi="Calibri" w:cs="Calibri"/>
                <w:spacing w:val="-3"/>
                <w:sz w:val="22"/>
                <w:szCs w:val="22"/>
              </w:rPr>
              <w:t xml:space="preserve">Required supporting details listed </w:t>
            </w:r>
            <w:r>
              <w:rPr>
                <w:rFonts w:ascii="Calibri" w:hAnsi="Calibri" w:cs="Calibri"/>
                <w:spacing w:val="-3"/>
                <w:sz w:val="22"/>
                <w:szCs w:val="22"/>
              </w:rPr>
              <w:t>in section III.D.i.4</w:t>
            </w:r>
            <w:r w:rsidRPr="00657590">
              <w:rPr>
                <w:rFonts w:ascii="Calibri" w:hAnsi="Calibri" w:cs="Calibri"/>
                <w:spacing w:val="-3"/>
                <w:sz w:val="22"/>
                <w:szCs w:val="22"/>
              </w:rPr>
              <w:t xml:space="preserve"> of the Budget Guidelines have been submitted with the budget.</w:t>
            </w:r>
          </w:p>
        </w:tc>
        <w:tc>
          <w:tcPr>
            <w:tcW w:w="1800" w:type="dxa"/>
          </w:tcPr>
          <w:p w14:paraId="46FDDAB7"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6022CAB0"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39E99E78" w14:textId="31C69F13" w:rsidTr="3BDE21A1">
        <w:tc>
          <w:tcPr>
            <w:tcW w:w="5850" w:type="dxa"/>
          </w:tcPr>
          <w:p w14:paraId="68D7554B" w14:textId="77777777" w:rsidR="00206DE4" w:rsidRPr="00657590" w:rsidRDefault="00206DE4" w:rsidP="00206DE4">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27EFFA7C" w14:textId="54AA0B28" w:rsidR="00206DE4" w:rsidRPr="00657590" w:rsidRDefault="00206DE4" w:rsidP="00BF5A4E">
            <w:pPr>
              <w:numPr>
                <w:ilvl w:val="0"/>
                <w:numId w:val="1"/>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w:t>
            </w:r>
            <w:r>
              <w:rPr>
                <w:rFonts w:ascii="Calibri" w:hAnsi="Calibri" w:cs="Calibri"/>
                <w:spacing w:val="-3"/>
                <w:sz w:val="22"/>
                <w:szCs w:val="22"/>
              </w:rPr>
              <w:t>2</w:t>
            </w:r>
            <w:r w:rsidR="00AB4069">
              <w:rPr>
                <w:rFonts w:ascii="Calibri" w:hAnsi="Calibri" w:cs="Calibri"/>
                <w:spacing w:val="-3"/>
                <w:sz w:val="22"/>
                <w:szCs w:val="22"/>
              </w:rPr>
              <w:t>2</w:t>
            </w:r>
            <w:r w:rsidRPr="00657590">
              <w:rPr>
                <w:rFonts w:ascii="Calibri" w:hAnsi="Calibri" w:cs="Calibri"/>
                <w:spacing w:val="-3"/>
                <w:sz w:val="22"/>
                <w:szCs w:val="22"/>
              </w:rPr>
              <w:t xml:space="preserve"> Annual Report by the Actuary for the PERS system on the Department of Treasury website at </w:t>
            </w:r>
            <w:hyperlink r:id="rId12" w:history="1">
              <w:r>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035A4A86" w14:textId="64886CF8" w:rsidR="00206DE4" w:rsidRPr="009234B4" w:rsidRDefault="00206DE4" w:rsidP="00BF5A4E">
            <w:pPr>
              <w:numPr>
                <w:ilvl w:val="0"/>
                <w:numId w:val="1"/>
              </w:numPr>
              <w:tabs>
                <w:tab w:val="left" w:pos="368"/>
              </w:tabs>
              <w:suppressAutoHyphens/>
              <w:rPr>
                <w:rFonts w:ascii="Calibri" w:hAnsi="Calibri" w:cs="Calibri"/>
                <w:sz w:val="22"/>
                <w:szCs w:val="22"/>
              </w:rPr>
            </w:pPr>
            <w:r w:rsidRPr="00520A67">
              <w:rPr>
                <w:rFonts w:ascii="Calibri" w:hAnsi="Calibri" w:cs="Calibri"/>
                <w:spacing w:val="-3"/>
                <w:sz w:val="22"/>
                <w:szCs w:val="22"/>
              </w:rPr>
              <w:t>Any amounts budgeted in general fund for deferred PERS payments are supported by documentation as listed in section III.D.i.5 of the Budget Guidelines.</w:t>
            </w:r>
          </w:p>
        </w:tc>
        <w:tc>
          <w:tcPr>
            <w:tcW w:w="1800" w:type="dxa"/>
          </w:tcPr>
          <w:p w14:paraId="3E3BAC2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BD16D47"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448316A2" w14:textId="1C59FA50" w:rsidTr="3BDE21A1">
        <w:tc>
          <w:tcPr>
            <w:tcW w:w="5850" w:type="dxa"/>
          </w:tcPr>
          <w:p w14:paraId="2123EEC1" w14:textId="77777777" w:rsidR="00206DE4" w:rsidRPr="00657590" w:rsidRDefault="00206DE4" w:rsidP="00206DE4">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Line (D)</w:t>
            </w:r>
            <w:r w:rsidRPr="00657590">
              <w:rPr>
                <w:rFonts w:ascii="Calibri" w:hAnsi="Calibri" w:cs="Calibri"/>
                <w:spacing w:val="-3"/>
                <w:sz w:val="22"/>
                <w:szCs w:val="22"/>
              </w:rPr>
              <w:t xml:space="preserve"> </w:t>
            </w:r>
            <w:r w:rsidRPr="00657590">
              <w:rPr>
                <w:rFonts w:ascii="Calibri" w:hAnsi="Calibri" w:cs="Calibri"/>
                <w:b/>
                <w:spacing w:val="-3"/>
                <w:sz w:val="22"/>
                <w:szCs w:val="22"/>
              </w:rPr>
              <w:t xml:space="preserve">&amp; (E) </w:t>
            </w:r>
            <w:r w:rsidRPr="00657590">
              <w:rPr>
                <w:rFonts w:ascii="Calibri" w:hAnsi="Calibri" w:cs="Calibri"/>
                <w:b/>
                <w:i/>
                <w:spacing w:val="-3"/>
                <w:sz w:val="22"/>
                <w:szCs w:val="22"/>
              </w:rPr>
              <w:t>Adjustment for Responsibility Shifted From/To Another District or Entity</w:t>
            </w:r>
            <w:r w:rsidRPr="00657590">
              <w:rPr>
                <w:rFonts w:ascii="Calibri" w:hAnsi="Calibri" w:cs="Calibri"/>
                <w:b/>
                <w:spacing w:val="-3"/>
                <w:sz w:val="22"/>
                <w:szCs w:val="22"/>
              </w:rPr>
              <w:t xml:space="preserve">: </w:t>
            </w:r>
          </w:p>
          <w:p w14:paraId="7A8B13CA" w14:textId="489BDD00" w:rsidR="00206DE4" w:rsidRPr="00657590" w:rsidRDefault="00206DE4" w:rsidP="00206DE4">
            <w:pPr>
              <w:rPr>
                <w:rFonts w:ascii="Calibri" w:hAnsi="Calibri" w:cs="Calibri"/>
                <w:b/>
                <w:spacing w:val="-3"/>
                <w:sz w:val="22"/>
                <w:szCs w:val="22"/>
              </w:rPr>
            </w:pPr>
            <w:r w:rsidRPr="00657590">
              <w:rPr>
                <w:rFonts w:ascii="Calibri" w:hAnsi="Calibri" w:cs="Calibri"/>
                <w:spacing w:val="-3"/>
                <w:sz w:val="22"/>
                <w:szCs w:val="22"/>
              </w:rPr>
              <w:t xml:space="preserve">Supporting details are provided </w:t>
            </w:r>
            <w:r>
              <w:rPr>
                <w:rFonts w:ascii="Calibri" w:hAnsi="Calibri" w:cs="Calibri"/>
                <w:spacing w:val="-3"/>
                <w:sz w:val="22"/>
                <w:szCs w:val="22"/>
              </w:rPr>
              <w:t xml:space="preserve">per Budget Guidelines section III.D.i.6 </w:t>
            </w:r>
            <w:r w:rsidRPr="00657590">
              <w:rPr>
                <w:rFonts w:ascii="Calibri" w:hAnsi="Calibri" w:cs="Calibri"/>
                <w:spacing w:val="-3"/>
                <w:sz w:val="22"/>
                <w:szCs w:val="22"/>
              </w:rPr>
              <w:t>and appear reasonable.</w:t>
            </w:r>
          </w:p>
        </w:tc>
        <w:tc>
          <w:tcPr>
            <w:tcW w:w="1800" w:type="dxa"/>
          </w:tcPr>
          <w:p w14:paraId="0481CE7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42E48769"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27F9CA84" w14:textId="542B9166" w:rsidTr="3BDE21A1">
        <w:tc>
          <w:tcPr>
            <w:tcW w:w="5850" w:type="dxa"/>
          </w:tcPr>
          <w:p w14:paraId="0569530E" w14:textId="77777777" w:rsidR="00206DE4" w:rsidRPr="00657590" w:rsidRDefault="00206DE4" w:rsidP="00206DE4">
            <w:pPr>
              <w:tabs>
                <w:tab w:val="left" w:pos="-720"/>
              </w:tabs>
              <w:suppressAutoHyphens/>
              <w:rPr>
                <w:rFonts w:ascii="Calibri" w:hAnsi="Calibri" w:cs="Calibri"/>
                <w:b/>
                <w:sz w:val="22"/>
                <w:szCs w:val="22"/>
              </w:rPr>
            </w:pPr>
            <w:r w:rsidRPr="00657590">
              <w:rPr>
                <w:rFonts w:ascii="Calibri" w:hAnsi="Calibri" w:cs="Calibri"/>
                <w:b/>
                <w:spacing w:val="-3"/>
                <w:sz w:val="22"/>
                <w:szCs w:val="22"/>
              </w:rPr>
              <w:t xml:space="preserve">Line (F) </w:t>
            </w:r>
            <w:r w:rsidRPr="00657590">
              <w:rPr>
                <w:rFonts w:ascii="Calibri" w:hAnsi="Calibri" w:cs="Calibri"/>
                <w:b/>
                <w:i/>
                <w:spacing w:val="-3"/>
                <w:sz w:val="22"/>
                <w:szCs w:val="22"/>
              </w:rPr>
              <w:t>Use of Banked Cap</w:t>
            </w:r>
            <w:r w:rsidRPr="00657590">
              <w:rPr>
                <w:rFonts w:ascii="Calibri" w:hAnsi="Calibri" w:cs="Calibri"/>
                <w:b/>
                <w:spacing w:val="-3"/>
                <w:sz w:val="22"/>
                <w:szCs w:val="22"/>
              </w:rPr>
              <w:t>:</w:t>
            </w:r>
          </w:p>
          <w:p w14:paraId="104532AE" w14:textId="04C66DE6" w:rsidR="00206DE4" w:rsidRPr="00657590" w:rsidRDefault="00206DE4" w:rsidP="00B644A2">
            <w:p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district has submitted a board resolution containing the following:  </w:t>
            </w:r>
          </w:p>
          <w:p w14:paraId="49B5E5BF" w14:textId="77777777" w:rsidR="00206DE4" w:rsidRPr="00657590" w:rsidRDefault="00206DE4" w:rsidP="00206DE4">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(1) the need for and amount of the unused spending authority to be included in the base budget; and</w:t>
            </w:r>
          </w:p>
          <w:p w14:paraId="2A4EB16F" w14:textId="5FEBB36D" w:rsidR="00206DE4" w:rsidRPr="00657590" w:rsidRDefault="00206DE4" w:rsidP="00B644A2">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(2) a statement that said need must be completed by the end of the budget year and cannot be deferred or incrementally completed over a longer period of time.</w:t>
            </w:r>
          </w:p>
        </w:tc>
        <w:tc>
          <w:tcPr>
            <w:tcW w:w="1800" w:type="dxa"/>
          </w:tcPr>
          <w:p w14:paraId="20A3A5C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675D01F" w14:textId="77777777" w:rsidR="00206DE4" w:rsidRPr="00657590" w:rsidRDefault="00206DE4" w:rsidP="00206DE4">
            <w:pPr>
              <w:tabs>
                <w:tab w:val="left" w:pos="-720"/>
              </w:tabs>
              <w:suppressAutoHyphens/>
              <w:rPr>
                <w:rFonts w:ascii="Calibri" w:hAnsi="Calibri" w:cs="Calibri"/>
                <w:b/>
                <w:spacing w:val="-3"/>
                <w:sz w:val="22"/>
                <w:szCs w:val="22"/>
              </w:rPr>
            </w:pPr>
          </w:p>
        </w:tc>
      </w:tr>
    </w:tbl>
    <w:p w14:paraId="44329D12" w14:textId="5F2A0F71" w:rsidR="002C074A" w:rsidRPr="00A978FA" w:rsidRDefault="002C074A" w:rsidP="008D26A0">
      <w:pPr>
        <w:pStyle w:val="Heading3"/>
      </w:pPr>
      <w:r w:rsidRPr="00657590">
        <w:t xml:space="preserve">Minimum Tax Levy </w:t>
      </w:r>
      <w:r w:rsidR="00687B40" w:rsidRPr="00657590">
        <w:t xml:space="preserve">- </w:t>
      </w:r>
      <w:r w:rsidRPr="00657590">
        <w:t>no data entry is required</w:t>
      </w:r>
      <w:r w:rsidR="003D0293" w:rsidRPr="00657590">
        <w:t xml:space="preserve"> on this form</w:t>
      </w:r>
      <w:r w:rsidR="00687B40" w:rsidRPr="00657590">
        <w:t>.</w:t>
      </w:r>
    </w:p>
    <w:p w14:paraId="4B12BD34" w14:textId="017327CD" w:rsidR="00027523" w:rsidRPr="00A978FA" w:rsidRDefault="002C074A" w:rsidP="008D26A0">
      <w:pPr>
        <w:pStyle w:val="Heading3"/>
      </w:pPr>
      <w:r w:rsidRPr="00657590">
        <w:t>Separate Proposals</w:t>
      </w:r>
      <w:r w:rsidR="00687B40" w:rsidRPr="00657590">
        <w:t xml:space="preserve"> -</w:t>
      </w:r>
      <w:r w:rsidRPr="00657590">
        <w:t xml:space="preserve"> see separate form for ECS/ECBO review</w:t>
      </w:r>
      <w:r w:rsidR="00687B40" w:rsidRPr="00657590">
        <w:t>.</w:t>
      </w:r>
    </w:p>
    <w:p w14:paraId="28F15021" w14:textId="77777777" w:rsidR="003D0293" w:rsidRPr="00657590" w:rsidRDefault="003D0293" w:rsidP="00A978FA">
      <w:pPr>
        <w:pStyle w:val="Heading2"/>
        <w:spacing w:after="120"/>
        <w:ind w:left="144"/>
      </w:pPr>
      <w:r w:rsidRPr="00657590">
        <w:t>Revenues:</w:t>
      </w:r>
    </w:p>
    <w:tbl>
      <w:tblPr>
        <w:tblStyle w:val="TableGrid"/>
        <w:tblW w:w="0" w:type="auto"/>
        <w:tblInd w:w="175" w:type="dxa"/>
        <w:tblLook w:val="0420" w:firstRow="1" w:lastRow="0" w:firstColumn="0" w:lastColumn="0" w:noHBand="0" w:noVBand="1"/>
      </w:tblPr>
      <w:tblGrid>
        <w:gridCol w:w="7830"/>
        <w:gridCol w:w="1890"/>
      </w:tblGrid>
      <w:tr w:rsidR="00A978FA" w:rsidRPr="00657590" w14:paraId="6648DEBD" w14:textId="5DA16213" w:rsidTr="00FD3F59">
        <w:trPr>
          <w:tblHeader/>
        </w:trPr>
        <w:tc>
          <w:tcPr>
            <w:tcW w:w="7830" w:type="dxa"/>
          </w:tcPr>
          <w:p w14:paraId="0FFFE034" w14:textId="77777777" w:rsidR="00A978FA" w:rsidRPr="00657590" w:rsidRDefault="00A978FA" w:rsidP="00F34FC2">
            <w:pPr>
              <w:rPr>
                <w:rFonts w:ascii="Calibri" w:hAnsi="Calibri" w:cs="Calibri"/>
                <w:b/>
                <w:sz w:val="22"/>
                <w:szCs w:val="22"/>
              </w:rPr>
            </w:pPr>
            <w:r w:rsidRPr="00657590">
              <w:rPr>
                <w:rFonts w:ascii="Calibri" w:hAnsi="Calibri" w:cs="Calibri"/>
                <w:b/>
                <w:sz w:val="22"/>
                <w:szCs w:val="22"/>
              </w:rPr>
              <w:t>Revenues Review Item</w:t>
            </w:r>
          </w:p>
        </w:tc>
        <w:tc>
          <w:tcPr>
            <w:tcW w:w="1890" w:type="dxa"/>
          </w:tcPr>
          <w:p w14:paraId="133C6CAA" w14:textId="051825DD" w:rsidR="00A978FA" w:rsidRPr="00657590" w:rsidRDefault="00A978FA"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034A9474" w14:textId="10216F9B" w:rsidTr="00FD3F59">
        <w:tc>
          <w:tcPr>
            <w:tcW w:w="7830" w:type="dxa"/>
          </w:tcPr>
          <w:p w14:paraId="56B89C21" w14:textId="5374B469"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w:t>
            </w:r>
            <w:r w:rsidR="0054787F">
              <w:rPr>
                <w:rFonts w:ascii="Calibri" w:hAnsi="Calibri" w:cs="Calibri"/>
                <w:sz w:val="22"/>
                <w:szCs w:val="22"/>
              </w:rPr>
              <w:t>AC</w:t>
            </w:r>
            <w:r w:rsidRPr="00657590">
              <w:rPr>
                <w:rFonts w:ascii="Calibri" w:hAnsi="Calibri" w:cs="Calibri"/>
                <w:sz w:val="22"/>
                <w:szCs w:val="22"/>
              </w:rPr>
              <w:t>FR, Exh</w:t>
            </w:r>
            <w:r w:rsidR="00B644A2">
              <w:rPr>
                <w:rFonts w:ascii="Calibri" w:hAnsi="Calibri" w:cs="Calibri"/>
                <w:sz w:val="22"/>
                <w:szCs w:val="22"/>
              </w:rPr>
              <w:t>ibit</w:t>
            </w:r>
            <w:r w:rsidRPr="00657590">
              <w:rPr>
                <w:rFonts w:ascii="Calibri" w:hAnsi="Calibri" w:cs="Calibri"/>
                <w:sz w:val="22"/>
                <w:szCs w:val="22"/>
              </w:rPr>
              <w:t xml:space="preserve"> J-5).  </w:t>
            </w:r>
            <w:r w:rsidRPr="00AF01F5">
              <w:rPr>
                <w:rFonts w:ascii="Calibri" w:hAnsi="Calibri" w:cs="Calibri"/>
                <w:sz w:val="22"/>
                <w:szCs w:val="22"/>
              </w:rPr>
              <w:t>(</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r>
              <w:rPr>
                <w:rFonts w:ascii="Calibri" w:hAnsi="Calibri" w:cs="Calibri"/>
                <w:b/>
                <w:bCs/>
                <w:i/>
                <w:sz w:val="22"/>
                <w:szCs w:val="22"/>
              </w:rPr>
              <w:t xml:space="preserve"> </w:t>
            </w:r>
            <w:r w:rsidRPr="00AF01F5">
              <w:rPr>
                <w:rFonts w:ascii="Calibri" w:hAnsi="Calibri" w:cs="Calibri"/>
                <w:bCs/>
                <w:sz w:val="22"/>
                <w:szCs w:val="22"/>
              </w:rPr>
              <w:t>for any items that may be considered unusual</w:t>
            </w:r>
            <w:r>
              <w:rPr>
                <w:rFonts w:ascii="Calibri" w:hAnsi="Calibri" w:cs="Calibri"/>
                <w:bCs/>
                <w:sz w:val="22"/>
                <w:szCs w:val="22"/>
              </w:rPr>
              <w:t>.</w:t>
            </w:r>
            <w:r w:rsidRPr="00AF01F5">
              <w:rPr>
                <w:rFonts w:ascii="Calibri" w:hAnsi="Calibri" w:cs="Calibri"/>
                <w:bCs/>
                <w:sz w:val="22"/>
                <w:szCs w:val="22"/>
              </w:rPr>
              <w:t>)</w:t>
            </w:r>
          </w:p>
        </w:tc>
        <w:tc>
          <w:tcPr>
            <w:tcW w:w="1890" w:type="dxa"/>
          </w:tcPr>
          <w:p w14:paraId="6DC34979"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33DAF734" w14:textId="77E6A1B0" w:rsidTr="00FD3F59">
        <w:tc>
          <w:tcPr>
            <w:tcW w:w="7830" w:type="dxa"/>
          </w:tcPr>
          <w:p w14:paraId="7E02288F" w14:textId="77777777"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c>
          <w:tcPr>
            <w:tcW w:w="1890" w:type="dxa"/>
          </w:tcPr>
          <w:p w14:paraId="65D5CB28"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6F990CE7" w14:textId="55DF9EDD" w:rsidTr="00FD3F59">
        <w:tc>
          <w:tcPr>
            <w:tcW w:w="7830" w:type="dxa"/>
          </w:tcPr>
          <w:p w14:paraId="267046D6" w14:textId="77777777" w:rsidR="00A978FA" w:rsidRPr="00657590" w:rsidRDefault="00A978FA" w:rsidP="003D0293">
            <w:pPr>
              <w:pStyle w:val="BodyTextIndent3"/>
              <w:ind w:left="0" w:firstLine="0"/>
              <w:rPr>
                <w:rFonts w:ascii="Calibri" w:hAnsi="Calibri" w:cs="Calibri"/>
                <w:b/>
                <w:sz w:val="22"/>
                <w:szCs w:val="22"/>
              </w:rPr>
            </w:pPr>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090E24F" w14:textId="77777777" w:rsidR="00A978FA" w:rsidRPr="00E90063"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p w14:paraId="3C5A4F18" w14:textId="75EDABD9" w:rsidR="00A978FA" w:rsidRPr="00657590" w:rsidRDefault="00A978FA" w:rsidP="00BF5A4E">
            <w:pPr>
              <w:numPr>
                <w:ilvl w:val="0"/>
                <w:numId w:val="2"/>
              </w:numPr>
              <w:tabs>
                <w:tab w:val="left" w:pos="368"/>
              </w:tabs>
              <w:suppressAutoHyphens/>
              <w:rPr>
                <w:rFonts w:ascii="Calibri" w:hAnsi="Calibri" w:cs="Calibri"/>
                <w:sz w:val="22"/>
                <w:szCs w:val="22"/>
              </w:rPr>
            </w:pPr>
            <w:r>
              <w:rPr>
                <w:rFonts w:ascii="Calibri" w:hAnsi="Calibri" w:cs="Calibri"/>
                <w:sz w:val="22"/>
                <w:szCs w:val="22"/>
              </w:rPr>
              <w:lastRenderedPageBreak/>
              <w:t>Waiver request, if applicable, has been reviewed by the county office.</w:t>
            </w:r>
          </w:p>
        </w:tc>
        <w:tc>
          <w:tcPr>
            <w:tcW w:w="1890" w:type="dxa"/>
          </w:tcPr>
          <w:p w14:paraId="7EDE5C3F"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154F7C8E" w14:textId="3385E688" w:rsidTr="00FD3F59">
        <w:trPr>
          <w:trHeight w:val="323"/>
        </w:trPr>
        <w:tc>
          <w:tcPr>
            <w:tcW w:w="7830" w:type="dxa"/>
          </w:tcPr>
          <w:p w14:paraId="1E008733" w14:textId="5C841A59" w:rsidR="008D26A0" w:rsidRPr="00657590" w:rsidRDefault="00A978FA"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t>Grants and Entitlements</w:t>
            </w:r>
            <w:r w:rsidRPr="00657590">
              <w:rPr>
                <w:rFonts w:ascii="Calibri" w:hAnsi="Calibri" w:cs="Calibri"/>
                <w:sz w:val="22"/>
                <w:szCs w:val="22"/>
              </w:rPr>
              <w:t xml:space="preserve"> (i.e. IDEA/Title I): Budgeted amounts appear reasonable.</w:t>
            </w:r>
          </w:p>
        </w:tc>
        <w:tc>
          <w:tcPr>
            <w:tcW w:w="1890" w:type="dxa"/>
          </w:tcPr>
          <w:p w14:paraId="32E9BCCF" w14:textId="77777777" w:rsidR="00A978FA" w:rsidRPr="00657590" w:rsidRDefault="00A978FA" w:rsidP="003D0293">
            <w:pPr>
              <w:pStyle w:val="BodyTextIndent3"/>
              <w:tabs>
                <w:tab w:val="clear" w:pos="0"/>
                <w:tab w:val="clear" w:pos="720"/>
              </w:tabs>
              <w:ind w:left="0" w:firstLine="0"/>
              <w:rPr>
                <w:rFonts w:ascii="Calibri" w:hAnsi="Calibri" w:cs="Calibri"/>
                <w:b/>
                <w:sz w:val="22"/>
                <w:szCs w:val="22"/>
              </w:rPr>
            </w:pPr>
          </w:p>
        </w:tc>
      </w:tr>
      <w:tr w:rsidR="00A978FA" w:rsidRPr="00657590" w14:paraId="508CC7C3" w14:textId="4BFD1D07" w:rsidTr="00FD3F59">
        <w:tc>
          <w:tcPr>
            <w:tcW w:w="7830" w:type="dxa"/>
          </w:tcPr>
          <w:p w14:paraId="73CB125F" w14:textId="77777777" w:rsidR="00A978FA" w:rsidRPr="00657590" w:rsidRDefault="00A978FA"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Reserve Screen </w:t>
            </w:r>
            <w:r w:rsidRPr="00657590">
              <w:rPr>
                <w:rFonts w:ascii="Calibri" w:hAnsi="Calibri" w:cs="Calibri"/>
                <w:spacing w:val="-3"/>
                <w:sz w:val="22"/>
                <w:szCs w:val="22"/>
              </w:rPr>
              <w:t>was completed for project details.</w:t>
            </w:r>
          </w:p>
        </w:tc>
        <w:tc>
          <w:tcPr>
            <w:tcW w:w="1890" w:type="dxa"/>
          </w:tcPr>
          <w:p w14:paraId="484F687D" w14:textId="77777777" w:rsidR="00A978FA" w:rsidRPr="00657590" w:rsidRDefault="00A978FA" w:rsidP="003D0293">
            <w:pPr>
              <w:tabs>
                <w:tab w:val="left" w:pos="-720"/>
              </w:tabs>
              <w:suppressAutoHyphens/>
              <w:rPr>
                <w:rFonts w:ascii="Calibri" w:hAnsi="Calibri" w:cs="Calibri"/>
                <w:spacing w:val="-3"/>
                <w:sz w:val="22"/>
                <w:szCs w:val="22"/>
              </w:rPr>
            </w:pPr>
          </w:p>
        </w:tc>
      </w:tr>
    </w:tbl>
    <w:p w14:paraId="607757E5" w14:textId="77777777" w:rsidR="003D0293" w:rsidRPr="00657590" w:rsidRDefault="003D0293" w:rsidP="00B644A2">
      <w:pPr>
        <w:pStyle w:val="Heading2"/>
        <w:spacing w:before="360" w:after="120"/>
        <w:ind w:left="144"/>
      </w:pPr>
      <w:r w:rsidRPr="00657590">
        <w:t xml:space="preserve">Detailed Recapitulation of Balances (see detailed instructions </w:t>
      </w:r>
      <w:r w:rsidR="00F10D26">
        <w:t>in section III.C.iii</w:t>
      </w:r>
      <w:r w:rsidR="00316C1B" w:rsidRPr="00657590">
        <w:t xml:space="preserve"> i</w:t>
      </w:r>
      <w:r w:rsidRPr="00657590">
        <w:t xml:space="preserve">n </w:t>
      </w:r>
      <w:r w:rsidR="00316C1B" w:rsidRPr="00657590">
        <w:t xml:space="preserve">the </w:t>
      </w:r>
      <w:r w:rsidRPr="00657590">
        <w:t>budget guidelines)</w:t>
      </w:r>
      <w:r w:rsidR="008D17CC" w:rsidRPr="00657590">
        <w:t>:</w:t>
      </w:r>
    </w:p>
    <w:tbl>
      <w:tblPr>
        <w:tblStyle w:val="TableGrid"/>
        <w:tblW w:w="0" w:type="auto"/>
        <w:tblInd w:w="175" w:type="dxa"/>
        <w:tblLook w:val="0420" w:firstRow="1" w:lastRow="0" w:firstColumn="0" w:lastColumn="0" w:noHBand="0" w:noVBand="1"/>
      </w:tblPr>
      <w:tblGrid>
        <w:gridCol w:w="5832"/>
        <w:gridCol w:w="1800"/>
        <w:gridCol w:w="1921"/>
      </w:tblGrid>
      <w:tr w:rsidR="00A978FA" w:rsidRPr="00657590" w14:paraId="7FA2E52F" w14:textId="5E7803F3" w:rsidTr="7D9507B1">
        <w:trPr>
          <w:tblHeader/>
        </w:trPr>
        <w:tc>
          <w:tcPr>
            <w:tcW w:w="5832" w:type="dxa"/>
          </w:tcPr>
          <w:p w14:paraId="5538D07B"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Recap Review Item</w:t>
            </w:r>
          </w:p>
        </w:tc>
        <w:tc>
          <w:tcPr>
            <w:tcW w:w="1800" w:type="dxa"/>
          </w:tcPr>
          <w:p w14:paraId="65FAA01F" w14:textId="15230F9C" w:rsidR="00A978FA" w:rsidRPr="00657590" w:rsidRDefault="00A978FA" w:rsidP="00A978FA">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921" w:type="dxa"/>
          </w:tcPr>
          <w:p w14:paraId="3D3C726B" w14:textId="7D1A9D53" w:rsidR="00A978FA" w:rsidRPr="00657590" w:rsidRDefault="00A978FA" w:rsidP="00A978FA">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3740FE9D" w14:textId="52FE5759" w:rsidTr="7D9507B1">
        <w:tc>
          <w:tcPr>
            <w:tcW w:w="5832" w:type="dxa"/>
          </w:tcPr>
          <w:p w14:paraId="7959F85A"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Unassigned</w:t>
            </w:r>
          </w:p>
          <w:p w14:paraId="1E034C87" w14:textId="35F877B1"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w:t>
            </w:r>
            <w:r w:rsidR="004A5729">
              <w:rPr>
                <w:rFonts w:ascii="Calibri" w:hAnsi="Calibri" w:cs="Calibri"/>
                <w:spacing w:val="-3"/>
                <w:sz w:val="22"/>
                <w:szCs w:val="22"/>
              </w:rPr>
              <w:t>22-23</w:t>
            </w:r>
            <w:r w:rsidRPr="00657590">
              <w:rPr>
                <w:rFonts w:ascii="Calibri" w:hAnsi="Calibri" w:cs="Calibri"/>
                <w:spacing w:val="-3"/>
                <w:sz w:val="22"/>
                <w:szCs w:val="22"/>
              </w:rPr>
              <w:t xml:space="preserve">, has been reviewed, appears reasonable and contains amounts which are approved/approvable under </w:t>
            </w:r>
            <w:r w:rsidRPr="00B04875">
              <w:rPr>
                <w:rFonts w:ascii="Calibri" w:hAnsi="Calibri" w:cs="Calibri"/>
                <w:i/>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r w:rsidR="00B644A2">
              <w:rPr>
                <w:rFonts w:ascii="Calibri" w:hAnsi="Calibri" w:cs="Calibri"/>
                <w:spacing w:val="-3"/>
                <w:sz w:val="22"/>
                <w:szCs w:val="22"/>
              </w:rPr>
              <w:t xml:space="preserve"> (</w:t>
            </w:r>
            <w:r w:rsidR="00B644A2" w:rsidRPr="00B644A2">
              <w:rPr>
                <w:rStyle w:val="Strong"/>
              </w:rPr>
              <w:t>Note</w:t>
            </w:r>
            <w:r w:rsidR="00B644A2">
              <w:rPr>
                <w:rFonts w:ascii="Calibri" w:hAnsi="Calibri" w:cs="Calibri"/>
                <w:spacing w:val="-3"/>
                <w:sz w:val="22"/>
                <w:szCs w:val="22"/>
              </w:rPr>
              <w:t xml:space="preserve">: County approval of surplus transfers </w:t>
            </w:r>
            <w:r w:rsidR="00AB4069">
              <w:rPr>
                <w:rFonts w:ascii="Calibri" w:hAnsi="Calibri" w:cs="Calibri"/>
                <w:spacing w:val="-3"/>
                <w:sz w:val="22"/>
                <w:szCs w:val="22"/>
              </w:rPr>
              <w:t>were</w:t>
            </w:r>
            <w:r w:rsidR="00B644A2">
              <w:rPr>
                <w:rFonts w:ascii="Calibri" w:hAnsi="Calibri" w:cs="Calibri"/>
                <w:spacing w:val="-3"/>
                <w:sz w:val="22"/>
                <w:szCs w:val="22"/>
              </w:rPr>
              <w:t xml:space="preserve"> not required in 2020-21 and 20</w:t>
            </w:r>
            <w:r w:rsidR="004A5729">
              <w:rPr>
                <w:rFonts w:ascii="Calibri" w:hAnsi="Calibri" w:cs="Calibri"/>
                <w:spacing w:val="-3"/>
                <w:sz w:val="22"/>
                <w:szCs w:val="22"/>
              </w:rPr>
              <w:t>2</w:t>
            </w:r>
            <w:r w:rsidR="00AB4069">
              <w:rPr>
                <w:rFonts w:ascii="Calibri" w:hAnsi="Calibri" w:cs="Calibri"/>
                <w:spacing w:val="-3"/>
                <w:sz w:val="22"/>
                <w:szCs w:val="22"/>
              </w:rPr>
              <w:t>1</w:t>
            </w:r>
            <w:r w:rsidR="004A5729">
              <w:rPr>
                <w:rFonts w:ascii="Calibri" w:hAnsi="Calibri" w:cs="Calibri"/>
                <w:spacing w:val="-3"/>
                <w:sz w:val="22"/>
                <w:szCs w:val="22"/>
              </w:rPr>
              <w:t>-2</w:t>
            </w:r>
            <w:r w:rsidR="00AB4069">
              <w:rPr>
                <w:rFonts w:ascii="Calibri" w:hAnsi="Calibri" w:cs="Calibri"/>
                <w:spacing w:val="-3"/>
                <w:sz w:val="22"/>
                <w:szCs w:val="22"/>
              </w:rPr>
              <w:t>2</w:t>
            </w:r>
            <w:r w:rsidR="00B644A2">
              <w:rPr>
                <w:rFonts w:ascii="Calibri" w:hAnsi="Calibri" w:cs="Calibri"/>
                <w:spacing w:val="-3"/>
                <w:sz w:val="22"/>
                <w:szCs w:val="22"/>
              </w:rPr>
              <w:t>, pursuant to P.L. 2021, c.35</w:t>
            </w:r>
            <w:r w:rsidR="00AB4069">
              <w:rPr>
                <w:rFonts w:ascii="Calibri" w:hAnsi="Calibri" w:cs="Calibri"/>
                <w:spacing w:val="-3"/>
                <w:sz w:val="22"/>
                <w:szCs w:val="22"/>
              </w:rPr>
              <w:t>.  The approval requirement has returned for 2022-23.</w:t>
            </w:r>
            <w:r w:rsidR="00B644A2">
              <w:rPr>
                <w:rFonts w:ascii="Calibri" w:hAnsi="Calibri" w:cs="Calibri"/>
                <w:spacing w:val="-3"/>
                <w:sz w:val="22"/>
                <w:szCs w:val="22"/>
              </w:rPr>
              <w:t>)</w:t>
            </w:r>
          </w:p>
          <w:p w14:paraId="7F9B9EAC" w14:textId="4BEA985C" w:rsidR="00A978FA" w:rsidRPr="00657590" w:rsidRDefault="00A978FA" w:rsidP="00BF5A4E">
            <w:pPr>
              <w:numPr>
                <w:ilvl w:val="0"/>
                <w:numId w:val="2"/>
              </w:numPr>
              <w:tabs>
                <w:tab w:val="left" w:pos="368"/>
              </w:tabs>
              <w:suppressAutoHyphens/>
              <w:rPr>
                <w:rFonts w:ascii="Calibri" w:hAnsi="Calibri" w:cs="Calibri"/>
                <w:b/>
                <w:sz w:val="22"/>
                <w:szCs w:val="22"/>
              </w:rPr>
            </w:pPr>
            <w:r w:rsidRPr="00657590">
              <w:rPr>
                <w:rFonts w:ascii="Calibri" w:hAnsi="Calibri" w:cs="Calibri"/>
                <w:spacing w:val="-3"/>
                <w:sz w:val="22"/>
                <w:szCs w:val="22"/>
              </w:rPr>
              <w:t>The amount on line 6 "additional balance anticipated after February 1", column 20</w:t>
            </w:r>
            <w:r w:rsidR="004A5729">
              <w:rPr>
                <w:rFonts w:ascii="Calibri" w:hAnsi="Calibri" w:cs="Calibri"/>
                <w:spacing w:val="-3"/>
                <w:sz w:val="22"/>
                <w:szCs w:val="22"/>
              </w:rPr>
              <w:t>22-23</w:t>
            </w:r>
            <w:r w:rsidRPr="00657590">
              <w:rPr>
                <w:rFonts w:ascii="Calibri" w:hAnsi="Calibri" w:cs="Calibri"/>
                <w:spacing w:val="-3"/>
                <w:sz w:val="22"/>
                <w:szCs w:val="22"/>
              </w:rPr>
              <w:t xml:space="preserve">, has been reviewed and is a reasonable estimate of surplus that will be generated from February 1 to end of year.  (Review </w:t>
            </w:r>
            <w:r w:rsidR="00E5364C">
              <w:rPr>
                <w:rFonts w:ascii="Calibri" w:hAnsi="Calibri" w:cs="Calibri"/>
                <w:spacing w:val="-3"/>
                <w:sz w:val="22"/>
                <w:szCs w:val="22"/>
              </w:rPr>
              <w:t>and  compare to</w:t>
            </w:r>
            <w:r w:rsidR="0055100A">
              <w:rPr>
                <w:rFonts w:ascii="Calibri" w:hAnsi="Calibri" w:cs="Calibri"/>
                <w:spacing w:val="-3"/>
                <w:sz w:val="22"/>
                <w:szCs w:val="22"/>
              </w:rPr>
              <w:t xml:space="preserve"> the</w:t>
            </w:r>
            <w:r w:rsidRPr="00657590">
              <w:rPr>
                <w:rFonts w:ascii="Calibri" w:hAnsi="Calibri" w:cs="Calibri"/>
                <w:spacing w:val="-3"/>
                <w:sz w:val="22"/>
                <w:szCs w:val="22"/>
              </w:rPr>
              <w:t xml:space="preserve"> </w:t>
            </w:r>
            <w:r w:rsidR="0054787F">
              <w:rPr>
                <w:rFonts w:ascii="Calibri" w:hAnsi="Calibri" w:cs="Calibri"/>
                <w:spacing w:val="-3"/>
                <w:sz w:val="22"/>
                <w:szCs w:val="22"/>
              </w:rPr>
              <w:t>AC</w:t>
            </w:r>
            <w:r w:rsidRPr="00657590">
              <w:rPr>
                <w:rFonts w:ascii="Calibri" w:hAnsi="Calibri" w:cs="Calibri"/>
                <w:spacing w:val="-3"/>
                <w:sz w:val="22"/>
                <w:szCs w:val="22"/>
              </w:rPr>
              <w:t>FR historical trend.)</w:t>
            </w:r>
          </w:p>
          <w:p w14:paraId="2E70C4F7" w14:textId="7212DBF2" w:rsidR="00A978FA" w:rsidRPr="00F927EE"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z w:val="22"/>
                <w:szCs w:val="22"/>
              </w:rPr>
              <w:t>The amount on line 7 “anticipated June 20</w:t>
            </w:r>
            <w:r>
              <w:rPr>
                <w:rFonts w:ascii="Calibri" w:hAnsi="Calibri" w:cs="Calibri"/>
                <w:sz w:val="22"/>
                <w:szCs w:val="22"/>
              </w:rPr>
              <w:t>2</w:t>
            </w:r>
            <w:r w:rsidR="00AB4069">
              <w:rPr>
                <w:rFonts w:ascii="Calibri" w:hAnsi="Calibri" w:cs="Calibri"/>
                <w:sz w:val="22"/>
                <w:szCs w:val="22"/>
              </w:rPr>
              <w:t>3</w:t>
            </w:r>
            <w:r w:rsidRPr="00657590">
              <w:rPr>
                <w:rFonts w:ascii="Calibri" w:hAnsi="Calibri" w:cs="Calibri"/>
                <w:sz w:val="22"/>
                <w:szCs w:val="22"/>
              </w:rPr>
              <w:t xml:space="preserve"> transfers to reserves” has been reviewed.  The district intends to make this transfer in June 20</w:t>
            </w:r>
            <w:r>
              <w:rPr>
                <w:rFonts w:ascii="Calibri" w:hAnsi="Calibri" w:cs="Calibri"/>
                <w:sz w:val="22"/>
                <w:szCs w:val="22"/>
              </w:rPr>
              <w:t>2</w:t>
            </w:r>
            <w:r w:rsidR="00AB4069">
              <w:rPr>
                <w:rFonts w:ascii="Calibri" w:hAnsi="Calibri" w:cs="Calibri"/>
                <w:sz w:val="22"/>
                <w:szCs w:val="22"/>
              </w:rPr>
              <w:t>3</w:t>
            </w:r>
            <w:r w:rsidRPr="00657590">
              <w:rPr>
                <w:rFonts w:ascii="Calibri" w:hAnsi="Calibri" w:cs="Calibri"/>
                <w:sz w:val="22"/>
                <w:szCs w:val="22"/>
              </w:rPr>
              <w:t>.</w:t>
            </w:r>
          </w:p>
        </w:tc>
        <w:tc>
          <w:tcPr>
            <w:tcW w:w="1800" w:type="dxa"/>
          </w:tcPr>
          <w:p w14:paraId="0577DFBD" w14:textId="77777777" w:rsidR="00A978FA" w:rsidRPr="00657590" w:rsidRDefault="00A978FA" w:rsidP="00A978FA">
            <w:pPr>
              <w:rPr>
                <w:rFonts w:ascii="Calibri" w:hAnsi="Calibri" w:cs="Calibri"/>
                <w:b/>
                <w:sz w:val="22"/>
                <w:szCs w:val="22"/>
              </w:rPr>
            </w:pPr>
          </w:p>
        </w:tc>
        <w:tc>
          <w:tcPr>
            <w:tcW w:w="1921" w:type="dxa"/>
          </w:tcPr>
          <w:p w14:paraId="0269E16E" w14:textId="77777777" w:rsidR="00A978FA" w:rsidRPr="00657590" w:rsidRDefault="00A978FA" w:rsidP="00A978FA">
            <w:pPr>
              <w:rPr>
                <w:rFonts w:ascii="Calibri" w:hAnsi="Calibri" w:cs="Calibri"/>
                <w:b/>
                <w:sz w:val="22"/>
                <w:szCs w:val="22"/>
              </w:rPr>
            </w:pPr>
          </w:p>
        </w:tc>
      </w:tr>
      <w:tr w:rsidR="00A978FA" w:rsidRPr="00657590" w14:paraId="44CC786D" w14:textId="32F9E23F" w:rsidTr="7D9507B1">
        <w:tc>
          <w:tcPr>
            <w:tcW w:w="5832" w:type="dxa"/>
          </w:tcPr>
          <w:p w14:paraId="51176027"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Legal Reserve</w:t>
            </w:r>
          </w:p>
          <w:p w14:paraId="08D08C8A" w14:textId="05B41635"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w:t>
            </w:r>
            <w:r w:rsidR="004A5729">
              <w:rPr>
                <w:rFonts w:ascii="Calibri" w:hAnsi="Calibri" w:cs="Calibri"/>
                <w:spacing w:val="-3"/>
                <w:sz w:val="22"/>
                <w:szCs w:val="22"/>
              </w:rPr>
              <w:t>22-23</w:t>
            </w:r>
            <w:r w:rsidRPr="00657590">
              <w:rPr>
                <w:rFonts w:ascii="Calibri" w:hAnsi="Calibri" w:cs="Calibri"/>
                <w:spacing w:val="-3"/>
                <w:sz w:val="22"/>
                <w:szCs w:val="22"/>
              </w:rPr>
              <w:t xml:space="preserve"> or 20</w:t>
            </w:r>
            <w:r w:rsidR="004A5729">
              <w:rPr>
                <w:rFonts w:ascii="Calibri" w:hAnsi="Calibri" w:cs="Calibri"/>
                <w:spacing w:val="-3"/>
                <w:sz w:val="22"/>
                <w:szCs w:val="22"/>
              </w:rPr>
              <w:t>23-24</w:t>
            </w:r>
            <w:r w:rsidRPr="00657590">
              <w:rPr>
                <w:rFonts w:ascii="Calibri" w:hAnsi="Calibri" w:cs="Calibri"/>
                <w:spacing w:val="-3"/>
                <w:sz w:val="22"/>
                <w:szCs w:val="22"/>
              </w:rPr>
              <w:t xml:space="preserve">, has been reviewed and compared to the </w:t>
            </w:r>
            <w:r w:rsidR="0054787F">
              <w:rPr>
                <w:rFonts w:ascii="Calibri" w:hAnsi="Calibri" w:cs="Calibri"/>
                <w:spacing w:val="-3"/>
                <w:sz w:val="22"/>
                <w:szCs w:val="22"/>
              </w:rPr>
              <w:t>AC</w:t>
            </w:r>
            <w:r w:rsidRPr="00657590">
              <w:rPr>
                <w:rFonts w:ascii="Calibri" w:hAnsi="Calibri" w:cs="Calibri"/>
                <w:spacing w:val="-3"/>
                <w:sz w:val="22"/>
                <w:szCs w:val="22"/>
              </w:rPr>
              <w:t xml:space="preserve">FR.  (Note: These amounts are preloaded from entries in the district’s </w:t>
            </w:r>
            <w:r>
              <w:rPr>
                <w:rFonts w:ascii="Calibri" w:hAnsi="Calibri" w:cs="Calibri"/>
                <w:spacing w:val="-3"/>
                <w:sz w:val="22"/>
                <w:szCs w:val="22"/>
              </w:rPr>
              <w:t>A</w:t>
            </w:r>
            <w:r w:rsidRPr="00657590">
              <w:rPr>
                <w:rFonts w:ascii="Calibri" w:hAnsi="Calibri" w:cs="Calibri"/>
                <w:spacing w:val="-3"/>
                <w:sz w:val="22"/>
                <w:szCs w:val="22"/>
              </w:rPr>
              <w:t>udsum.  No data entry is allowed on this line in budget.)  (i.e.: 6/30/</w:t>
            </w:r>
            <w:r>
              <w:rPr>
                <w:rFonts w:ascii="Calibri" w:hAnsi="Calibri" w:cs="Calibri"/>
                <w:spacing w:val="-3"/>
                <w:sz w:val="22"/>
                <w:szCs w:val="22"/>
              </w:rPr>
              <w:t>2</w:t>
            </w:r>
            <w:r w:rsidR="007B5655">
              <w:rPr>
                <w:rFonts w:ascii="Calibri" w:hAnsi="Calibri" w:cs="Calibri"/>
                <w:spacing w:val="-3"/>
                <w:sz w:val="22"/>
                <w:szCs w:val="22"/>
              </w:rPr>
              <w:t>2</w:t>
            </w:r>
            <w:r w:rsidRPr="00657590">
              <w:rPr>
                <w:rFonts w:ascii="Calibri" w:hAnsi="Calibri" w:cs="Calibri"/>
                <w:spacing w:val="-3"/>
                <w:sz w:val="22"/>
                <w:szCs w:val="22"/>
              </w:rPr>
              <w:t xml:space="preserve"> audited excess surplus; unspent funds from separate proposals, other legal reserves)</w:t>
            </w:r>
            <w:r>
              <w:rPr>
                <w:rFonts w:ascii="Calibri" w:hAnsi="Calibri" w:cs="Calibri"/>
                <w:spacing w:val="-3"/>
                <w:sz w:val="22"/>
                <w:szCs w:val="22"/>
              </w:rPr>
              <w:t>.</w:t>
            </w:r>
          </w:p>
          <w:p w14:paraId="43AC51D7" w14:textId="5D30343F"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Those districts reflecting legal reserve balances at June 30, 20</w:t>
            </w:r>
            <w:r>
              <w:rPr>
                <w:rFonts w:ascii="Calibri" w:hAnsi="Calibri" w:cs="Calibri"/>
                <w:spacing w:val="-3"/>
                <w:sz w:val="22"/>
                <w:szCs w:val="22"/>
              </w:rPr>
              <w:t>2</w:t>
            </w:r>
            <w:r w:rsidR="007B5655">
              <w:rPr>
                <w:rFonts w:ascii="Calibri" w:hAnsi="Calibri" w:cs="Calibri"/>
                <w:spacing w:val="-3"/>
                <w:sz w:val="22"/>
                <w:szCs w:val="22"/>
              </w:rPr>
              <w:t>4</w:t>
            </w:r>
            <w:r w:rsidRPr="00657590">
              <w:rPr>
                <w:rFonts w:ascii="Calibri" w:hAnsi="Calibri" w:cs="Calibri"/>
                <w:spacing w:val="-3"/>
                <w:sz w:val="22"/>
                <w:szCs w:val="22"/>
              </w:rPr>
              <w:t xml:space="preserve"> (line 19 in 20</w:t>
            </w:r>
            <w:r w:rsidR="004A5729">
              <w:rPr>
                <w:rFonts w:ascii="Calibri" w:hAnsi="Calibri" w:cs="Calibri"/>
                <w:spacing w:val="-3"/>
                <w:sz w:val="22"/>
                <w:szCs w:val="22"/>
              </w:rPr>
              <w:t>23-24</w:t>
            </w:r>
            <w:r w:rsidRPr="00657590">
              <w:rPr>
                <w:rFonts w:ascii="Calibri" w:hAnsi="Calibri" w:cs="Calibri"/>
                <w:spacing w:val="-3"/>
                <w:sz w:val="22"/>
                <w:szCs w:val="22"/>
              </w:rPr>
              <w:t xml:space="preserve"> column) have provided sufficient support for those amounts and their propriety has been challenged by the </w:t>
            </w:r>
            <w:r>
              <w:rPr>
                <w:rFonts w:ascii="Calibri" w:hAnsi="Calibri" w:cs="Calibri"/>
                <w:spacing w:val="-3"/>
                <w:sz w:val="22"/>
                <w:szCs w:val="22"/>
              </w:rPr>
              <w:t>ECS</w:t>
            </w:r>
            <w:r w:rsidRPr="00657590">
              <w:rPr>
                <w:rFonts w:ascii="Calibri" w:hAnsi="Calibri" w:cs="Calibri"/>
                <w:spacing w:val="-3"/>
                <w:sz w:val="22"/>
                <w:szCs w:val="22"/>
              </w:rPr>
              <w:t>.</w:t>
            </w:r>
          </w:p>
        </w:tc>
        <w:tc>
          <w:tcPr>
            <w:tcW w:w="1800" w:type="dxa"/>
          </w:tcPr>
          <w:p w14:paraId="3C0B9079" w14:textId="77777777" w:rsidR="00A978FA" w:rsidRPr="00657590" w:rsidRDefault="00A978FA" w:rsidP="00A978FA">
            <w:pPr>
              <w:rPr>
                <w:rFonts w:ascii="Calibri" w:hAnsi="Calibri" w:cs="Calibri"/>
                <w:b/>
                <w:sz w:val="22"/>
                <w:szCs w:val="22"/>
              </w:rPr>
            </w:pPr>
          </w:p>
        </w:tc>
        <w:tc>
          <w:tcPr>
            <w:tcW w:w="1921" w:type="dxa"/>
          </w:tcPr>
          <w:p w14:paraId="376967F3" w14:textId="77777777" w:rsidR="00A978FA" w:rsidRPr="00657590" w:rsidRDefault="00A978FA" w:rsidP="00A978FA">
            <w:pPr>
              <w:rPr>
                <w:rFonts w:ascii="Calibri" w:hAnsi="Calibri" w:cs="Calibri"/>
                <w:b/>
                <w:sz w:val="22"/>
                <w:szCs w:val="22"/>
              </w:rPr>
            </w:pPr>
          </w:p>
        </w:tc>
      </w:tr>
      <w:tr w:rsidR="00A978FA" w:rsidRPr="00657590" w14:paraId="5FD12FAF" w14:textId="61C5B6AF" w:rsidTr="7D9507B1">
        <w:tc>
          <w:tcPr>
            <w:tcW w:w="5832" w:type="dxa"/>
          </w:tcPr>
          <w:p w14:paraId="4BDF84D6"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Capital Reserve</w:t>
            </w:r>
          </w:p>
          <w:p w14:paraId="58F7DEE8" w14:textId="14241409"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sidR="004A5729">
              <w:rPr>
                <w:rFonts w:ascii="Calibri" w:hAnsi="Calibri" w:cs="Calibri"/>
                <w:spacing w:val="-3"/>
                <w:sz w:val="22"/>
                <w:szCs w:val="22"/>
              </w:rPr>
              <w:t>23-24</w:t>
            </w:r>
            <w:r w:rsidRPr="00657590">
              <w:rPr>
                <w:rFonts w:ascii="Calibri" w:hAnsi="Calibri" w:cs="Calibri"/>
                <w:spacing w:val="-3"/>
                <w:sz w:val="22"/>
                <w:szCs w:val="22"/>
              </w:rPr>
              <w:t>, Line 29 – If an amount is entered, then the description of the designation entered in the “comments” column has been reviewed.</w:t>
            </w:r>
          </w:p>
          <w:p w14:paraId="093560DA" w14:textId="427F079D"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Column 20</w:t>
            </w:r>
            <w:r w:rsidR="004A5729">
              <w:rPr>
                <w:rFonts w:ascii="Calibri" w:hAnsi="Calibri" w:cs="Calibri"/>
                <w:spacing w:val="-3"/>
                <w:sz w:val="22"/>
                <w:szCs w:val="22"/>
              </w:rPr>
              <w:t>23-24</w:t>
            </w:r>
            <w:r w:rsidRPr="00657590">
              <w:rPr>
                <w:rFonts w:ascii="Calibri" w:hAnsi="Calibri" w:cs="Calibri"/>
                <w:spacing w:val="-3"/>
                <w:sz w:val="22"/>
                <w:szCs w:val="22"/>
              </w:rPr>
              <w:t>, Lines 31 &amp; 32 – If budgeting a withdrawal from capital reserve for excess costs or other capital projects which would not otherwise be eligible for the state share, the district has included a separate statement of purpose in the advertised budget.</w:t>
            </w:r>
            <w:r w:rsidR="008B5422">
              <w:rPr>
                <w:rFonts w:ascii="Calibri" w:hAnsi="Calibri" w:cs="Calibri"/>
                <w:spacing w:val="-3"/>
                <w:sz w:val="22"/>
                <w:szCs w:val="22"/>
              </w:rPr>
              <w:t xml:space="preserve"> The statement of purpose has been reviewed.</w:t>
            </w:r>
          </w:p>
        </w:tc>
        <w:tc>
          <w:tcPr>
            <w:tcW w:w="1800" w:type="dxa"/>
          </w:tcPr>
          <w:p w14:paraId="2C88A8FE" w14:textId="77777777" w:rsidR="00A978FA" w:rsidRPr="00657590" w:rsidRDefault="00A978FA" w:rsidP="00A978FA">
            <w:pPr>
              <w:rPr>
                <w:rFonts w:ascii="Calibri" w:hAnsi="Calibri" w:cs="Calibri"/>
                <w:b/>
                <w:sz w:val="22"/>
                <w:szCs w:val="22"/>
              </w:rPr>
            </w:pPr>
          </w:p>
        </w:tc>
        <w:tc>
          <w:tcPr>
            <w:tcW w:w="1921" w:type="dxa"/>
          </w:tcPr>
          <w:p w14:paraId="78FE3681" w14:textId="77777777" w:rsidR="00A978FA" w:rsidRPr="00657590" w:rsidRDefault="00A978FA" w:rsidP="00A978FA">
            <w:pPr>
              <w:rPr>
                <w:rFonts w:ascii="Calibri" w:hAnsi="Calibri" w:cs="Calibri"/>
                <w:b/>
                <w:sz w:val="22"/>
                <w:szCs w:val="22"/>
              </w:rPr>
            </w:pPr>
          </w:p>
        </w:tc>
      </w:tr>
      <w:tr w:rsidR="00A978FA" w:rsidRPr="00657590" w14:paraId="04A0185C" w14:textId="4B7DF863" w:rsidTr="7D9507B1">
        <w:tc>
          <w:tcPr>
            <w:tcW w:w="5832" w:type="dxa"/>
          </w:tcPr>
          <w:p w14:paraId="525F2C7B"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lastRenderedPageBreak/>
              <w:t>Restricted - Tuition Reserve</w:t>
            </w:r>
          </w:p>
          <w:p w14:paraId="283A4B31" w14:textId="51F29F48"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budgeted for withdrawal from tuition reserve in 20</w:t>
            </w:r>
            <w:r w:rsidR="004A5729">
              <w:rPr>
                <w:rFonts w:ascii="Calibri" w:hAnsi="Calibri" w:cs="Calibri"/>
                <w:spacing w:val="-3"/>
                <w:sz w:val="22"/>
                <w:szCs w:val="22"/>
              </w:rPr>
              <w:t>22-23</w:t>
            </w:r>
            <w:r w:rsidRPr="00657590">
              <w:rPr>
                <w:rFonts w:ascii="Calibri" w:hAnsi="Calibri" w:cs="Calibri"/>
                <w:spacing w:val="-3"/>
                <w:sz w:val="22"/>
                <w:szCs w:val="22"/>
              </w:rPr>
              <w:t xml:space="preserve"> on lines </w:t>
            </w:r>
            <w:r w:rsidR="004966BC">
              <w:rPr>
                <w:rFonts w:ascii="Calibri" w:hAnsi="Calibri" w:cs="Calibri"/>
                <w:spacing w:val="-3"/>
                <w:sz w:val="22"/>
                <w:szCs w:val="22"/>
              </w:rPr>
              <w:t>71</w:t>
            </w:r>
            <w:r w:rsidRPr="00657590">
              <w:rPr>
                <w:rFonts w:ascii="Calibri" w:hAnsi="Calibri" w:cs="Calibri"/>
                <w:spacing w:val="-3"/>
                <w:sz w:val="22"/>
                <w:szCs w:val="22"/>
              </w:rPr>
              <w:t xml:space="preserve"> and </w:t>
            </w:r>
            <w:r w:rsidR="004966B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sidR="00E046AB">
              <w:rPr>
                <w:rFonts w:ascii="Calibri" w:hAnsi="Calibri" w:cs="Calibri"/>
                <w:spacing w:val="-3"/>
                <w:sz w:val="22"/>
                <w:szCs w:val="22"/>
              </w:rPr>
              <w:t>2</w:t>
            </w:r>
            <w:r w:rsidR="007B5655">
              <w:rPr>
                <w:rFonts w:ascii="Calibri" w:hAnsi="Calibri" w:cs="Calibri"/>
                <w:spacing w:val="-3"/>
                <w:sz w:val="22"/>
                <w:szCs w:val="22"/>
              </w:rPr>
              <w:t>1</w:t>
            </w:r>
            <w:r w:rsidRPr="00657590">
              <w:rPr>
                <w:rFonts w:ascii="Calibri" w:hAnsi="Calibri" w:cs="Calibri"/>
                <w:spacing w:val="-3"/>
                <w:sz w:val="22"/>
                <w:szCs w:val="22"/>
              </w:rPr>
              <w:t xml:space="preserve">.  Line </w:t>
            </w:r>
            <w:r w:rsidR="004966BC">
              <w:rPr>
                <w:rFonts w:ascii="Calibri" w:hAnsi="Calibri" w:cs="Calibri"/>
                <w:spacing w:val="-3"/>
                <w:sz w:val="22"/>
                <w:szCs w:val="22"/>
              </w:rPr>
              <w:t>71</w:t>
            </w:r>
            <w:r w:rsidRPr="00657590">
              <w:rPr>
                <w:rFonts w:ascii="Calibri" w:hAnsi="Calibri" w:cs="Calibri"/>
                <w:spacing w:val="-3"/>
                <w:sz w:val="22"/>
                <w:szCs w:val="22"/>
              </w:rPr>
              <w:t xml:space="preserve"> contains the amount that was used to fund tuition adjustments (tuition adjustments column on supporting calculation worksheet for tuition) and line </w:t>
            </w:r>
            <w:r w:rsidR="004966BC">
              <w:rPr>
                <w:rFonts w:ascii="Calibri" w:hAnsi="Calibri" w:cs="Calibri"/>
                <w:spacing w:val="-3"/>
                <w:sz w:val="22"/>
                <w:szCs w:val="22"/>
              </w:rPr>
              <w:t>72</w:t>
            </w:r>
            <w:r w:rsidRPr="00657590">
              <w:rPr>
                <w:rFonts w:ascii="Calibri" w:hAnsi="Calibri" w:cs="Calibri"/>
                <w:spacing w:val="-3"/>
                <w:sz w:val="22"/>
                <w:szCs w:val="22"/>
              </w:rPr>
              <w:t xml:space="preserve"> contains the amount in excess of what was used to fund tuition adjustments.</w:t>
            </w:r>
          </w:p>
          <w:p w14:paraId="5F636ED7" w14:textId="0BAF43E4"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w:t>
            </w:r>
            <w:r w:rsidR="004A5729">
              <w:rPr>
                <w:rFonts w:ascii="Calibri" w:hAnsi="Calibri" w:cs="Calibri"/>
                <w:spacing w:val="-3"/>
                <w:sz w:val="22"/>
                <w:szCs w:val="22"/>
              </w:rPr>
              <w:t>23-24</w:t>
            </w:r>
            <w:r w:rsidRPr="00657590">
              <w:rPr>
                <w:rFonts w:ascii="Calibri" w:hAnsi="Calibri" w:cs="Calibri"/>
                <w:spacing w:val="-3"/>
                <w:sz w:val="22"/>
                <w:szCs w:val="22"/>
              </w:rPr>
              <w:t xml:space="preserve"> on lines </w:t>
            </w:r>
            <w:r w:rsidR="004966BC">
              <w:rPr>
                <w:rFonts w:ascii="Calibri" w:hAnsi="Calibri" w:cs="Calibri"/>
                <w:spacing w:val="-3"/>
                <w:sz w:val="22"/>
                <w:szCs w:val="22"/>
              </w:rPr>
              <w:t>71</w:t>
            </w:r>
            <w:r w:rsidRPr="00657590">
              <w:rPr>
                <w:rFonts w:ascii="Calibri" w:hAnsi="Calibri" w:cs="Calibri"/>
                <w:spacing w:val="-3"/>
                <w:sz w:val="22"/>
                <w:szCs w:val="22"/>
              </w:rPr>
              <w:t xml:space="preserve"> and </w:t>
            </w:r>
            <w:r w:rsidR="004966B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Pr>
                <w:rFonts w:ascii="Calibri" w:hAnsi="Calibri" w:cs="Calibri"/>
                <w:spacing w:val="-3"/>
                <w:sz w:val="22"/>
                <w:szCs w:val="22"/>
              </w:rPr>
              <w:t>2</w:t>
            </w:r>
            <w:r w:rsidR="007B5655">
              <w:rPr>
                <w:rFonts w:ascii="Calibri" w:hAnsi="Calibri" w:cs="Calibri"/>
                <w:spacing w:val="-3"/>
                <w:sz w:val="22"/>
                <w:szCs w:val="22"/>
              </w:rPr>
              <w:t>2</w:t>
            </w:r>
            <w:r w:rsidRPr="00657590">
              <w:rPr>
                <w:rFonts w:ascii="Calibri" w:hAnsi="Calibri" w:cs="Calibri"/>
                <w:spacing w:val="-3"/>
                <w:sz w:val="22"/>
                <w:szCs w:val="22"/>
              </w:rPr>
              <w:t xml:space="preserve">.  Line </w:t>
            </w:r>
            <w:r w:rsidR="004966BC">
              <w:rPr>
                <w:rFonts w:ascii="Calibri" w:hAnsi="Calibri" w:cs="Calibri"/>
                <w:spacing w:val="-3"/>
                <w:sz w:val="22"/>
                <w:szCs w:val="22"/>
              </w:rPr>
              <w:t>71</w:t>
            </w:r>
            <w:r w:rsidRPr="00657590">
              <w:rPr>
                <w:rFonts w:ascii="Calibri" w:hAnsi="Calibri" w:cs="Calibri"/>
                <w:spacing w:val="-3"/>
                <w:sz w:val="22"/>
                <w:szCs w:val="22"/>
              </w:rPr>
              <w:t xml:space="preserve"> contains the amount to be used to fund tuition adjustments (tuition adjustment column on supporting calculation worksheet for tuition) and line </w:t>
            </w:r>
            <w:r w:rsidR="004966BC">
              <w:rPr>
                <w:rFonts w:ascii="Calibri" w:hAnsi="Calibri" w:cs="Calibri"/>
                <w:spacing w:val="-3"/>
                <w:sz w:val="22"/>
                <w:szCs w:val="22"/>
              </w:rPr>
              <w:t>72</w:t>
            </w:r>
            <w:r w:rsidRPr="00657590">
              <w:rPr>
                <w:rFonts w:ascii="Calibri" w:hAnsi="Calibri" w:cs="Calibri"/>
                <w:spacing w:val="-3"/>
                <w:sz w:val="22"/>
                <w:szCs w:val="22"/>
              </w:rPr>
              <w:t xml:space="preserve"> contains the amount in excess of what is to be used to fund tuition adjustments</w:t>
            </w:r>
            <w:r>
              <w:rPr>
                <w:rFonts w:ascii="Calibri" w:hAnsi="Calibri" w:cs="Calibri"/>
                <w:spacing w:val="-3"/>
                <w:sz w:val="22"/>
                <w:szCs w:val="22"/>
              </w:rPr>
              <w:t>.</w:t>
            </w:r>
          </w:p>
        </w:tc>
        <w:tc>
          <w:tcPr>
            <w:tcW w:w="1800" w:type="dxa"/>
          </w:tcPr>
          <w:p w14:paraId="39B50CDA" w14:textId="77777777" w:rsidR="00A978FA" w:rsidRPr="00657590" w:rsidRDefault="00A978FA" w:rsidP="00A978FA">
            <w:pPr>
              <w:rPr>
                <w:rFonts w:ascii="Calibri" w:hAnsi="Calibri" w:cs="Calibri"/>
                <w:b/>
                <w:sz w:val="22"/>
                <w:szCs w:val="22"/>
              </w:rPr>
            </w:pPr>
          </w:p>
        </w:tc>
        <w:tc>
          <w:tcPr>
            <w:tcW w:w="1921" w:type="dxa"/>
          </w:tcPr>
          <w:p w14:paraId="3AAEBBD1" w14:textId="77777777" w:rsidR="00A978FA" w:rsidRPr="00657590" w:rsidRDefault="00A978FA" w:rsidP="00A978FA">
            <w:pPr>
              <w:rPr>
                <w:rFonts w:ascii="Calibri" w:hAnsi="Calibri" w:cs="Calibri"/>
                <w:b/>
                <w:sz w:val="22"/>
                <w:szCs w:val="22"/>
              </w:rPr>
            </w:pPr>
          </w:p>
        </w:tc>
      </w:tr>
      <w:tr w:rsidR="00A978FA" w:rsidRPr="00657590" w14:paraId="7350448D" w14:textId="5C681033" w:rsidTr="7D9507B1">
        <w:tc>
          <w:tcPr>
            <w:tcW w:w="5832" w:type="dxa"/>
          </w:tcPr>
          <w:p w14:paraId="2A410FBC"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Current Expense Emergency Reserve</w:t>
            </w:r>
          </w:p>
          <w:p w14:paraId="1D056715" w14:textId="1B309AFF"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If withdrawing from Emergency Reserve in 20</w:t>
            </w:r>
            <w:r w:rsidR="004A5729">
              <w:rPr>
                <w:rFonts w:ascii="Calibri" w:hAnsi="Calibri" w:cs="Calibri"/>
                <w:spacing w:val="-3"/>
                <w:sz w:val="22"/>
                <w:szCs w:val="22"/>
              </w:rPr>
              <w:t>23-24</w:t>
            </w:r>
            <w:r w:rsidRPr="00657590">
              <w:rPr>
                <w:rFonts w:ascii="Calibri" w:hAnsi="Calibri" w:cs="Calibri"/>
                <w:spacing w:val="-3"/>
                <w:sz w:val="22"/>
                <w:szCs w:val="22"/>
              </w:rPr>
              <w:t>, the withdrawal is necessary to meet an increase in total health care costs greater than four percent, or to finance school security improvements. (Note:  These are the only permissible withdrawals for the budget year column.)</w:t>
            </w:r>
          </w:p>
        </w:tc>
        <w:tc>
          <w:tcPr>
            <w:tcW w:w="1800" w:type="dxa"/>
          </w:tcPr>
          <w:p w14:paraId="2991655B" w14:textId="77777777" w:rsidR="00A978FA" w:rsidRPr="00657590" w:rsidRDefault="00A978FA" w:rsidP="00A978FA">
            <w:pPr>
              <w:rPr>
                <w:rFonts w:ascii="Calibri" w:hAnsi="Calibri" w:cs="Calibri"/>
                <w:b/>
                <w:sz w:val="22"/>
                <w:szCs w:val="22"/>
              </w:rPr>
            </w:pPr>
          </w:p>
        </w:tc>
        <w:tc>
          <w:tcPr>
            <w:tcW w:w="1921" w:type="dxa"/>
          </w:tcPr>
          <w:p w14:paraId="1F42551D" w14:textId="77777777" w:rsidR="00A978FA" w:rsidRPr="00657590" w:rsidRDefault="00A978FA" w:rsidP="00A978FA">
            <w:pPr>
              <w:rPr>
                <w:rFonts w:ascii="Calibri" w:hAnsi="Calibri" w:cs="Calibri"/>
                <w:b/>
                <w:sz w:val="22"/>
                <w:szCs w:val="22"/>
              </w:rPr>
            </w:pPr>
          </w:p>
        </w:tc>
      </w:tr>
    </w:tbl>
    <w:p w14:paraId="0EED706C" w14:textId="77777777" w:rsidR="003D0293" w:rsidRPr="00657590" w:rsidRDefault="008D17CC" w:rsidP="0092661B">
      <w:pPr>
        <w:pStyle w:val="Heading2"/>
        <w:spacing w:before="360"/>
        <w:ind w:left="144"/>
      </w:pPr>
      <w:r w:rsidRPr="00657590">
        <w:t>Appropriations:</w:t>
      </w:r>
    </w:p>
    <w:tbl>
      <w:tblPr>
        <w:tblStyle w:val="TableGrid"/>
        <w:tblW w:w="9612" w:type="dxa"/>
        <w:tblInd w:w="175" w:type="dxa"/>
        <w:tblLook w:val="0420" w:firstRow="1" w:lastRow="0" w:firstColumn="0" w:lastColumn="0" w:noHBand="0" w:noVBand="1"/>
      </w:tblPr>
      <w:tblGrid>
        <w:gridCol w:w="7632"/>
        <w:gridCol w:w="1980"/>
      </w:tblGrid>
      <w:tr w:rsidR="0092661B" w:rsidRPr="00657590" w14:paraId="686E6770" w14:textId="0AD41898" w:rsidTr="7D9507B1">
        <w:trPr>
          <w:tblHeader/>
        </w:trPr>
        <w:tc>
          <w:tcPr>
            <w:tcW w:w="7632" w:type="dxa"/>
          </w:tcPr>
          <w:p w14:paraId="50E7D1F4"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Appropriations Review Item</w:t>
            </w:r>
          </w:p>
        </w:tc>
        <w:tc>
          <w:tcPr>
            <w:tcW w:w="1980" w:type="dxa"/>
          </w:tcPr>
          <w:p w14:paraId="05C03B04" w14:textId="7A6AB743"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18CC458" w14:textId="3AA4B9FB" w:rsidTr="7D9507B1">
        <w:tc>
          <w:tcPr>
            <w:tcW w:w="7632" w:type="dxa"/>
          </w:tcPr>
          <w:p w14:paraId="37682629" w14:textId="7A45D6C7" w:rsidR="0092661B" w:rsidRPr="00657590" w:rsidRDefault="0092661B"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w:t>
            </w:r>
            <w:r>
              <w:rPr>
                <w:rFonts w:ascii="Calibri" w:hAnsi="Calibri" w:cs="Calibri"/>
                <w:sz w:val="22"/>
                <w:szCs w:val="22"/>
              </w:rPr>
              <w:t xml:space="preserve">± </w:t>
            </w:r>
            <w:r w:rsidRPr="00657590">
              <w:rPr>
                <w:rFonts w:ascii="Calibri" w:hAnsi="Calibri" w:cs="Calibri"/>
                <w:sz w:val="22"/>
                <w:szCs w:val="22"/>
              </w:rPr>
              <w:t>4%) for reasonableness; and for possible reductions, reallocations, and/or efficiency improvements.</w:t>
            </w:r>
          </w:p>
        </w:tc>
        <w:tc>
          <w:tcPr>
            <w:tcW w:w="1980" w:type="dxa"/>
          </w:tcPr>
          <w:p w14:paraId="5C7FAE7E"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B710490" w14:textId="29560F96" w:rsidTr="7D9507B1">
        <w:tc>
          <w:tcPr>
            <w:tcW w:w="7632" w:type="dxa"/>
          </w:tcPr>
          <w:p w14:paraId="5DFDC4BA"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c>
          <w:tcPr>
            <w:tcW w:w="1980" w:type="dxa"/>
          </w:tcPr>
          <w:p w14:paraId="65A0B1FA"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3B25CC95" w14:textId="09253E7A" w:rsidTr="7D9507B1">
        <w:tc>
          <w:tcPr>
            <w:tcW w:w="7632" w:type="dxa"/>
          </w:tcPr>
          <w:p w14:paraId="291F91B6" w14:textId="122E0B4A" w:rsidR="0092661B" w:rsidRPr="00392829" w:rsidRDefault="0092661B" w:rsidP="00392829">
            <w:pPr>
              <w:pStyle w:val="BodyTextIndent3"/>
              <w:ind w:left="0" w:firstLine="0"/>
              <w:rPr>
                <w:rFonts w:ascii="Calibri" w:hAnsi="Calibri" w:cs="Calibri"/>
                <w:sz w:val="22"/>
                <w:szCs w:val="22"/>
              </w:rPr>
            </w:pPr>
            <w:r w:rsidRPr="00657590">
              <w:rPr>
                <w:rFonts w:ascii="Calibri" w:hAnsi="Calibri" w:cs="Calibri"/>
                <w:sz w:val="22"/>
                <w:szCs w:val="22"/>
              </w:rPr>
              <w:t>Benefits lines:</w:t>
            </w:r>
            <w:r w:rsidR="00392829">
              <w:rPr>
                <w:rFonts w:ascii="Calibri" w:hAnsi="Calibri" w:cs="Calibri"/>
                <w:sz w:val="22"/>
                <w:szCs w:val="22"/>
              </w:rPr>
              <w:t xml:space="preserve"> </w:t>
            </w:r>
            <w:r w:rsidRPr="00657590">
              <w:rPr>
                <w:rFonts w:ascii="Calibri" w:hAnsi="Calibri" w:cs="Calibri"/>
                <w:sz w:val="22"/>
                <w:szCs w:val="22"/>
              </w:rPr>
              <w:t>The amount budgeted for PERS contribution on Line 71060 appears reasonable.</w:t>
            </w:r>
          </w:p>
        </w:tc>
        <w:tc>
          <w:tcPr>
            <w:tcW w:w="1980" w:type="dxa"/>
          </w:tcPr>
          <w:p w14:paraId="74DA7A0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5F7B135F" w14:textId="7C874E3A" w:rsidTr="7D9507B1">
        <w:tc>
          <w:tcPr>
            <w:tcW w:w="7632" w:type="dxa"/>
          </w:tcPr>
          <w:p w14:paraId="3B3E48C9"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Salary lines: Estimated increase for expired/expiring contracts has been budgeted in the salary accounts, if applicable.</w:t>
            </w:r>
          </w:p>
        </w:tc>
        <w:tc>
          <w:tcPr>
            <w:tcW w:w="1980" w:type="dxa"/>
          </w:tcPr>
          <w:p w14:paraId="6DD10D9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78EC5B65" w14:textId="08024F51" w:rsidTr="7D9507B1">
        <w:tc>
          <w:tcPr>
            <w:tcW w:w="7632" w:type="dxa"/>
          </w:tcPr>
          <w:p w14:paraId="7B655149" w14:textId="0471ED39" w:rsidR="0092661B" w:rsidRPr="00657590" w:rsidRDefault="0D98DE38" w:rsidP="008D17CC">
            <w:pPr>
              <w:pStyle w:val="BodyTextIndent3"/>
              <w:ind w:left="0" w:firstLine="0"/>
              <w:rPr>
                <w:rFonts w:ascii="Calibri" w:hAnsi="Calibri" w:cs="Calibri"/>
                <w:sz w:val="22"/>
                <w:szCs w:val="22"/>
              </w:rPr>
            </w:pPr>
            <w:r w:rsidRPr="7D9507B1">
              <w:rPr>
                <w:rFonts w:ascii="Calibri" w:hAnsi="Calibri" w:cs="Calibri"/>
                <w:sz w:val="22"/>
                <w:szCs w:val="22"/>
              </w:rPr>
              <w:t>Charter Schools: Those districts with resident students included in the projected attendance figures for charter schools have properly budgeted the transfer of general fund support on line 84000.</w:t>
            </w:r>
          </w:p>
        </w:tc>
        <w:tc>
          <w:tcPr>
            <w:tcW w:w="1980" w:type="dxa"/>
          </w:tcPr>
          <w:p w14:paraId="5BA98F98"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143C1CC" w14:textId="12F6AAC4" w:rsidTr="7D9507B1">
        <w:tc>
          <w:tcPr>
            <w:tcW w:w="7632" w:type="dxa"/>
          </w:tcPr>
          <w:p w14:paraId="781BE597"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c>
          <w:tcPr>
            <w:tcW w:w="1980" w:type="dxa"/>
          </w:tcPr>
          <w:p w14:paraId="1C01CDF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FD5E5D4" w14:textId="0C463487" w:rsidTr="7D9507B1">
        <w:tc>
          <w:tcPr>
            <w:tcW w:w="7632" w:type="dxa"/>
          </w:tcPr>
          <w:p w14:paraId="50B08B1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c>
          <w:tcPr>
            <w:tcW w:w="1980" w:type="dxa"/>
          </w:tcPr>
          <w:p w14:paraId="7C59C554"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078B166" w14:textId="0ECE2715" w:rsidTr="7D9507B1">
        <w:tc>
          <w:tcPr>
            <w:tcW w:w="7632" w:type="dxa"/>
          </w:tcPr>
          <w:p w14:paraId="4B6DDB08" w14:textId="1E9C7B96" w:rsidR="0092661B" w:rsidRPr="00657590" w:rsidRDefault="0092661B" w:rsidP="008D17CC">
            <w:pPr>
              <w:pStyle w:val="BodyTextIndent3"/>
              <w:tabs>
                <w:tab w:val="clear" w:pos="0"/>
                <w:tab w:val="clear" w:pos="720"/>
              </w:tabs>
              <w:ind w:left="0" w:firstLine="0"/>
              <w:rPr>
                <w:rFonts w:ascii="Calibri" w:hAnsi="Calibri" w:cs="Calibri"/>
                <w:sz w:val="22"/>
                <w:szCs w:val="22"/>
              </w:rPr>
            </w:pPr>
            <w:r>
              <w:rPr>
                <w:rFonts w:ascii="Calibri" w:hAnsi="Calibri" w:cs="Calibri"/>
                <w:sz w:val="22"/>
                <w:szCs w:val="22"/>
              </w:rPr>
              <w:t>Transfer to Enterprise Fund to Cover Deficit on line 72000 has been reviewed.</w:t>
            </w:r>
          </w:p>
        </w:tc>
        <w:tc>
          <w:tcPr>
            <w:tcW w:w="1980" w:type="dxa"/>
          </w:tcPr>
          <w:p w14:paraId="15BE1AA9" w14:textId="77777777" w:rsidR="0092661B" w:rsidRDefault="0092661B" w:rsidP="008D17CC">
            <w:pPr>
              <w:pStyle w:val="BodyTextIndent3"/>
              <w:tabs>
                <w:tab w:val="clear" w:pos="0"/>
                <w:tab w:val="clear" w:pos="720"/>
              </w:tabs>
              <w:ind w:left="0" w:firstLine="0"/>
              <w:rPr>
                <w:rFonts w:ascii="Calibri" w:hAnsi="Calibri" w:cs="Calibri"/>
                <w:sz w:val="22"/>
                <w:szCs w:val="22"/>
              </w:rPr>
            </w:pPr>
          </w:p>
        </w:tc>
      </w:tr>
    </w:tbl>
    <w:p w14:paraId="356AB5FC" w14:textId="61F50615" w:rsidR="008D17CC" w:rsidRPr="00657590" w:rsidRDefault="008D17CC" w:rsidP="0092661B">
      <w:pPr>
        <w:pStyle w:val="Heading2"/>
        <w:spacing w:before="360"/>
        <w:ind w:left="144"/>
      </w:pPr>
      <w:r w:rsidRPr="00657590">
        <w:lastRenderedPageBreak/>
        <w:t>Preschool Education Aid</w:t>
      </w:r>
      <w:r w:rsidR="00F10D26">
        <w:t>:</w:t>
      </w:r>
    </w:p>
    <w:tbl>
      <w:tblPr>
        <w:tblStyle w:val="TableGrid"/>
        <w:tblW w:w="0" w:type="auto"/>
        <w:tblInd w:w="175" w:type="dxa"/>
        <w:tblLook w:val="0420" w:firstRow="1" w:lastRow="0" w:firstColumn="0" w:lastColumn="0" w:noHBand="0" w:noVBand="1"/>
      </w:tblPr>
      <w:tblGrid>
        <w:gridCol w:w="7655"/>
        <w:gridCol w:w="1921"/>
      </w:tblGrid>
      <w:tr w:rsidR="0092661B" w:rsidRPr="008538EC" w14:paraId="31F42D10" w14:textId="786DCD48" w:rsidTr="21C8F00F">
        <w:trPr>
          <w:tblHeader/>
        </w:trPr>
        <w:tc>
          <w:tcPr>
            <w:tcW w:w="7655" w:type="dxa"/>
          </w:tcPr>
          <w:p w14:paraId="3FC63536" w14:textId="498A33CC"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Review Item</w:t>
            </w:r>
          </w:p>
        </w:tc>
        <w:tc>
          <w:tcPr>
            <w:tcW w:w="1921" w:type="dxa"/>
          </w:tcPr>
          <w:p w14:paraId="27692B62" w14:textId="4B682D93"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8538EC" w14:paraId="3C56115D" w14:textId="08B22718" w:rsidTr="21C8F00F">
        <w:tc>
          <w:tcPr>
            <w:tcW w:w="7655" w:type="dxa"/>
          </w:tcPr>
          <w:p w14:paraId="424DC39C" w14:textId="7ECDCB99"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 xml:space="preserve">PEA is budgeted properly.  The amount budgeted agrees to the budget approved by the Division of Early Childhood </w:t>
            </w:r>
            <w:r w:rsidR="00291B99">
              <w:rPr>
                <w:rFonts w:ascii="Calibri" w:hAnsi="Calibri" w:cs="Calibri"/>
                <w:sz w:val="22"/>
                <w:szCs w:val="22"/>
              </w:rPr>
              <w:t>Services</w:t>
            </w:r>
            <w:r w:rsidRPr="00F10D26">
              <w:rPr>
                <w:rFonts w:ascii="Calibri" w:hAnsi="Calibri" w:cs="Calibri"/>
                <w:sz w:val="22"/>
                <w:szCs w:val="22"/>
              </w:rPr>
              <w:t xml:space="preserve"> (if available at the time of budget preparation).</w:t>
            </w:r>
          </w:p>
        </w:tc>
        <w:tc>
          <w:tcPr>
            <w:tcW w:w="1921" w:type="dxa"/>
          </w:tcPr>
          <w:p w14:paraId="35928B0D" w14:textId="77777777"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p>
        </w:tc>
      </w:tr>
      <w:tr w:rsidR="0092661B" w:rsidRPr="008538EC" w14:paraId="4DEA4AC1" w14:textId="51ED4890" w:rsidTr="21C8F00F">
        <w:tc>
          <w:tcPr>
            <w:tcW w:w="7655" w:type="dxa"/>
          </w:tcPr>
          <w:p w14:paraId="03862FF4" w14:textId="785268CA"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 is greater than the budgeted appropriations for preschool, then the amount budgeted for current year PEA</w:t>
            </w:r>
            <w:r>
              <w:rPr>
                <w:rFonts w:ascii="Calibri" w:hAnsi="Calibri" w:cs="Calibri"/>
                <w:sz w:val="22"/>
                <w:szCs w:val="22"/>
              </w:rPr>
              <w:t xml:space="preserve"> </w:t>
            </w:r>
            <w:r w:rsidRPr="00F10D26">
              <w:rPr>
                <w:rFonts w:ascii="Calibri" w:hAnsi="Calibri" w:cs="Calibri"/>
                <w:sz w:val="22"/>
                <w:szCs w:val="22"/>
              </w:rPr>
              <w:t>has been reduced from the State Aid allocation so that budget is balanced (Flows to Line 760 on the Revenue screen).</w:t>
            </w:r>
          </w:p>
        </w:tc>
        <w:tc>
          <w:tcPr>
            <w:tcW w:w="1921" w:type="dxa"/>
          </w:tcPr>
          <w:p w14:paraId="1705AA29"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55AADBC" w14:textId="4F5DA54F" w:rsidTr="21C8F00F">
        <w:tc>
          <w:tcPr>
            <w:tcW w:w="7655" w:type="dxa"/>
          </w:tcPr>
          <w:p w14:paraId="0723D979" w14:textId="4ED9382E" w:rsidR="0092661B" w:rsidRPr="00F10D26" w:rsidRDefault="0092661B" w:rsidP="00330A4E">
            <w:pPr>
              <w:pStyle w:val="BodyTextIndent3"/>
              <w:tabs>
                <w:tab w:val="clear" w:pos="0"/>
                <w:tab w:val="clear" w:pos="720"/>
              </w:tabs>
              <w:ind w:left="0" w:firstLine="0"/>
              <w:rPr>
                <w:rFonts w:ascii="Calibri" w:hAnsi="Calibri" w:cs="Calibri"/>
                <w:b/>
                <w:sz w:val="22"/>
                <w:szCs w:val="22"/>
              </w:rPr>
            </w:pPr>
            <w:r w:rsidRPr="00F10D26">
              <w:rPr>
                <w:rFonts w:ascii="Calibri" w:hAnsi="Calibri" w:cs="Calibri"/>
                <w:sz w:val="22"/>
                <w:szCs w:val="22"/>
              </w:rPr>
              <w:t xml:space="preserve">Prior Year PEA Carryover is budgeted if anticipated as available in the </w:t>
            </w:r>
            <w:r w:rsidR="0054787F">
              <w:rPr>
                <w:rFonts w:ascii="Calibri" w:hAnsi="Calibri" w:cs="Calibri"/>
                <w:sz w:val="22"/>
                <w:szCs w:val="22"/>
              </w:rPr>
              <w:t>AC</w:t>
            </w:r>
            <w:r w:rsidRPr="00F10D26">
              <w:rPr>
                <w:rFonts w:ascii="Calibri" w:hAnsi="Calibri" w:cs="Calibri"/>
                <w:sz w:val="22"/>
                <w:szCs w:val="22"/>
              </w:rPr>
              <w:t>FR at June 30, 20</w:t>
            </w:r>
            <w:r>
              <w:rPr>
                <w:rFonts w:ascii="Calibri" w:hAnsi="Calibri" w:cs="Calibri"/>
                <w:sz w:val="22"/>
                <w:szCs w:val="22"/>
              </w:rPr>
              <w:t>2</w:t>
            </w:r>
            <w:r w:rsidR="007B5655">
              <w:rPr>
                <w:rFonts w:ascii="Calibri" w:hAnsi="Calibri" w:cs="Calibri"/>
                <w:sz w:val="22"/>
                <w:szCs w:val="22"/>
              </w:rPr>
              <w:t>2</w:t>
            </w:r>
            <w:r w:rsidRPr="00F10D26">
              <w:rPr>
                <w:rFonts w:ascii="Calibri" w:hAnsi="Calibri" w:cs="Calibri"/>
                <w:sz w:val="22"/>
                <w:szCs w:val="22"/>
              </w:rPr>
              <w:t xml:space="preserve"> (the total amount of audited June 30, 20</w:t>
            </w:r>
            <w:r>
              <w:rPr>
                <w:rFonts w:ascii="Calibri" w:hAnsi="Calibri" w:cs="Calibri"/>
                <w:sz w:val="22"/>
                <w:szCs w:val="22"/>
              </w:rPr>
              <w:t>2</w:t>
            </w:r>
            <w:r w:rsidR="007B5655">
              <w:rPr>
                <w:rFonts w:ascii="Calibri" w:hAnsi="Calibri" w:cs="Calibri"/>
                <w:sz w:val="22"/>
                <w:szCs w:val="22"/>
              </w:rPr>
              <w:t>2</w:t>
            </w:r>
            <w:r w:rsidRPr="00F10D26">
              <w:rPr>
                <w:rFonts w:ascii="Calibri" w:hAnsi="Calibri" w:cs="Calibri"/>
                <w:sz w:val="22"/>
                <w:szCs w:val="22"/>
              </w:rPr>
              <w:t xml:space="preserve"> carryover (line (8) of the E-2 schedule of the June 30, 20</w:t>
            </w:r>
            <w:r>
              <w:rPr>
                <w:rFonts w:ascii="Calibri" w:hAnsi="Calibri" w:cs="Calibri"/>
                <w:sz w:val="22"/>
                <w:szCs w:val="22"/>
              </w:rPr>
              <w:t>2</w:t>
            </w:r>
            <w:r w:rsidR="007B5655">
              <w:rPr>
                <w:rFonts w:ascii="Calibri" w:hAnsi="Calibri" w:cs="Calibri"/>
                <w:sz w:val="22"/>
                <w:szCs w:val="22"/>
              </w:rPr>
              <w:t>2</w:t>
            </w:r>
            <w:r>
              <w:rPr>
                <w:rFonts w:ascii="Calibri" w:hAnsi="Calibri" w:cs="Calibri"/>
                <w:sz w:val="22"/>
                <w:szCs w:val="22"/>
              </w:rPr>
              <w:t xml:space="preserve"> </w:t>
            </w:r>
            <w:r w:rsidR="0054787F">
              <w:rPr>
                <w:rFonts w:ascii="Calibri" w:hAnsi="Calibri" w:cs="Calibri"/>
                <w:sz w:val="22"/>
                <w:szCs w:val="22"/>
              </w:rPr>
              <w:t>AC</w:t>
            </w:r>
            <w:r w:rsidRPr="00F10D26">
              <w:rPr>
                <w:rFonts w:ascii="Calibri" w:hAnsi="Calibri" w:cs="Calibri"/>
                <w:sz w:val="22"/>
                <w:szCs w:val="22"/>
              </w:rPr>
              <w:t>FR), plus any anticipated carryover from 20</w:t>
            </w:r>
            <w:r w:rsidR="004A5729">
              <w:rPr>
                <w:rFonts w:ascii="Calibri" w:hAnsi="Calibri" w:cs="Calibri"/>
                <w:sz w:val="22"/>
                <w:szCs w:val="22"/>
              </w:rPr>
              <w:t>22-23</w:t>
            </w:r>
            <w:r w:rsidRPr="00F10D26">
              <w:rPr>
                <w:rFonts w:ascii="Calibri" w:hAnsi="Calibri" w:cs="Calibri"/>
                <w:sz w:val="22"/>
                <w:szCs w:val="22"/>
              </w:rPr>
              <w:t>. (Flows to Line 755 on the Revenue screen)</w:t>
            </w:r>
          </w:p>
        </w:tc>
        <w:tc>
          <w:tcPr>
            <w:tcW w:w="1921" w:type="dxa"/>
          </w:tcPr>
          <w:p w14:paraId="569BAD4D"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4B410B2" w14:textId="2D544881" w:rsidTr="21C8F00F">
        <w:tc>
          <w:tcPr>
            <w:tcW w:w="7655" w:type="dxa"/>
          </w:tcPr>
          <w:p w14:paraId="41C38437"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c>
          <w:tcPr>
            <w:tcW w:w="1921" w:type="dxa"/>
          </w:tcPr>
          <w:p w14:paraId="156E3510"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r w:rsidR="0092661B" w:rsidRPr="008538EC" w14:paraId="41D4E051" w14:textId="3FF66321" w:rsidTr="21C8F00F">
        <w:tc>
          <w:tcPr>
            <w:tcW w:w="7655" w:type="dxa"/>
          </w:tcPr>
          <w:p w14:paraId="62ED39F2" w14:textId="30A858EA" w:rsidR="0092661B" w:rsidRPr="00F10D26" w:rsidRDefault="0092661B" w:rsidP="4C8D914D">
            <w:pPr>
              <w:pStyle w:val="BodyTextIndent3"/>
              <w:tabs>
                <w:tab w:val="clear" w:pos="720"/>
              </w:tabs>
              <w:ind w:left="0" w:firstLine="0"/>
              <w:rPr>
                <w:rFonts w:ascii="Calibri" w:hAnsi="Calibri" w:cs="Calibri"/>
                <w:sz w:val="22"/>
                <w:szCs w:val="22"/>
              </w:rPr>
            </w:pPr>
            <w:r w:rsidRPr="21C8F00F">
              <w:rPr>
                <w:rFonts w:ascii="Calibri" w:hAnsi="Calibri" w:cs="Calibri"/>
                <w:sz w:val="22"/>
                <w:szCs w:val="22"/>
              </w:rPr>
              <w:t>If district has mainstreamed students, a transfer from general fund to PEA has been budgeted (both 20</w:t>
            </w:r>
            <w:r w:rsidR="004A5729">
              <w:rPr>
                <w:rFonts w:ascii="Calibri" w:hAnsi="Calibri" w:cs="Calibri"/>
                <w:sz w:val="22"/>
                <w:szCs w:val="22"/>
              </w:rPr>
              <w:t>22-23</w:t>
            </w:r>
            <w:r w:rsidRPr="21C8F00F">
              <w:rPr>
                <w:rFonts w:ascii="Calibri" w:hAnsi="Calibri" w:cs="Calibri"/>
                <w:sz w:val="22"/>
                <w:szCs w:val="22"/>
              </w:rPr>
              <w:t xml:space="preserve"> and 20</w:t>
            </w:r>
            <w:r w:rsidR="004A5729">
              <w:rPr>
                <w:rFonts w:ascii="Calibri" w:hAnsi="Calibri" w:cs="Calibri"/>
                <w:sz w:val="22"/>
                <w:szCs w:val="22"/>
              </w:rPr>
              <w:t>23-24</w:t>
            </w:r>
            <w:r w:rsidRPr="21C8F00F">
              <w:rPr>
                <w:rFonts w:ascii="Calibri" w:hAnsi="Calibri" w:cs="Calibri"/>
                <w:sz w:val="22"/>
                <w:szCs w:val="22"/>
              </w:rPr>
              <w:t>).</w:t>
            </w:r>
            <w:r w:rsidR="2105FE43" w:rsidRPr="21C8F00F">
              <w:rPr>
                <w:rFonts w:ascii="Calibri" w:hAnsi="Calibri" w:cs="Calibri"/>
                <w:sz w:val="22"/>
                <w:szCs w:val="22"/>
              </w:rPr>
              <w:t xml:space="preserve">  Edits test if students are entered with no transfer amount.  If both transfer and students are blank, review to ensure proper budgeting.</w:t>
            </w:r>
          </w:p>
        </w:tc>
        <w:tc>
          <w:tcPr>
            <w:tcW w:w="1921" w:type="dxa"/>
          </w:tcPr>
          <w:p w14:paraId="6A45CB4B"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bl>
    <w:p w14:paraId="204E619F" w14:textId="77777777" w:rsidR="008D17CC" w:rsidRPr="00657590" w:rsidRDefault="008D17CC" w:rsidP="0092661B">
      <w:pPr>
        <w:pStyle w:val="Heading2"/>
        <w:spacing w:before="360"/>
        <w:ind w:left="144"/>
      </w:pPr>
      <w:r w:rsidRPr="00657590">
        <w:t>Capital Projects and Reserve:</w:t>
      </w:r>
    </w:p>
    <w:tbl>
      <w:tblPr>
        <w:tblStyle w:val="TableGrid"/>
        <w:tblW w:w="0" w:type="auto"/>
        <w:tblInd w:w="175" w:type="dxa"/>
        <w:tblLook w:val="0420" w:firstRow="1" w:lastRow="0" w:firstColumn="0" w:lastColumn="0" w:noHBand="0" w:noVBand="1"/>
      </w:tblPr>
      <w:tblGrid>
        <w:gridCol w:w="7632"/>
        <w:gridCol w:w="1921"/>
      </w:tblGrid>
      <w:tr w:rsidR="0092661B" w:rsidRPr="00657590" w14:paraId="0AA41BC0" w14:textId="73099E7A" w:rsidTr="2E51DE8E">
        <w:trPr>
          <w:tblHeader/>
        </w:trPr>
        <w:tc>
          <w:tcPr>
            <w:tcW w:w="7632" w:type="dxa"/>
          </w:tcPr>
          <w:p w14:paraId="00384B0F"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Capital Projects and Reserve Review Item</w:t>
            </w:r>
          </w:p>
        </w:tc>
        <w:tc>
          <w:tcPr>
            <w:tcW w:w="1921" w:type="dxa"/>
          </w:tcPr>
          <w:p w14:paraId="5311939F" w14:textId="314D35C0"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6A52C5E" w14:textId="64592AC7" w:rsidTr="2E51DE8E">
        <w:tc>
          <w:tcPr>
            <w:tcW w:w="7632" w:type="dxa"/>
          </w:tcPr>
          <w:p w14:paraId="490457B2"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c>
          <w:tcPr>
            <w:tcW w:w="1921" w:type="dxa"/>
          </w:tcPr>
          <w:p w14:paraId="4BCB0356"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41201885" w14:textId="464BDB6D" w:rsidTr="2E51DE8E">
        <w:tc>
          <w:tcPr>
            <w:tcW w:w="7632" w:type="dxa"/>
          </w:tcPr>
          <w:p w14:paraId="3159124E"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c>
          <w:tcPr>
            <w:tcW w:w="1921" w:type="dxa"/>
          </w:tcPr>
          <w:p w14:paraId="672DAEA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7F1F43E" w14:textId="5E911BA5" w:rsidTr="2E51DE8E">
        <w:tc>
          <w:tcPr>
            <w:tcW w:w="7632" w:type="dxa"/>
          </w:tcPr>
          <w:p w14:paraId="11709AD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c>
          <w:tcPr>
            <w:tcW w:w="1921" w:type="dxa"/>
          </w:tcPr>
          <w:p w14:paraId="7FDE7BE1"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26E1999" w14:textId="15435902" w:rsidTr="2E51DE8E">
        <w:tc>
          <w:tcPr>
            <w:tcW w:w="7632" w:type="dxa"/>
          </w:tcPr>
          <w:p w14:paraId="41A0D73D"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Audited fund balance in Capital Projects Fund has been reviewed for possible transfer to general fund after completion of projects.  </w:t>
            </w:r>
            <w:r w:rsidRPr="00657590">
              <w:rPr>
                <w:rFonts w:ascii="Calibri" w:hAnsi="Calibri" w:cs="Calibri"/>
                <w:i/>
                <w:sz w:val="22"/>
                <w:szCs w:val="22"/>
              </w:rPr>
              <w:t>(See guidelines for explanations of options under various types of projects.)</w:t>
            </w:r>
          </w:p>
        </w:tc>
        <w:tc>
          <w:tcPr>
            <w:tcW w:w="1921" w:type="dxa"/>
          </w:tcPr>
          <w:p w14:paraId="53BA555A"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B3E3A39" w14:textId="2E693D4E" w:rsidTr="2E51DE8E">
        <w:tc>
          <w:tcPr>
            <w:tcW w:w="7632" w:type="dxa"/>
          </w:tcPr>
          <w:p w14:paraId="6FEE7CFF" w14:textId="2A1AC2E8" w:rsidR="0092661B" w:rsidRPr="0054787F" w:rsidRDefault="24410377" w:rsidP="39411312">
            <w:pPr>
              <w:pStyle w:val="BodyTextIndent3"/>
              <w:tabs>
                <w:tab w:val="clear" w:pos="720"/>
              </w:tabs>
              <w:ind w:left="0" w:firstLine="0"/>
              <w:rPr>
                <w:rFonts w:ascii="Calibri" w:hAnsi="Calibri" w:cs="Calibri"/>
                <w:sz w:val="22"/>
                <w:szCs w:val="22"/>
                <w:highlight w:val="yellow"/>
              </w:rPr>
            </w:pPr>
            <w:r w:rsidRPr="00291B99">
              <w:rPr>
                <w:rFonts w:ascii="Calibri" w:hAnsi="Calibri" w:cs="Calibri"/>
                <w:sz w:val="22"/>
                <w:szCs w:val="22"/>
              </w:rPr>
              <w:t xml:space="preserve">The local </w:t>
            </w:r>
            <w:r w:rsidR="562E2558" w:rsidRPr="00291B99">
              <w:rPr>
                <w:rFonts w:ascii="Calibri" w:hAnsi="Calibri" w:cs="Calibri"/>
                <w:sz w:val="22"/>
                <w:szCs w:val="22"/>
              </w:rPr>
              <w:t>share</w:t>
            </w:r>
            <w:r w:rsidRPr="00291B99">
              <w:rPr>
                <w:rFonts w:ascii="Calibri" w:hAnsi="Calibri" w:cs="Calibri"/>
                <w:sz w:val="22"/>
                <w:szCs w:val="22"/>
              </w:rPr>
              <w:t xml:space="preserve"> of all </w:t>
            </w:r>
            <w:r w:rsidR="794B5316" w:rsidRPr="00291B99">
              <w:rPr>
                <w:rFonts w:ascii="Calibri" w:hAnsi="Calibri" w:cs="Calibri"/>
                <w:sz w:val="22"/>
                <w:szCs w:val="22"/>
              </w:rPr>
              <w:t xml:space="preserve">current </w:t>
            </w:r>
            <w:r w:rsidRPr="00291B99">
              <w:rPr>
                <w:rFonts w:ascii="Calibri" w:hAnsi="Calibri" w:cs="Calibri"/>
                <w:sz w:val="22"/>
                <w:szCs w:val="22"/>
              </w:rPr>
              <w:t xml:space="preserve">projects approved by </w:t>
            </w:r>
            <w:r w:rsidR="07D9BBF8" w:rsidRPr="00291B99">
              <w:rPr>
                <w:rFonts w:ascii="Calibri" w:hAnsi="Calibri" w:cs="Calibri"/>
                <w:sz w:val="22"/>
                <w:szCs w:val="22"/>
              </w:rPr>
              <w:t xml:space="preserve">the </w:t>
            </w:r>
            <w:r w:rsidRPr="00291B99">
              <w:rPr>
                <w:rFonts w:ascii="Calibri" w:hAnsi="Calibri" w:cs="Calibri"/>
                <w:sz w:val="22"/>
                <w:szCs w:val="22"/>
              </w:rPr>
              <w:t>Office of S</w:t>
            </w:r>
            <w:r w:rsidR="00954D84">
              <w:rPr>
                <w:rFonts w:ascii="Calibri" w:hAnsi="Calibri" w:cs="Calibri"/>
                <w:sz w:val="22"/>
                <w:szCs w:val="22"/>
              </w:rPr>
              <w:t>chool</w:t>
            </w:r>
            <w:r w:rsidRPr="00291B99">
              <w:rPr>
                <w:rFonts w:ascii="Calibri" w:hAnsi="Calibri" w:cs="Calibri"/>
                <w:sz w:val="22"/>
                <w:szCs w:val="22"/>
              </w:rPr>
              <w:t xml:space="preserve"> Facilities ha</w:t>
            </w:r>
            <w:r w:rsidR="26ECD06D" w:rsidRPr="00291B99">
              <w:rPr>
                <w:rFonts w:ascii="Calibri" w:hAnsi="Calibri" w:cs="Calibri"/>
                <w:sz w:val="22"/>
                <w:szCs w:val="22"/>
              </w:rPr>
              <w:t>s</w:t>
            </w:r>
            <w:r w:rsidRPr="00291B99">
              <w:rPr>
                <w:rFonts w:ascii="Calibri" w:hAnsi="Calibri" w:cs="Calibri"/>
                <w:sz w:val="22"/>
                <w:szCs w:val="22"/>
              </w:rPr>
              <w:t xml:space="preserve"> been properly budgeted.</w:t>
            </w:r>
          </w:p>
        </w:tc>
        <w:tc>
          <w:tcPr>
            <w:tcW w:w="1921" w:type="dxa"/>
          </w:tcPr>
          <w:p w14:paraId="1661AA7C" w14:textId="781E5D1E" w:rsidR="0092661B" w:rsidRPr="00657590" w:rsidRDefault="0092661B" w:rsidP="39411312">
            <w:pPr>
              <w:pStyle w:val="BodyTextIndent3"/>
              <w:tabs>
                <w:tab w:val="clear" w:pos="720"/>
              </w:tabs>
              <w:ind w:left="0" w:firstLine="0"/>
              <w:rPr>
                <w:rFonts w:ascii="Calibri" w:hAnsi="Calibri" w:cs="Calibri"/>
                <w:sz w:val="22"/>
                <w:szCs w:val="22"/>
              </w:rPr>
            </w:pPr>
          </w:p>
        </w:tc>
      </w:tr>
    </w:tbl>
    <w:p w14:paraId="48D73142" w14:textId="77777777" w:rsidR="008D17CC" w:rsidRPr="00657590" w:rsidRDefault="008D17CC" w:rsidP="0092661B">
      <w:pPr>
        <w:pStyle w:val="Heading2"/>
        <w:spacing w:before="360"/>
        <w:ind w:left="144"/>
      </w:pPr>
      <w:r>
        <w:t>Appropriation of Excess Surplus:</w:t>
      </w:r>
    </w:p>
    <w:tbl>
      <w:tblPr>
        <w:tblStyle w:val="TableGrid"/>
        <w:tblW w:w="0" w:type="auto"/>
        <w:tblInd w:w="175" w:type="dxa"/>
        <w:tblLook w:val="0420" w:firstRow="1" w:lastRow="0" w:firstColumn="0" w:lastColumn="0" w:noHBand="0" w:noVBand="1"/>
      </w:tblPr>
      <w:tblGrid>
        <w:gridCol w:w="7632"/>
        <w:gridCol w:w="1921"/>
      </w:tblGrid>
      <w:tr w:rsidR="0092661B" w:rsidRPr="00657590" w14:paraId="1E47ABD0" w14:textId="6AC2751A" w:rsidTr="2E51DE8E">
        <w:trPr>
          <w:tblHeader/>
        </w:trPr>
        <w:tc>
          <w:tcPr>
            <w:tcW w:w="7632" w:type="dxa"/>
          </w:tcPr>
          <w:p w14:paraId="6F2CA1CA"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 of Excess Surplus Review Item</w:t>
            </w:r>
          </w:p>
        </w:tc>
        <w:tc>
          <w:tcPr>
            <w:tcW w:w="1921" w:type="dxa"/>
          </w:tcPr>
          <w:p w14:paraId="4113550A" w14:textId="6FE231F2"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B0CF753" w14:textId="1DB23E5F" w:rsidTr="2E51DE8E">
        <w:tc>
          <w:tcPr>
            <w:tcW w:w="7632" w:type="dxa"/>
          </w:tcPr>
          <w:p w14:paraId="4293CC2F" w14:textId="361A1578" w:rsidR="0092661B" w:rsidRPr="00657590" w:rsidRDefault="5B330165" w:rsidP="2E51DE8E">
            <w:pPr>
              <w:rPr>
                <w:rFonts w:ascii="Calibri" w:hAnsi="Calibri" w:cs="Calibri"/>
                <w:b/>
                <w:bCs/>
                <w:i/>
                <w:iCs/>
                <w:sz w:val="22"/>
                <w:szCs w:val="22"/>
                <w:u w:val="single"/>
              </w:rPr>
            </w:pPr>
            <w:r w:rsidRPr="2E51DE8E">
              <w:rPr>
                <w:rFonts w:ascii="Calibri" w:hAnsi="Calibri" w:cs="Calibri"/>
                <w:sz w:val="22"/>
                <w:szCs w:val="22"/>
              </w:rPr>
              <w:t>The amount entered on Line A1 "Federal Impact Aid Adjustment" is not greater than the total of revenue line</w:t>
            </w:r>
            <w:r w:rsidR="7E014CED" w:rsidRPr="2E51DE8E">
              <w:rPr>
                <w:rFonts w:ascii="Calibri" w:hAnsi="Calibri" w:cs="Calibri"/>
                <w:sz w:val="22"/>
                <w:szCs w:val="22"/>
              </w:rPr>
              <w:t>s</w:t>
            </w:r>
            <w:r w:rsidRPr="2E51DE8E">
              <w:rPr>
                <w:rFonts w:ascii="Calibri" w:hAnsi="Calibri" w:cs="Calibri"/>
                <w:sz w:val="22"/>
                <w:szCs w:val="22"/>
              </w:rPr>
              <w:t xml:space="preserve"> 53</w:t>
            </w:r>
            <w:r w:rsidR="6452D649" w:rsidRPr="2E51DE8E">
              <w:rPr>
                <w:rFonts w:ascii="Calibri" w:hAnsi="Calibri" w:cs="Calibri"/>
                <w:sz w:val="22"/>
                <w:szCs w:val="22"/>
              </w:rPr>
              <w:t>1 and 532</w:t>
            </w:r>
            <w:r w:rsidRPr="2E51DE8E">
              <w:rPr>
                <w:rFonts w:ascii="Calibri" w:hAnsi="Calibri" w:cs="Calibri"/>
                <w:sz w:val="22"/>
                <w:szCs w:val="22"/>
              </w:rPr>
              <w:t xml:space="preserve"> in 20</w:t>
            </w:r>
            <w:r w:rsidR="004A5729">
              <w:rPr>
                <w:rFonts w:ascii="Calibri" w:hAnsi="Calibri" w:cs="Calibri"/>
                <w:sz w:val="22"/>
                <w:szCs w:val="22"/>
              </w:rPr>
              <w:t>22-23</w:t>
            </w:r>
            <w:r w:rsidRPr="2E51DE8E">
              <w:rPr>
                <w:rFonts w:ascii="Calibri" w:hAnsi="Calibri" w:cs="Calibri"/>
                <w:sz w:val="22"/>
                <w:szCs w:val="22"/>
              </w:rPr>
              <w:t xml:space="preserve"> less any balance transferred to the Impact Aid Reserves in 20</w:t>
            </w:r>
            <w:r w:rsidR="004A5729">
              <w:rPr>
                <w:rFonts w:ascii="Calibri" w:hAnsi="Calibri" w:cs="Calibri"/>
                <w:sz w:val="22"/>
                <w:szCs w:val="22"/>
              </w:rPr>
              <w:t>22-23</w:t>
            </w:r>
            <w:r w:rsidRPr="2E51DE8E">
              <w:rPr>
                <w:rFonts w:ascii="Calibri" w:hAnsi="Calibri" w:cs="Calibri"/>
                <w:sz w:val="22"/>
                <w:szCs w:val="22"/>
              </w:rPr>
              <w:t>.</w:t>
            </w:r>
          </w:p>
        </w:tc>
        <w:tc>
          <w:tcPr>
            <w:tcW w:w="1921" w:type="dxa"/>
          </w:tcPr>
          <w:p w14:paraId="5A0F7EE7" w14:textId="77777777" w:rsidR="0092661B" w:rsidRPr="00657590" w:rsidRDefault="0092661B" w:rsidP="008D17CC">
            <w:pPr>
              <w:rPr>
                <w:rFonts w:ascii="Calibri" w:hAnsi="Calibri" w:cs="Calibri"/>
                <w:sz w:val="22"/>
                <w:szCs w:val="22"/>
              </w:rPr>
            </w:pPr>
          </w:p>
        </w:tc>
      </w:tr>
      <w:tr w:rsidR="0092661B" w:rsidRPr="00657590" w14:paraId="38DAF64B" w14:textId="1F844D32" w:rsidTr="2E51DE8E">
        <w:tc>
          <w:tcPr>
            <w:tcW w:w="7632" w:type="dxa"/>
          </w:tcPr>
          <w:p w14:paraId="6A181498" w14:textId="1E658208" w:rsidR="0092661B" w:rsidRPr="00657590" w:rsidRDefault="0092661B" w:rsidP="008D17CC">
            <w:pPr>
              <w:rPr>
                <w:rFonts w:ascii="Calibri" w:hAnsi="Calibri" w:cs="Calibri"/>
                <w:sz w:val="22"/>
                <w:szCs w:val="22"/>
              </w:rPr>
            </w:pPr>
            <w:r w:rsidRPr="00657590">
              <w:rPr>
                <w:rFonts w:ascii="Calibri" w:hAnsi="Calibri" w:cs="Calibri"/>
                <w:sz w:val="22"/>
                <w:szCs w:val="22"/>
              </w:rPr>
              <w:t>If an amount is entered on Line A2 "Reserved Fund Balance Beyond 20</w:t>
            </w:r>
            <w:r w:rsidR="004A5729">
              <w:rPr>
                <w:rFonts w:ascii="Calibri" w:hAnsi="Calibri" w:cs="Calibri"/>
                <w:sz w:val="22"/>
                <w:szCs w:val="22"/>
              </w:rPr>
              <w:t>23-24</w:t>
            </w:r>
            <w:r w:rsidRPr="00657590">
              <w:rPr>
                <w:rFonts w:ascii="Calibri" w:hAnsi="Calibri" w:cs="Calibri"/>
                <w:sz w:val="22"/>
                <w:szCs w:val="22"/>
              </w:rPr>
              <w:t>", then the Board Resolution and rationale has been reviewed and is reasonable.</w:t>
            </w:r>
          </w:p>
        </w:tc>
        <w:tc>
          <w:tcPr>
            <w:tcW w:w="1921" w:type="dxa"/>
          </w:tcPr>
          <w:p w14:paraId="31923282" w14:textId="77777777" w:rsidR="0092661B" w:rsidRPr="00657590" w:rsidRDefault="0092661B" w:rsidP="008D17CC">
            <w:pPr>
              <w:rPr>
                <w:rFonts w:ascii="Calibri" w:hAnsi="Calibri" w:cs="Calibri"/>
                <w:sz w:val="22"/>
                <w:szCs w:val="22"/>
              </w:rPr>
            </w:pPr>
          </w:p>
        </w:tc>
      </w:tr>
      <w:tr w:rsidR="0092661B" w:rsidRPr="00657590" w14:paraId="6B547B87" w14:textId="50A879AC" w:rsidTr="2E51DE8E">
        <w:tc>
          <w:tcPr>
            <w:tcW w:w="7632" w:type="dxa"/>
          </w:tcPr>
          <w:p w14:paraId="59429B81" w14:textId="77777777" w:rsidR="0092661B" w:rsidRPr="00657590" w:rsidRDefault="0092661B" w:rsidP="008D17CC">
            <w:pPr>
              <w:rPr>
                <w:rFonts w:ascii="Calibri" w:hAnsi="Calibri" w:cs="Calibri"/>
                <w:sz w:val="22"/>
                <w:szCs w:val="22"/>
              </w:rPr>
            </w:pPr>
            <w:r w:rsidRPr="00657590">
              <w:rPr>
                <w:rFonts w:ascii="Calibri" w:hAnsi="Calibri" w:cs="Calibri"/>
                <w:sz w:val="22"/>
                <w:szCs w:val="22"/>
              </w:rPr>
              <w:t>Line A3 "School Bus Advertising Fee Adjustment" contains the reserve for shortage if at least 50 percent of school bus advertising revenue was not used to offset the fuel costs of providing pupil transportation services.</w:t>
            </w:r>
          </w:p>
        </w:tc>
        <w:tc>
          <w:tcPr>
            <w:tcW w:w="1921" w:type="dxa"/>
          </w:tcPr>
          <w:p w14:paraId="6A508A28" w14:textId="77777777" w:rsidR="0092661B" w:rsidRPr="00657590" w:rsidRDefault="0092661B" w:rsidP="008D17CC">
            <w:pPr>
              <w:rPr>
                <w:rFonts w:ascii="Calibri" w:hAnsi="Calibri" w:cs="Calibri"/>
                <w:sz w:val="22"/>
                <w:szCs w:val="22"/>
              </w:rPr>
            </w:pPr>
          </w:p>
        </w:tc>
      </w:tr>
      <w:tr w:rsidR="0092661B" w:rsidRPr="00657590" w14:paraId="1CC21A1C" w14:textId="2ED11618" w:rsidTr="2E51DE8E">
        <w:tc>
          <w:tcPr>
            <w:tcW w:w="7632" w:type="dxa"/>
          </w:tcPr>
          <w:p w14:paraId="4B4B2473" w14:textId="4DB6AD3A" w:rsidR="0092661B" w:rsidRPr="00CC6EE5" w:rsidRDefault="0092661B" w:rsidP="00446662">
            <w:pPr>
              <w:rPr>
                <w:rFonts w:ascii="Calibri" w:hAnsi="Calibri" w:cs="Calibri"/>
                <w:sz w:val="22"/>
                <w:szCs w:val="22"/>
              </w:rPr>
            </w:pPr>
            <w:r w:rsidRPr="4FF9C12D">
              <w:rPr>
                <w:rFonts w:ascii="Calibri" w:hAnsi="Calibri" w:cs="Calibri"/>
                <w:sz w:val="22"/>
                <w:szCs w:val="22"/>
              </w:rPr>
              <w:t>If an amount in entered on Line A4 “Other DOE Approved Adjustments”, the amount has been reviewed.  For 20</w:t>
            </w:r>
            <w:r w:rsidR="004A5729">
              <w:rPr>
                <w:rFonts w:ascii="Calibri" w:hAnsi="Calibri" w:cs="Calibri"/>
                <w:sz w:val="22"/>
                <w:szCs w:val="22"/>
              </w:rPr>
              <w:t>23-24</w:t>
            </w:r>
            <w:r w:rsidRPr="4FF9C12D">
              <w:rPr>
                <w:rFonts w:ascii="Calibri" w:hAnsi="Calibri" w:cs="Calibri"/>
                <w:sz w:val="22"/>
                <w:szCs w:val="22"/>
              </w:rPr>
              <w:t xml:space="preserve"> budget, no amounts are allowed to be entered on this line.</w:t>
            </w:r>
          </w:p>
        </w:tc>
        <w:tc>
          <w:tcPr>
            <w:tcW w:w="1921" w:type="dxa"/>
          </w:tcPr>
          <w:p w14:paraId="26497056" w14:textId="77777777" w:rsidR="0092661B" w:rsidRPr="00CC6EE5" w:rsidRDefault="0092661B" w:rsidP="00446662">
            <w:pPr>
              <w:rPr>
                <w:rFonts w:ascii="Calibri" w:hAnsi="Calibri" w:cs="Calibri"/>
                <w:sz w:val="22"/>
                <w:szCs w:val="22"/>
              </w:rPr>
            </w:pPr>
          </w:p>
        </w:tc>
      </w:tr>
    </w:tbl>
    <w:p w14:paraId="3AF34090" w14:textId="77777777" w:rsidR="008D17CC" w:rsidRPr="00657590" w:rsidRDefault="00687B40" w:rsidP="0092661B">
      <w:pPr>
        <w:pStyle w:val="Heading2"/>
      </w:pPr>
      <w:r w:rsidRPr="00657590">
        <w:lastRenderedPageBreak/>
        <w:t>Supporting Documentation:</w:t>
      </w:r>
    </w:p>
    <w:p w14:paraId="57DBBE03" w14:textId="77777777" w:rsidR="007F3795" w:rsidRPr="007F3795" w:rsidRDefault="00687B40" w:rsidP="00BF5A4E">
      <w:pPr>
        <w:pStyle w:val="Heading3"/>
        <w:numPr>
          <w:ilvl w:val="0"/>
          <w:numId w:val="7"/>
        </w:numPr>
      </w:pPr>
      <w:r w:rsidRPr="00657590">
        <w:t xml:space="preserve">Statement of Priorities and New Jersey Student Learning Standards </w:t>
      </w:r>
    </w:p>
    <w:p w14:paraId="3048B54F" w14:textId="00E477FC" w:rsidR="00687B40" w:rsidRPr="0092661B" w:rsidRDefault="00687B40" w:rsidP="00FD3F59">
      <w:pPr>
        <w:widowControl/>
        <w:ind w:left="720"/>
        <w:rPr>
          <w:rFonts w:ascii="Calibri" w:hAnsi="Calibri" w:cs="Calibri"/>
          <w:sz w:val="22"/>
          <w:szCs w:val="22"/>
        </w:rPr>
      </w:pPr>
      <w:r w:rsidRPr="00657590">
        <w:rPr>
          <w:rFonts w:ascii="Calibri" w:hAnsi="Calibri" w:cs="Calibri"/>
          <w:b/>
          <w:sz w:val="22"/>
          <w:szCs w:val="22"/>
        </w:rPr>
        <w:t xml:space="preserve">- </w:t>
      </w:r>
      <w:r w:rsidRPr="00657590">
        <w:rPr>
          <w:rFonts w:ascii="Calibri" w:hAnsi="Calibri" w:cs="Calibri"/>
          <w:sz w:val="22"/>
          <w:szCs w:val="22"/>
        </w:rPr>
        <w:t>see separate form for ECS/Educational Specialist Review</w:t>
      </w:r>
    </w:p>
    <w:p w14:paraId="70606AA4" w14:textId="77777777" w:rsidR="008D17CC" w:rsidRPr="00657590" w:rsidRDefault="00687B40" w:rsidP="007F3795">
      <w:pPr>
        <w:pStyle w:val="Heading3"/>
      </w:pPr>
      <w:r w:rsidRPr="00657590">
        <w:t>Contract Information for Select Staff:</w:t>
      </w:r>
    </w:p>
    <w:tbl>
      <w:tblPr>
        <w:tblStyle w:val="TableGrid"/>
        <w:tblW w:w="0" w:type="auto"/>
        <w:tblInd w:w="355" w:type="dxa"/>
        <w:tblLook w:val="0420" w:firstRow="1" w:lastRow="0" w:firstColumn="0" w:lastColumn="0" w:noHBand="0" w:noVBand="1"/>
      </w:tblPr>
      <w:tblGrid>
        <w:gridCol w:w="7205"/>
        <w:gridCol w:w="1921"/>
      </w:tblGrid>
      <w:tr w:rsidR="0092661B" w:rsidRPr="00657590" w14:paraId="3E1A3062" w14:textId="3353B750" w:rsidTr="00FD3F59">
        <w:trPr>
          <w:tblHeader/>
        </w:trPr>
        <w:tc>
          <w:tcPr>
            <w:tcW w:w="7205" w:type="dxa"/>
          </w:tcPr>
          <w:p w14:paraId="0C088670"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Contract Information for Select Staff Review Item</w:t>
            </w:r>
          </w:p>
        </w:tc>
        <w:tc>
          <w:tcPr>
            <w:tcW w:w="1921" w:type="dxa"/>
          </w:tcPr>
          <w:p w14:paraId="2DAC3A27" w14:textId="195DE2EF"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7FCDF40" w14:textId="433FA596" w:rsidTr="00FD3F59">
        <w:tc>
          <w:tcPr>
            <w:tcW w:w="7205" w:type="dxa"/>
          </w:tcPr>
          <w:p w14:paraId="71AAFEC6"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c>
          <w:tcPr>
            <w:tcW w:w="1921" w:type="dxa"/>
          </w:tcPr>
          <w:p w14:paraId="7BC046E7" w14:textId="77777777" w:rsidR="0092661B" w:rsidRPr="00657590" w:rsidRDefault="0092661B" w:rsidP="00687B40">
            <w:pPr>
              <w:pStyle w:val="Default"/>
              <w:rPr>
                <w:rFonts w:ascii="Calibri" w:hAnsi="Calibri" w:cs="Calibri"/>
                <w:b/>
                <w:i/>
                <w:spacing w:val="-3"/>
                <w:sz w:val="22"/>
                <w:szCs w:val="22"/>
              </w:rPr>
            </w:pPr>
          </w:p>
        </w:tc>
      </w:tr>
      <w:tr w:rsidR="0092661B" w:rsidRPr="00657590" w14:paraId="2D79F9AC" w14:textId="1A6CFCD6" w:rsidTr="00FD3F59">
        <w:tc>
          <w:tcPr>
            <w:tcW w:w="7205" w:type="dxa"/>
          </w:tcPr>
          <w:p w14:paraId="5E4266FE" w14:textId="77777777" w:rsidR="0092661B" w:rsidRPr="00657590" w:rsidRDefault="0092661B"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77777777" w:rsidR="0092661B" w:rsidRPr="00657590" w:rsidRDefault="0092661B"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  If the district is the employer district, then the total amount of the contract is reported.  If the district is the receiver of shared services, then the line is completed as “shared service” for the applicable job title, and the total amount paid under the agreement is reported in the “additional information” column.</w:t>
            </w:r>
          </w:p>
        </w:tc>
        <w:tc>
          <w:tcPr>
            <w:tcW w:w="1921" w:type="dxa"/>
          </w:tcPr>
          <w:p w14:paraId="622C6D64" w14:textId="77777777" w:rsidR="0092661B" w:rsidRPr="00657590" w:rsidRDefault="0092661B" w:rsidP="00687B40">
            <w:pPr>
              <w:pStyle w:val="Default"/>
              <w:rPr>
                <w:rFonts w:ascii="Calibri" w:hAnsi="Calibri" w:cs="Calibri"/>
                <w:b/>
                <w:i/>
                <w:sz w:val="22"/>
                <w:szCs w:val="22"/>
              </w:rPr>
            </w:pPr>
          </w:p>
        </w:tc>
      </w:tr>
      <w:tr w:rsidR="0092661B" w:rsidRPr="00657590" w14:paraId="6B0F0FBA" w14:textId="5D6D7263" w:rsidTr="00FD3F59">
        <w:tc>
          <w:tcPr>
            <w:tcW w:w="7205" w:type="dxa"/>
          </w:tcPr>
          <w:p w14:paraId="3BE5698D" w14:textId="28633DE1" w:rsidR="0092661B" w:rsidRPr="00657590" w:rsidRDefault="0092661B"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 xml:space="preserve">Amounts entered are appropriate and agree to </w:t>
            </w:r>
            <w:r>
              <w:rPr>
                <w:rFonts w:ascii="Calibri" w:hAnsi="Calibri" w:cs="Calibri"/>
                <w:spacing w:val="-3"/>
                <w:sz w:val="22"/>
                <w:szCs w:val="22"/>
              </w:rPr>
              <w:t xml:space="preserve">the </w:t>
            </w:r>
            <w:r w:rsidRPr="00657590">
              <w:rPr>
                <w:rFonts w:ascii="Calibri" w:hAnsi="Calibri" w:cs="Calibri"/>
                <w:spacing w:val="-3"/>
                <w:sz w:val="22"/>
                <w:szCs w:val="22"/>
              </w:rPr>
              <w:t>contract. If $0 is entered in Post-Employment Benefits, an appropriate description is entered.</w:t>
            </w:r>
          </w:p>
        </w:tc>
        <w:tc>
          <w:tcPr>
            <w:tcW w:w="1921" w:type="dxa"/>
          </w:tcPr>
          <w:p w14:paraId="4ACA30BB" w14:textId="77777777" w:rsidR="0092661B" w:rsidRPr="00657590" w:rsidRDefault="0092661B" w:rsidP="00687B40">
            <w:pPr>
              <w:pStyle w:val="Default"/>
              <w:rPr>
                <w:rFonts w:ascii="Calibri" w:hAnsi="Calibri" w:cs="Calibri"/>
                <w:b/>
                <w:i/>
                <w:spacing w:val="-3"/>
                <w:sz w:val="22"/>
                <w:szCs w:val="22"/>
              </w:rPr>
            </w:pPr>
          </w:p>
        </w:tc>
      </w:tr>
    </w:tbl>
    <w:p w14:paraId="635A5D45" w14:textId="77777777" w:rsidR="00687B40" w:rsidRPr="00657590" w:rsidRDefault="00687B40" w:rsidP="007F3795">
      <w:pPr>
        <w:pStyle w:val="Heading3"/>
      </w:pPr>
      <w:r w:rsidRPr="00657590">
        <w:t>Per Pupil Costs:</w:t>
      </w:r>
    </w:p>
    <w:tbl>
      <w:tblPr>
        <w:tblStyle w:val="TableGrid"/>
        <w:tblW w:w="0" w:type="auto"/>
        <w:tblInd w:w="355" w:type="dxa"/>
        <w:tblLook w:val="0420" w:firstRow="1" w:lastRow="0" w:firstColumn="0" w:lastColumn="0" w:noHBand="0" w:noVBand="1"/>
      </w:tblPr>
      <w:tblGrid>
        <w:gridCol w:w="7205"/>
        <w:gridCol w:w="1921"/>
      </w:tblGrid>
      <w:tr w:rsidR="0092661B" w:rsidRPr="00657590" w14:paraId="49B36A36" w14:textId="47BD3C87" w:rsidTr="00FD3F59">
        <w:trPr>
          <w:tblHeader/>
        </w:trPr>
        <w:tc>
          <w:tcPr>
            <w:tcW w:w="7205" w:type="dxa"/>
          </w:tcPr>
          <w:p w14:paraId="029C8553"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Per Pupil Costs Review Item</w:t>
            </w:r>
          </w:p>
        </w:tc>
        <w:tc>
          <w:tcPr>
            <w:tcW w:w="1921" w:type="dxa"/>
          </w:tcPr>
          <w:p w14:paraId="41C7D737" w14:textId="7AB79F7C"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F8236DC" w14:textId="2A984075" w:rsidTr="00FD3F59">
        <w:tc>
          <w:tcPr>
            <w:tcW w:w="7205" w:type="dxa"/>
          </w:tcPr>
          <w:p w14:paraId="79B9947B"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spacing w:val="-3"/>
                <w:sz w:val="22"/>
                <w:szCs w:val="22"/>
              </w:rPr>
              <w:t>The Per Pupil Costs report has been reviewed.  Upward or downward trends in detail categories are reasonable.</w:t>
            </w:r>
          </w:p>
        </w:tc>
        <w:tc>
          <w:tcPr>
            <w:tcW w:w="1921" w:type="dxa"/>
          </w:tcPr>
          <w:p w14:paraId="2DED9C6D" w14:textId="77777777" w:rsidR="0092661B" w:rsidRPr="00657590" w:rsidRDefault="0092661B" w:rsidP="00687B40">
            <w:pPr>
              <w:pStyle w:val="Default"/>
              <w:rPr>
                <w:rFonts w:ascii="Calibri" w:hAnsi="Calibri" w:cs="Calibri"/>
                <w:spacing w:val="-3"/>
                <w:sz w:val="22"/>
                <w:szCs w:val="22"/>
              </w:rPr>
            </w:pPr>
          </w:p>
        </w:tc>
      </w:tr>
    </w:tbl>
    <w:p w14:paraId="31065C7A" w14:textId="77777777" w:rsidR="008D17CC" w:rsidRPr="00657590" w:rsidRDefault="00687B40" w:rsidP="007F3795">
      <w:pPr>
        <w:pStyle w:val="Heading3"/>
      </w:pPr>
      <w:r w:rsidRPr="00657590">
        <w:t>Administrative Cost Limit:</w:t>
      </w:r>
    </w:p>
    <w:tbl>
      <w:tblPr>
        <w:tblStyle w:val="TableGrid"/>
        <w:tblW w:w="0" w:type="auto"/>
        <w:tblInd w:w="355" w:type="dxa"/>
        <w:tblLook w:val="0420" w:firstRow="1" w:lastRow="0" w:firstColumn="0" w:lastColumn="0" w:noHBand="0" w:noVBand="1"/>
      </w:tblPr>
      <w:tblGrid>
        <w:gridCol w:w="7205"/>
        <w:gridCol w:w="1921"/>
      </w:tblGrid>
      <w:tr w:rsidR="0092661B" w:rsidRPr="00657590" w14:paraId="163CBCDA" w14:textId="1FF7CE31" w:rsidTr="4FF9C12D">
        <w:trPr>
          <w:tblHeader/>
        </w:trPr>
        <w:tc>
          <w:tcPr>
            <w:tcW w:w="7205" w:type="dxa"/>
          </w:tcPr>
          <w:p w14:paraId="69164407"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Administrative Cost Limit Review Item</w:t>
            </w:r>
          </w:p>
        </w:tc>
        <w:tc>
          <w:tcPr>
            <w:tcW w:w="1921" w:type="dxa"/>
          </w:tcPr>
          <w:p w14:paraId="00ADF06B" w14:textId="28D5B901"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D3312B1" w14:textId="2BECD858" w:rsidTr="4FF9C12D">
        <w:tc>
          <w:tcPr>
            <w:tcW w:w="7205" w:type="dxa"/>
          </w:tcPr>
          <w:p w14:paraId="49086386" w14:textId="1B96FCF2" w:rsidR="0092661B" w:rsidRPr="00657590" w:rsidRDefault="0092661B" w:rsidP="00687B40">
            <w:pPr>
              <w:pStyle w:val="Default"/>
              <w:rPr>
                <w:rFonts w:ascii="Calibri" w:hAnsi="Calibri" w:cs="Calibri"/>
                <w:b/>
                <w:spacing w:val="-3"/>
                <w:sz w:val="22"/>
                <w:szCs w:val="22"/>
              </w:rPr>
            </w:pPr>
            <w:r w:rsidRPr="00657590">
              <w:rPr>
                <w:rFonts w:ascii="Calibri" w:hAnsi="Calibri" w:cs="Calibri"/>
                <w:b/>
                <w:spacing w:val="-3"/>
                <w:sz w:val="22"/>
                <w:szCs w:val="22"/>
              </w:rPr>
              <w:t>20</w:t>
            </w:r>
            <w:r w:rsidR="004A5729">
              <w:rPr>
                <w:rFonts w:ascii="Calibri" w:hAnsi="Calibri" w:cs="Calibri"/>
                <w:b/>
                <w:spacing w:val="-3"/>
                <w:sz w:val="22"/>
                <w:szCs w:val="22"/>
              </w:rPr>
              <w:t>23-24</w:t>
            </w:r>
            <w:r w:rsidRPr="00657590">
              <w:rPr>
                <w:rFonts w:ascii="Calibri" w:hAnsi="Calibri" w:cs="Calibri"/>
                <w:b/>
                <w:spacing w:val="-3"/>
                <w:sz w:val="22"/>
                <w:szCs w:val="22"/>
              </w:rPr>
              <w:t xml:space="preserve"> Per Pupil Administrative Cost is within the allowable limit</w:t>
            </w:r>
            <w:r w:rsidRPr="00657590">
              <w:rPr>
                <w:rFonts w:ascii="Calibri" w:hAnsi="Calibri" w:cs="Calibri"/>
                <w:spacing w:val="-3"/>
                <w:sz w:val="22"/>
                <w:szCs w:val="22"/>
              </w:rPr>
              <w:t xml:space="preserve"> </w:t>
            </w:r>
          </w:p>
          <w:p w14:paraId="61DEECC9" w14:textId="7140629B" w:rsidR="0092661B" w:rsidRPr="00657590" w:rsidRDefault="0092661B"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lower of the: (1) the district’s adjusted, as of February 1, per pupil administrative cost for 20</w:t>
            </w:r>
            <w:r w:rsidR="004A5729">
              <w:rPr>
                <w:rFonts w:ascii="Calibri" w:hAnsi="Calibri" w:cs="Calibri"/>
                <w:spacing w:val="-3"/>
                <w:sz w:val="22"/>
                <w:szCs w:val="22"/>
              </w:rPr>
              <w:t>22-23</w:t>
            </w:r>
            <w:r w:rsidRPr="00657590">
              <w:rPr>
                <w:rFonts w:ascii="Calibri" w:hAnsi="Calibri" w:cs="Calibri"/>
                <w:spacing w:val="-3"/>
                <w:sz w:val="22"/>
                <w:szCs w:val="22"/>
              </w:rPr>
              <w:t xml:space="preserve"> or; (2) the 20</w:t>
            </w:r>
            <w:r w:rsidR="004A5729">
              <w:rPr>
                <w:rFonts w:ascii="Calibri" w:hAnsi="Calibri" w:cs="Calibri"/>
                <w:spacing w:val="-3"/>
                <w:sz w:val="22"/>
                <w:szCs w:val="22"/>
              </w:rPr>
              <w:t>23-24</w:t>
            </w:r>
            <w:r w:rsidRPr="00657590">
              <w:rPr>
                <w:rFonts w:ascii="Calibri" w:hAnsi="Calibri" w:cs="Calibri"/>
                <w:spacing w:val="-3"/>
                <w:sz w:val="22"/>
                <w:szCs w:val="22"/>
              </w:rPr>
              <w:t xml:space="preserve"> per pupil administrative cost limit for the district’s region, inflated (regional limit).</w:t>
            </w:r>
          </w:p>
          <w:p w14:paraId="402EC472" w14:textId="71D76D41" w:rsidR="0092661B" w:rsidRPr="00657590" w:rsidRDefault="0092661B" w:rsidP="4CDB02DD">
            <w:pPr>
              <w:pStyle w:val="Default"/>
              <w:rPr>
                <w:rFonts w:ascii="Calibri" w:hAnsi="Calibri" w:cs="Calibri"/>
                <w:b/>
                <w:bCs/>
                <w:spacing w:val="-3"/>
                <w:sz w:val="22"/>
                <w:szCs w:val="22"/>
              </w:rPr>
            </w:pPr>
            <w:r w:rsidRPr="4FF9C12D">
              <w:rPr>
                <w:rFonts w:ascii="Calibri" w:hAnsi="Calibri" w:cs="Calibri"/>
                <w:sz w:val="22"/>
                <w:szCs w:val="22"/>
              </w:rPr>
              <w:t>If district is under the regional limit and submits a request to exceed the district’s adjusted February 1st per pupil administrative cost for the current year by up to 2.5% or the CPI (</w:t>
            </w:r>
            <w:r w:rsidR="00683917">
              <w:rPr>
                <w:rFonts w:ascii="Calibri" w:hAnsi="Calibri" w:cs="Calibri"/>
                <w:sz w:val="22"/>
                <w:szCs w:val="22"/>
              </w:rPr>
              <w:t>5.86</w:t>
            </w:r>
            <w:r w:rsidRPr="4FF9C12D">
              <w:rPr>
                <w:rFonts w:ascii="Calibri" w:hAnsi="Calibri" w:cs="Calibri"/>
                <w:sz w:val="22"/>
                <w:szCs w:val="22"/>
              </w:rPr>
              <w:t>%), whichever is greater, the required justification/documentation is provided and justifies the increase.</w:t>
            </w:r>
          </w:p>
        </w:tc>
        <w:tc>
          <w:tcPr>
            <w:tcW w:w="1921" w:type="dxa"/>
          </w:tcPr>
          <w:p w14:paraId="38346689" w14:textId="77777777" w:rsidR="0092661B" w:rsidRPr="00657590" w:rsidRDefault="0092661B" w:rsidP="00687B40">
            <w:pPr>
              <w:pStyle w:val="Default"/>
              <w:rPr>
                <w:rFonts w:ascii="Calibri" w:hAnsi="Calibri" w:cs="Calibri"/>
                <w:b/>
                <w:spacing w:val="-3"/>
                <w:sz w:val="22"/>
                <w:szCs w:val="22"/>
              </w:rPr>
            </w:pPr>
          </w:p>
        </w:tc>
      </w:tr>
    </w:tbl>
    <w:p w14:paraId="23B7CE13" w14:textId="77777777" w:rsidR="00687B40" w:rsidRPr="00657590" w:rsidRDefault="00687B40" w:rsidP="007F3795">
      <w:pPr>
        <w:pStyle w:val="Heading3"/>
      </w:pPr>
      <w:r w:rsidRPr="00657590">
        <w:t>Employee Benefits Summary:</w:t>
      </w:r>
    </w:p>
    <w:tbl>
      <w:tblPr>
        <w:tblStyle w:val="TableGrid"/>
        <w:tblW w:w="0" w:type="auto"/>
        <w:tblInd w:w="355" w:type="dxa"/>
        <w:tblLook w:val="0420" w:firstRow="1" w:lastRow="0" w:firstColumn="0" w:lastColumn="0" w:noHBand="0" w:noVBand="1"/>
      </w:tblPr>
      <w:tblGrid>
        <w:gridCol w:w="7205"/>
        <w:gridCol w:w="1921"/>
      </w:tblGrid>
      <w:tr w:rsidR="00940CB5" w:rsidRPr="00657590" w14:paraId="2A7D91DC" w14:textId="5D5C3538" w:rsidTr="4FF9C12D">
        <w:trPr>
          <w:tblHeader/>
        </w:trPr>
        <w:tc>
          <w:tcPr>
            <w:tcW w:w="7205" w:type="dxa"/>
          </w:tcPr>
          <w:p w14:paraId="3209513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Employee Benefits Review Item</w:t>
            </w:r>
          </w:p>
        </w:tc>
        <w:tc>
          <w:tcPr>
            <w:tcW w:w="1921" w:type="dxa"/>
          </w:tcPr>
          <w:p w14:paraId="35727D3C" w14:textId="06C34A40"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95966FC" w14:textId="043B431D" w:rsidTr="4FF9C12D">
        <w:tc>
          <w:tcPr>
            <w:tcW w:w="7205" w:type="dxa"/>
          </w:tcPr>
          <w:p w14:paraId="03FAD8BC" w14:textId="0C3AA15F" w:rsidR="00940CB5" w:rsidRPr="00657590" w:rsidRDefault="0E4C1A45" w:rsidP="00F34FC2">
            <w:pPr>
              <w:pStyle w:val="Default"/>
              <w:rPr>
                <w:rFonts w:ascii="Calibri" w:hAnsi="Calibri" w:cs="Calibri"/>
                <w:spacing w:val="-3"/>
                <w:sz w:val="22"/>
                <w:szCs w:val="22"/>
              </w:rPr>
            </w:pPr>
            <w:r w:rsidRPr="4FF9C12D">
              <w:rPr>
                <w:rFonts w:ascii="Calibri" w:hAnsi="Calibri" w:cs="Calibri"/>
                <w:sz w:val="22"/>
                <w:szCs w:val="22"/>
              </w:rPr>
              <w:t>Amounts budgeted for benefits</w:t>
            </w:r>
            <w:r w:rsidR="06742526" w:rsidRPr="4FF9C12D">
              <w:rPr>
                <w:rFonts w:ascii="Calibri" w:hAnsi="Calibri" w:cs="Calibri"/>
                <w:sz w:val="22"/>
                <w:szCs w:val="22"/>
              </w:rPr>
              <w:t xml:space="preserve"> are reasonable.</w:t>
            </w:r>
          </w:p>
        </w:tc>
        <w:tc>
          <w:tcPr>
            <w:tcW w:w="1921" w:type="dxa"/>
          </w:tcPr>
          <w:p w14:paraId="708A5A9E" w14:textId="75ECCF5F" w:rsidR="00940CB5" w:rsidRPr="00657590" w:rsidRDefault="00940CB5" w:rsidP="00F34FC2">
            <w:pPr>
              <w:pStyle w:val="Default"/>
              <w:rPr>
                <w:rFonts w:ascii="Calibri" w:hAnsi="Calibri" w:cs="Calibri"/>
                <w:sz w:val="22"/>
                <w:szCs w:val="22"/>
              </w:rPr>
            </w:pPr>
          </w:p>
        </w:tc>
      </w:tr>
    </w:tbl>
    <w:p w14:paraId="2F579D24" w14:textId="56F61782" w:rsidR="00687B40" w:rsidRPr="00657590" w:rsidRDefault="00687B40">
      <w:pPr>
        <w:pStyle w:val="Heading3"/>
      </w:pPr>
      <w:r>
        <w:t>Shared Services:</w:t>
      </w:r>
    </w:p>
    <w:tbl>
      <w:tblPr>
        <w:tblStyle w:val="TableGrid"/>
        <w:tblW w:w="0" w:type="auto"/>
        <w:tblInd w:w="355" w:type="dxa"/>
        <w:tblLook w:val="0420" w:firstRow="1" w:lastRow="0" w:firstColumn="0" w:lastColumn="0" w:noHBand="0" w:noVBand="1"/>
      </w:tblPr>
      <w:tblGrid>
        <w:gridCol w:w="7205"/>
        <w:gridCol w:w="1921"/>
      </w:tblGrid>
      <w:tr w:rsidR="00940CB5" w:rsidRPr="00657590" w14:paraId="3932AD51" w14:textId="7D5599AB" w:rsidTr="00FD3F59">
        <w:trPr>
          <w:tblHeader/>
        </w:trPr>
        <w:tc>
          <w:tcPr>
            <w:tcW w:w="7205" w:type="dxa"/>
          </w:tcPr>
          <w:p w14:paraId="21E06941"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Shared Services Review Item</w:t>
            </w:r>
          </w:p>
        </w:tc>
        <w:tc>
          <w:tcPr>
            <w:tcW w:w="1921" w:type="dxa"/>
          </w:tcPr>
          <w:p w14:paraId="57F5224A" w14:textId="7F5E6FA6"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0CA40E8" w14:textId="723163BF" w:rsidTr="00FD3F59">
        <w:tc>
          <w:tcPr>
            <w:tcW w:w="7205" w:type="dxa"/>
          </w:tcPr>
          <w:p w14:paraId="0EC89A0B" w14:textId="77777777" w:rsidR="00940CB5" w:rsidRPr="00657590" w:rsidRDefault="00940CB5"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all the district's shared services arrangements.</w:t>
            </w:r>
          </w:p>
        </w:tc>
        <w:tc>
          <w:tcPr>
            <w:tcW w:w="1921" w:type="dxa"/>
          </w:tcPr>
          <w:p w14:paraId="6BCC81AF" w14:textId="77777777" w:rsidR="00940CB5" w:rsidRPr="00657590" w:rsidRDefault="00940CB5" w:rsidP="00F34FC2">
            <w:pPr>
              <w:pStyle w:val="Default"/>
              <w:rPr>
                <w:rFonts w:ascii="Calibri" w:hAnsi="Calibri" w:cs="Calibri"/>
                <w:spacing w:val="-3"/>
                <w:sz w:val="22"/>
                <w:szCs w:val="22"/>
              </w:rPr>
            </w:pPr>
          </w:p>
        </w:tc>
      </w:tr>
    </w:tbl>
    <w:p w14:paraId="7DE0D14A" w14:textId="77777777" w:rsidR="00687B40" w:rsidRPr="00657590" w:rsidRDefault="00687B40" w:rsidP="007F3795">
      <w:pPr>
        <w:pStyle w:val="Heading3"/>
      </w:pPr>
      <w:r>
        <w:t>Unusual Revenues and Appropriations:</w:t>
      </w:r>
    </w:p>
    <w:tbl>
      <w:tblPr>
        <w:tblStyle w:val="TableGrid"/>
        <w:tblW w:w="0" w:type="auto"/>
        <w:tblInd w:w="355" w:type="dxa"/>
        <w:tblLook w:val="0420" w:firstRow="1" w:lastRow="0" w:firstColumn="0" w:lastColumn="0" w:noHBand="0" w:noVBand="1"/>
      </w:tblPr>
      <w:tblGrid>
        <w:gridCol w:w="7205"/>
        <w:gridCol w:w="1921"/>
      </w:tblGrid>
      <w:tr w:rsidR="00940CB5" w:rsidRPr="00657590" w14:paraId="0CFEB617" w14:textId="2C3A6501" w:rsidTr="00FD3F59">
        <w:trPr>
          <w:tblHeader/>
        </w:trPr>
        <w:tc>
          <w:tcPr>
            <w:tcW w:w="7205" w:type="dxa"/>
          </w:tcPr>
          <w:p w14:paraId="46E2FC8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Unusual Revenue and Appropriations Review Item</w:t>
            </w:r>
          </w:p>
        </w:tc>
        <w:tc>
          <w:tcPr>
            <w:tcW w:w="1921" w:type="dxa"/>
          </w:tcPr>
          <w:p w14:paraId="57419866" w14:textId="3D724C8D"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5C799965" w14:textId="0A80745F" w:rsidTr="00FD3F59">
        <w:tc>
          <w:tcPr>
            <w:tcW w:w="7205" w:type="dxa"/>
          </w:tcPr>
          <w:p w14:paraId="60FCC760" w14:textId="77777777" w:rsidR="00940CB5" w:rsidRPr="00657590" w:rsidRDefault="00940CB5"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c>
          <w:tcPr>
            <w:tcW w:w="1921" w:type="dxa"/>
          </w:tcPr>
          <w:p w14:paraId="7CFD28E4" w14:textId="77777777" w:rsidR="00940CB5" w:rsidRPr="00657590" w:rsidRDefault="00940CB5" w:rsidP="00687B40">
            <w:pPr>
              <w:pStyle w:val="Default"/>
              <w:rPr>
                <w:rFonts w:ascii="Calibri" w:hAnsi="Calibri" w:cs="Calibri"/>
                <w:sz w:val="22"/>
                <w:szCs w:val="22"/>
              </w:rPr>
            </w:pPr>
          </w:p>
        </w:tc>
      </w:tr>
      <w:tr w:rsidR="00940CB5" w:rsidRPr="00657590" w14:paraId="1E636B2F" w14:textId="17169E81" w:rsidTr="00FD3F59">
        <w:tc>
          <w:tcPr>
            <w:tcW w:w="7205" w:type="dxa"/>
          </w:tcPr>
          <w:p w14:paraId="0C867C83" w14:textId="772C8B14" w:rsidR="00940CB5" w:rsidRPr="00657590" w:rsidRDefault="00940CB5" w:rsidP="00687B40">
            <w:pPr>
              <w:pStyle w:val="Default"/>
              <w:rPr>
                <w:rFonts w:ascii="Calibri" w:hAnsi="Calibri" w:cs="Calibri"/>
                <w:sz w:val="22"/>
                <w:szCs w:val="22"/>
              </w:rPr>
            </w:pPr>
            <w:r>
              <w:rPr>
                <w:rFonts w:ascii="Calibri" w:hAnsi="Calibri" w:cs="Calibri"/>
                <w:sz w:val="22"/>
                <w:szCs w:val="22"/>
              </w:rPr>
              <w:t xml:space="preserve">Only </w:t>
            </w:r>
            <w:r w:rsidRPr="00371C02">
              <w:rPr>
                <w:rFonts w:ascii="Calibri" w:hAnsi="Calibri" w:cs="Calibri"/>
                <w:b/>
                <w:sz w:val="22"/>
                <w:szCs w:val="22"/>
              </w:rPr>
              <w:t xml:space="preserve">unusual </w:t>
            </w:r>
            <w:r>
              <w:rPr>
                <w:rFonts w:ascii="Calibri" w:hAnsi="Calibri" w:cs="Calibri"/>
                <w:sz w:val="22"/>
                <w:szCs w:val="22"/>
              </w:rPr>
              <w:t xml:space="preserve">revenues and appropriations have been entered on this report. </w:t>
            </w:r>
            <w:r>
              <w:rPr>
                <w:rFonts w:ascii="Calibri" w:hAnsi="Calibri" w:cs="Calibri"/>
                <w:sz w:val="22"/>
                <w:szCs w:val="22"/>
              </w:rPr>
              <w:lastRenderedPageBreak/>
              <w:t>“Unusual” refers to those items that are not used or earned in the normal course of operating a school district.</w:t>
            </w:r>
          </w:p>
        </w:tc>
        <w:tc>
          <w:tcPr>
            <w:tcW w:w="1921" w:type="dxa"/>
          </w:tcPr>
          <w:p w14:paraId="59CB6F16" w14:textId="77777777" w:rsidR="00940CB5" w:rsidRDefault="00940CB5" w:rsidP="00687B40">
            <w:pPr>
              <w:pStyle w:val="Default"/>
              <w:rPr>
                <w:rFonts w:ascii="Calibri" w:hAnsi="Calibri" w:cs="Calibri"/>
                <w:sz w:val="22"/>
                <w:szCs w:val="22"/>
              </w:rPr>
            </w:pPr>
          </w:p>
        </w:tc>
      </w:tr>
    </w:tbl>
    <w:p w14:paraId="27E4D4C1" w14:textId="77777777" w:rsidR="00687B40" w:rsidRPr="00657590" w:rsidRDefault="00687B40" w:rsidP="007F3795">
      <w:pPr>
        <w:pStyle w:val="Heading3"/>
      </w:pPr>
      <w:r>
        <w:t>Equipment</w:t>
      </w:r>
    </w:p>
    <w:tbl>
      <w:tblPr>
        <w:tblStyle w:val="TableGrid"/>
        <w:tblW w:w="0" w:type="auto"/>
        <w:tblInd w:w="355" w:type="dxa"/>
        <w:tblLook w:val="04A0" w:firstRow="1" w:lastRow="0" w:firstColumn="1" w:lastColumn="0" w:noHBand="0" w:noVBand="1"/>
      </w:tblPr>
      <w:tblGrid>
        <w:gridCol w:w="7205"/>
        <w:gridCol w:w="1921"/>
      </w:tblGrid>
      <w:tr w:rsidR="00940CB5" w:rsidRPr="00657590" w14:paraId="2D30AB58" w14:textId="17D06BF2" w:rsidTr="00FD3F59">
        <w:trPr>
          <w:tblHeader/>
        </w:trPr>
        <w:tc>
          <w:tcPr>
            <w:tcW w:w="7205" w:type="dxa"/>
          </w:tcPr>
          <w:p w14:paraId="1BCD4730"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Equipment Review Item</w:t>
            </w:r>
          </w:p>
        </w:tc>
        <w:tc>
          <w:tcPr>
            <w:tcW w:w="1921" w:type="dxa"/>
          </w:tcPr>
          <w:p w14:paraId="31C9D2DF" w14:textId="2F596E72"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6E3E5ECD" w14:textId="26AB7215" w:rsidTr="00FD3F59">
        <w:tc>
          <w:tcPr>
            <w:tcW w:w="7205" w:type="dxa"/>
          </w:tcPr>
          <w:p w14:paraId="4DBD3245" w14:textId="1DEF8C3F" w:rsidR="00940CB5" w:rsidRPr="00657590" w:rsidRDefault="00940CB5" w:rsidP="00F34FC2">
            <w:pPr>
              <w:pStyle w:val="Default"/>
              <w:rPr>
                <w:rFonts w:ascii="Calibri" w:hAnsi="Calibri" w:cs="Calibri"/>
                <w:spacing w:val="-3"/>
                <w:sz w:val="22"/>
                <w:szCs w:val="22"/>
              </w:rPr>
            </w:pPr>
            <w:r w:rsidRPr="00657590">
              <w:rPr>
                <w:rFonts w:ascii="Calibri" w:hAnsi="Calibri" w:cs="Calibri"/>
                <w:sz w:val="22"/>
                <w:szCs w:val="22"/>
              </w:rPr>
              <w:t>Review descriptions of, and justifications for inclusion, to ensure that only equipment is listed</w:t>
            </w:r>
            <w:r>
              <w:rPr>
                <w:rFonts w:ascii="Calibri" w:hAnsi="Calibri" w:cs="Calibri"/>
                <w:sz w:val="22"/>
                <w:szCs w:val="22"/>
              </w:rPr>
              <w:t>,</w:t>
            </w:r>
            <w:r w:rsidRPr="00657590">
              <w:rPr>
                <w:rFonts w:ascii="Calibri" w:hAnsi="Calibri" w:cs="Calibri"/>
                <w:sz w:val="22"/>
                <w:szCs w:val="22"/>
              </w:rPr>
              <w:t xml:space="preserve"> and amounts appear reasonable and necessary.</w:t>
            </w:r>
            <w:r>
              <w:rPr>
                <w:rFonts w:ascii="Calibri" w:hAnsi="Calibri" w:cs="Calibri"/>
                <w:sz w:val="22"/>
                <w:szCs w:val="22"/>
              </w:rPr>
              <w:t xml:space="preserve">  Refer to </w:t>
            </w:r>
            <w:hyperlink r:id="rId13" w:history="1">
              <w:r w:rsidRPr="00F10D26">
                <w:rPr>
                  <w:rStyle w:val="Hyperlink"/>
                  <w:rFonts w:ascii="Calibri" w:hAnsi="Calibri" w:cs="Calibri"/>
                  <w:sz w:val="22"/>
                  <w:szCs w:val="22"/>
                </w:rPr>
                <w:t>Chart of Accounts</w:t>
              </w:r>
            </w:hyperlink>
            <w:r>
              <w:rPr>
                <w:rFonts w:ascii="Calibri" w:hAnsi="Calibri" w:cs="Calibri"/>
                <w:sz w:val="22"/>
                <w:szCs w:val="22"/>
              </w:rPr>
              <w:t xml:space="preserve"> Appendix B for criteria distinguishing supplies from equipment, including capitalization threshold of $2,000</w:t>
            </w:r>
            <w:r w:rsidR="00543E3E">
              <w:rPr>
                <w:rFonts w:ascii="Calibri" w:hAnsi="Calibri" w:cs="Calibri"/>
                <w:sz w:val="22"/>
                <w:szCs w:val="22"/>
              </w:rPr>
              <w:t xml:space="preserve"> per unit</w:t>
            </w:r>
            <w:r>
              <w:rPr>
                <w:rFonts w:ascii="Calibri" w:hAnsi="Calibri" w:cs="Calibri"/>
                <w:sz w:val="22"/>
                <w:szCs w:val="22"/>
              </w:rPr>
              <w:t>.</w:t>
            </w:r>
          </w:p>
        </w:tc>
        <w:tc>
          <w:tcPr>
            <w:tcW w:w="1921" w:type="dxa"/>
          </w:tcPr>
          <w:p w14:paraId="1A444488" w14:textId="77777777" w:rsidR="00940CB5" w:rsidRPr="00657590" w:rsidRDefault="00940CB5" w:rsidP="00F34FC2">
            <w:pPr>
              <w:pStyle w:val="Default"/>
              <w:rPr>
                <w:rFonts w:ascii="Calibri" w:hAnsi="Calibri" w:cs="Calibri"/>
                <w:sz w:val="22"/>
                <w:szCs w:val="22"/>
              </w:rPr>
            </w:pPr>
          </w:p>
        </w:tc>
      </w:tr>
    </w:tbl>
    <w:p w14:paraId="2F4CB77F" w14:textId="77777777" w:rsidR="008D17CC" w:rsidRPr="00657590" w:rsidRDefault="00687B40" w:rsidP="00394EEE">
      <w:pPr>
        <w:pStyle w:val="Heading2"/>
        <w:spacing w:before="360"/>
      </w:pPr>
      <w:r w:rsidRPr="00657590">
        <w:t>Other Areas of Review:</w:t>
      </w:r>
    </w:p>
    <w:p w14:paraId="2D284C6B" w14:textId="77777777" w:rsidR="00687B40" w:rsidRPr="00394EEE" w:rsidRDefault="00687B40" w:rsidP="00BF5A4E">
      <w:pPr>
        <w:pStyle w:val="Heading3"/>
        <w:numPr>
          <w:ilvl w:val="0"/>
          <w:numId w:val="6"/>
        </w:numPr>
      </w:pPr>
      <w:r w:rsidRPr="00394EEE">
        <w:t>Enrollment Projections</w:t>
      </w:r>
      <w:r w:rsidR="009A077C" w:rsidRPr="00394EEE">
        <w:t>:</w:t>
      </w:r>
    </w:p>
    <w:tbl>
      <w:tblPr>
        <w:tblStyle w:val="TableGrid"/>
        <w:tblW w:w="0" w:type="auto"/>
        <w:tblInd w:w="355" w:type="dxa"/>
        <w:tblLook w:val="0420" w:firstRow="1" w:lastRow="0" w:firstColumn="0" w:lastColumn="0" w:noHBand="0" w:noVBand="1"/>
      </w:tblPr>
      <w:tblGrid>
        <w:gridCol w:w="7205"/>
        <w:gridCol w:w="1921"/>
      </w:tblGrid>
      <w:tr w:rsidR="00394EEE" w:rsidRPr="00657590" w14:paraId="41C71FAC" w14:textId="63679E2A" w:rsidTr="00FD3F59">
        <w:trPr>
          <w:tblHeader/>
        </w:trPr>
        <w:tc>
          <w:tcPr>
            <w:tcW w:w="7205" w:type="dxa"/>
          </w:tcPr>
          <w:p w14:paraId="24E6B554"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Enrollment Projections Review Item</w:t>
            </w:r>
          </w:p>
        </w:tc>
        <w:tc>
          <w:tcPr>
            <w:tcW w:w="1921" w:type="dxa"/>
          </w:tcPr>
          <w:p w14:paraId="192B9178" w14:textId="12C44E33"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25475A87" w14:textId="377864C3" w:rsidTr="00FD3F59">
        <w:tc>
          <w:tcPr>
            <w:tcW w:w="7205" w:type="dxa"/>
          </w:tcPr>
          <w:p w14:paraId="7BA5DE20" w14:textId="77777777"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c>
          <w:tcPr>
            <w:tcW w:w="1921" w:type="dxa"/>
          </w:tcPr>
          <w:p w14:paraId="20BE6136" w14:textId="77777777" w:rsidR="00394EEE" w:rsidRPr="00657590" w:rsidRDefault="00394EEE" w:rsidP="00D64F5C">
            <w:pPr>
              <w:pStyle w:val="Default"/>
              <w:rPr>
                <w:rFonts w:ascii="Calibri" w:hAnsi="Calibri" w:cs="Calibri"/>
                <w:spacing w:val="-3"/>
                <w:sz w:val="22"/>
                <w:szCs w:val="22"/>
              </w:rPr>
            </w:pPr>
          </w:p>
        </w:tc>
      </w:tr>
      <w:tr w:rsidR="00394EEE" w:rsidRPr="00657590" w14:paraId="2186A5AF" w14:textId="42A41C53" w:rsidTr="00FD3F59">
        <w:tc>
          <w:tcPr>
            <w:tcW w:w="7205" w:type="dxa"/>
          </w:tcPr>
          <w:p w14:paraId="7397CC54" w14:textId="604353AE"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 xml:space="preserve">Adequate supporting documentation/justification is provided for projected District enrollment. For projected growth that is outside of the growth range projected by DOE based on historic ASSA counts, an explanation has been included in </w:t>
            </w:r>
            <w:r>
              <w:rPr>
                <w:rFonts w:ascii="Calibri" w:hAnsi="Calibri" w:cs="Calibri"/>
                <w:spacing w:val="-3"/>
                <w:sz w:val="22"/>
                <w:szCs w:val="22"/>
              </w:rPr>
              <w:t>column L.</w:t>
            </w:r>
          </w:p>
        </w:tc>
        <w:tc>
          <w:tcPr>
            <w:tcW w:w="1921" w:type="dxa"/>
          </w:tcPr>
          <w:p w14:paraId="2CDF6F79" w14:textId="77777777" w:rsidR="00394EEE" w:rsidRPr="00657590" w:rsidRDefault="00394EEE" w:rsidP="00D64F5C">
            <w:pPr>
              <w:pStyle w:val="Default"/>
              <w:rPr>
                <w:rFonts w:ascii="Calibri" w:hAnsi="Calibri" w:cs="Calibri"/>
                <w:spacing w:val="-3"/>
                <w:sz w:val="22"/>
                <w:szCs w:val="22"/>
              </w:rPr>
            </w:pPr>
          </w:p>
        </w:tc>
      </w:tr>
    </w:tbl>
    <w:p w14:paraId="15F79E3E" w14:textId="77777777" w:rsidR="00687B40" w:rsidRPr="00657590" w:rsidRDefault="00687B40" w:rsidP="00394EEE">
      <w:pPr>
        <w:pStyle w:val="Heading3"/>
      </w:pPr>
      <w:r>
        <w:t>Position Control Roster</w:t>
      </w:r>
      <w:r w:rsidR="009A077C">
        <w:t>:</w:t>
      </w:r>
    </w:p>
    <w:tbl>
      <w:tblPr>
        <w:tblStyle w:val="TableGrid"/>
        <w:tblW w:w="0" w:type="auto"/>
        <w:tblInd w:w="355" w:type="dxa"/>
        <w:tblLook w:val="0420" w:firstRow="1" w:lastRow="0" w:firstColumn="0" w:lastColumn="0" w:noHBand="0" w:noVBand="1"/>
      </w:tblPr>
      <w:tblGrid>
        <w:gridCol w:w="7205"/>
        <w:gridCol w:w="1921"/>
      </w:tblGrid>
      <w:tr w:rsidR="00394EEE" w:rsidRPr="00657590" w14:paraId="547DE6FF" w14:textId="70E735A4" w:rsidTr="00FD3F59">
        <w:trPr>
          <w:tblHeader/>
        </w:trPr>
        <w:tc>
          <w:tcPr>
            <w:tcW w:w="7205" w:type="dxa"/>
          </w:tcPr>
          <w:p w14:paraId="262E2CE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Position Control Roster Review Item</w:t>
            </w:r>
          </w:p>
        </w:tc>
        <w:tc>
          <w:tcPr>
            <w:tcW w:w="1921" w:type="dxa"/>
          </w:tcPr>
          <w:p w14:paraId="7101B768" w14:textId="37FB3D54"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013555D" w14:textId="69E60119" w:rsidTr="00FD3F59">
        <w:tc>
          <w:tcPr>
            <w:tcW w:w="7205" w:type="dxa"/>
          </w:tcPr>
          <w:p w14:paraId="7590D608" w14:textId="77777777" w:rsidR="00394EEE" w:rsidRPr="00657590" w:rsidRDefault="00394EEE" w:rsidP="00D64F5C">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06FE651" w14:textId="7A5F828B"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be organized by GAAP code;</w:t>
            </w:r>
          </w:p>
          <w:p w14:paraId="6FE3A38A" w14:textId="793ADF60"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show all staff and their respective salary costs, includ</w:t>
            </w:r>
            <w:r w:rsidR="000F20C1">
              <w:rPr>
                <w:rFonts w:ascii="Calibri" w:hAnsi="Calibri" w:cs="Calibri"/>
                <w:sz w:val="22"/>
                <w:szCs w:val="22"/>
              </w:rPr>
              <w:t>ing</w:t>
            </w:r>
            <w:r w:rsidRPr="00394EEE">
              <w:rPr>
                <w:rFonts w:ascii="Calibri" w:hAnsi="Calibri" w:cs="Calibri"/>
                <w:sz w:val="22"/>
                <w:szCs w:val="22"/>
              </w:rPr>
              <w:t xml:space="preserve"> base pay, stipends, OT, etc. charged to each respective GAAP accounts;</w:t>
            </w:r>
          </w:p>
          <w:p w14:paraId="0B05D77A" w14:textId="653A8BE5"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show vacancies from February 1 and whether to be filled in 20</w:t>
            </w:r>
            <w:r w:rsidR="004A5729">
              <w:rPr>
                <w:rFonts w:ascii="Calibri" w:hAnsi="Calibri" w:cs="Calibri"/>
                <w:sz w:val="22"/>
                <w:szCs w:val="22"/>
              </w:rPr>
              <w:t>22-23</w:t>
            </w:r>
            <w:r w:rsidRPr="00394EEE">
              <w:rPr>
                <w:rFonts w:ascii="Calibri" w:hAnsi="Calibri" w:cs="Calibri"/>
                <w:sz w:val="22"/>
                <w:szCs w:val="22"/>
              </w:rPr>
              <w:t>; and</w:t>
            </w:r>
          </w:p>
          <w:p w14:paraId="7A281DFC" w14:textId="2A7D16BB"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show new hires for 20</w:t>
            </w:r>
            <w:r w:rsidR="004A5729">
              <w:rPr>
                <w:rFonts w:ascii="Calibri" w:hAnsi="Calibri" w:cs="Calibri"/>
                <w:sz w:val="22"/>
                <w:szCs w:val="22"/>
              </w:rPr>
              <w:t>23-24</w:t>
            </w:r>
            <w:r w:rsidRPr="00394EEE">
              <w:rPr>
                <w:rFonts w:ascii="Calibri" w:hAnsi="Calibri" w:cs="Calibri"/>
                <w:sz w:val="22"/>
                <w:szCs w:val="22"/>
              </w:rPr>
              <w:t>.</w:t>
            </w:r>
          </w:p>
        </w:tc>
        <w:tc>
          <w:tcPr>
            <w:tcW w:w="1921" w:type="dxa"/>
          </w:tcPr>
          <w:p w14:paraId="37C500B6" w14:textId="77777777" w:rsidR="00394EEE" w:rsidRPr="00657590" w:rsidRDefault="00394EEE" w:rsidP="00D64F5C">
            <w:pPr>
              <w:tabs>
                <w:tab w:val="left" w:pos="-720"/>
              </w:tabs>
              <w:suppressAutoHyphens/>
              <w:rPr>
                <w:rFonts w:ascii="Calibri" w:hAnsi="Calibri" w:cs="Calibri"/>
                <w:sz w:val="22"/>
                <w:szCs w:val="22"/>
              </w:rPr>
            </w:pPr>
          </w:p>
        </w:tc>
      </w:tr>
      <w:tr w:rsidR="00394EEE" w:rsidRPr="00657590" w14:paraId="349B7652" w14:textId="1BB91DC9" w:rsidTr="00FD3F59">
        <w:tc>
          <w:tcPr>
            <w:tcW w:w="7205" w:type="dxa"/>
          </w:tcPr>
          <w:p w14:paraId="218CE0DE" w14:textId="41D9E4A0" w:rsidR="00394EEE" w:rsidRPr="00657590" w:rsidRDefault="00394EEE" w:rsidP="00D64F5C">
            <w:pPr>
              <w:tabs>
                <w:tab w:val="left" w:pos="-720"/>
              </w:tabs>
              <w:suppressAutoHyphens/>
              <w:rPr>
                <w:rFonts w:ascii="Calibri" w:hAnsi="Calibri" w:cs="Calibri"/>
                <w:sz w:val="22"/>
                <w:szCs w:val="22"/>
              </w:rPr>
            </w:pPr>
            <w:r w:rsidRPr="00657590">
              <w:rPr>
                <w:rFonts w:ascii="Calibri" w:hAnsi="Calibri" w:cs="Calibri"/>
                <w:sz w:val="22"/>
                <w:szCs w:val="22"/>
              </w:rPr>
              <w:t>Total salaries by account in PCR</w:t>
            </w:r>
            <w:r w:rsidR="00C07971">
              <w:rPr>
                <w:rFonts w:ascii="Calibri" w:hAnsi="Calibri" w:cs="Calibri"/>
                <w:sz w:val="22"/>
                <w:szCs w:val="22"/>
              </w:rPr>
              <w:t xml:space="preserve"> are totaled by and</w:t>
            </w:r>
            <w:r w:rsidRPr="00657590">
              <w:rPr>
                <w:rFonts w:ascii="Calibri" w:hAnsi="Calibri" w:cs="Calibri"/>
                <w:sz w:val="22"/>
                <w:szCs w:val="22"/>
              </w:rPr>
              <w:t xml:space="preserve"> reconcile to budgeted amounts for salaries (substitute salaries may be included in PCR or accounted for separately). </w:t>
            </w:r>
          </w:p>
        </w:tc>
        <w:tc>
          <w:tcPr>
            <w:tcW w:w="1921" w:type="dxa"/>
          </w:tcPr>
          <w:p w14:paraId="27B86F6E" w14:textId="77777777" w:rsidR="00394EEE" w:rsidRPr="00657590" w:rsidRDefault="00394EEE" w:rsidP="00D64F5C">
            <w:pPr>
              <w:tabs>
                <w:tab w:val="left" w:pos="-720"/>
              </w:tabs>
              <w:suppressAutoHyphens/>
              <w:rPr>
                <w:rFonts w:ascii="Calibri" w:hAnsi="Calibri" w:cs="Calibri"/>
                <w:sz w:val="22"/>
                <w:szCs w:val="22"/>
              </w:rPr>
            </w:pPr>
          </w:p>
        </w:tc>
      </w:tr>
    </w:tbl>
    <w:p w14:paraId="249F5DED" w14:textId="77777777" w:rsidR="00687B40" w:rsidRPr="00657590" w:rsidRDefault="00687B40" w:rsidP="00394EEE">
      <w:pPr>
        <w:pStyle w:val="Heading3"/>
      </w:pPr>
      <w:r>
        <w:t>Estimated Tuition Calculations</w:t>
      </w:r>
      <w:r w:rsidR="009A077C">
        <w:t>:</w:t>
      </w:r>
    </w:p>
    <w:tbl>
      <w:tblPr>
        <w:tblStyle w:val="TableGrid"/>
        <w:tblW w:w="0" w:type="auto"/>
        <w:tblInd w:w="265" w:type="dxa"/>
        <w:tblLook w:val="0420" w:firstRow="1" w:lastRow="0" w:firstColumn="0" w:lastColumn="0" w:noHBand="0" w:noVBand="1"/>
      </w:tblPr>
      <w:tblGrid>
        <w:gridCol w:w="7290"/>
        <w:gridCol w:w="1926"/>
      </w:tblGrid>
      <w:tr w:rsidR="00394EEE" w:rsidRPr="00657590" w14:paraId="7375F112" w14:textId="779CF4EA" w:rsidTr="00FD3F59">
        <w:trPr>
          <w:tblHeader/>
        </w:trPr>
        <w:tc>
          <w:tcPr>
            <w:tcW w:w="7290" w:type="dxa"/>
          </w:tcPr>
          <w:p w14:paraId="748D800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Estimated Tuition Review Item</w:t>
            </w:r>
          </w:p>
        </w:tc>
        <w:tc>
          <w:tcPr>
            <w:tcW w:w="1926" w:type="dxa"/>
          </w:tcPr>
          <w:p w14:paraId="5B6CA061" w14:textId="49C8472D"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F92667C" w14:textId="71518E50" w:rsidTr="00FD3F59">
        <w:tc>
          <w:tcPr>
            <w:tcW w:w="7290" w:type="dxa"/>
          </w:tcPr>
          <w:p w14:paraId="4DDBAD41" w14:textId="77777777" w:rsidR="00394EEE" w:rsidRPr="00657590" w:rsidRDefault="00394EEE" w:rsidP="00F34FC2">
            <w:pPr>
              <w:pStyle w:val="Default"/>
              <w:rPr>
                <w:rFonts w:ascii="Calibri" w:hAnsi="Calibri" w:cs="Calibri"/>
                <w:spacing w:val="-3"/>
                <w:sz w:val="22"/>
                <w:szCs w:val="22"/>
              </w:rPr>
            </w:pPr>
            <w:r w:rsidRPr="00657590">
              <w:rPr>
                <w:rFonts w:ascii="Calibri" w:hAnsi="Calibri" w:cs="Calibri"/>
                <w:sz w:val="22"/>
                <w:szCs w:val="22"/>
              </w:rPr>
              <w:t>On the "Rates for All Programs" report, if the district has entered ADE amounts on the line "ADE Entered by District" these enrollments have been reviewed and approved.</w:t>
            </w:r>
          </w:p>
        </w:tc>
        <w:tc>
          <w:tcPr>
            <w:tcW w:w="1926" w:type="dxa"/>
          </w:tcPr>
          <w:p w14:paraId="60CD9489" w14:textId="77777777" w:rsidR="00394EEE" w:rsidRPr="00657590" w:rsidRDefault="00394EEE" w:rsidP="00F34FC2">
            <w:pPr>
              <w:pStyle w:val="Default"/>
              <w:rPr>
                <w:rFonts w:ascii="Calibri" w:hAnsi="Calibri" w:cs="Calibri"/>
                <w:sz w:val="22"/>
                <w:szCs w:val="22"/>
              </w:rPr>
            </w:pPr>
          </w:p>
        </w:tc>
      </w:tr>
    </w:tbl>
    <w:p w14:paraId="7CCB7891" w14:textId="77777777" w:rsidR="00687B40" w:rsidRPr="00657590" w:rsidRDefault="00D64F5C" w:rsidP="00A5090A">
      <w:pPr>
        <w:pStyle w:val="Heading3"/>
        <w:keepNext/>
        <w:ind w:left="648"/>
      </w:pPr>
      <w:r>
        <w:t>Secondary Bond Market Continuing Disclosure Requirements (LFN 2014-9)</w:t>
      </w:r>
      <w:r w:rsidR="009A077C">
        <w:t>:</w:t>
      </w:r>
    </w:p>
    <w:tbl>
      <w:tblPr>
        <w:tblStyle w:val="TableGrid"/>
        <w:tblW w:w="0" w:type="auto"/>
        <w:tblInd w:w="265" w:type="dxa"/>
        <w:tblLook w:val="0420" w:firstRow="1" w:lastRow="0" w:firstColumn="0" w:lastColumn="0" w:noHBand="0" w:noVBand="1"/>
      </w:tblPr>
      <w:tblGrid>
        <w:gridCol w:w="7295"/>
        <w:gridCol w:w="2011"/>
      </w:tblGrid>
      <w:tr w:rsidR="00394EEE" w:rsidRPr="00657590" w14:paraId="4B86CE0B" w14:textId="53F51F61" w:rsidTr="00FD3F59">
        <w:trPr>
          <w:tblHeader/>
        </w:trPr>
        <w:tc>
          <w:tcPr>
            <w:tcW w:w="7295" w:type="dxa"/>
          </w:tcPr>
          <w:p w14:paraId="57574F37"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Secondary Bond Market Disclosure Review Item</w:t>
            </w:r>
          </w:p>
        </w:tc>
        <w:tc>
          <w:tcPr>
            <w:tcW w:w="2011" w:type="dxa"/>
          </w:tcPr>
          <w:p w14:paraId="7DC1AD7E" w14:textId="0D6F5B26"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45DBD64" w14:textId="0A29B223" w:rsidTr="00FD3F59">
        <w:tc>
          <w:tcPr>
            <w:tcW w:w="7295" w:type="dxa"/>
          </w:tcPr>
          <w:p w14:paraId="18E89F0F" w14:textId="77777777" w:rsidR="00394EEE" w:rsidRPr="00657590" w:rsidRDefault="00394EEE"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394EEE" w:rsidRPr="00657590" w:rsidRDefault="00394EEE" w:rsidP="00BF5A4E">
            <w:pPr>
              <w:numPr>
                <w:ilvl w:val="0"/>
                <w:numId w:val="2"/>
              </w:numPr>
              <w:tabs>
                <w:tab w:val="left" w:pos="-720"/>
              </w:tabs>
              <w:suppressAutoHyphens/>
              <w:ind w:left="702"/>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77777777" w:rsidR="00394EEE" w:rsidRPr="00657590" w:rsidRDefault="00394EEE" w:rsidP="00BF5A4E">
            <w:pPr>
              <w:numPr>
                <w:ilvl w:val="0"/>
                <w:numId w:val="2"/>
              </w:numPr>
              <w:tabs>
                <w:tab w:val="left" w:pos="-720"/>
              </w:tabs>
              <w:suppressAutoHyphens/>
              <w:ind w:left="684"/>
              <w:rPr>
                <w:rFonts w:ascii="Calibri" w:hAnsi="Calibri" w:cs="Calibri"/>
                <w:sz w:val="22"/>
                <w:szCs w:val="22"/>
              </w:rPr>
            </w:pPr>
            <w:r w:rsidRPr="00657590">
              <w:rPr>
                <w:rFonts w:ascii="Calibri" w:hAnsi="Calibri" w:cs="Calibri"/>
                <w:sz w:val="22"/>
                <w:szCs w:val="22"/>
              </w:rPr>
              <w:t>Fund 40 appropriations include all payments due on outstanding bond issues.</w:t>
            </w:r>
          </w:p>
          <w:p w14:paraId="1C012E66" w14:textId="77777777" w:rsidR="00394EEE" w:rsidRPr="00657590" w:rsidRDefault="00394EEE" w:rsidP="00BF5A4E">
            <w:pPr>
              <w:numPr>
                <w:ilvl w:val="0"/>
                <w:numId w:val="2"/>
              </w:numPr>
              <w:tabs>
                <w:tab w:val="left" w:pos="-720"/>
              </w:tabs>
              <w:suppressAutoHyphens/>
              <w:ind w:hanging="18"/>
              <w:rPr>
                <w:rFonts w:ascii="Calibri" w:hAnsi="Calibri" w:cs="Calibri"/>
                <w:sz w:val="22"/>
                <w:szCs w:val="22"/>
              </w:rPr>
            </w:pPr>
            <w:r w:rsidRPr="00657590">
              <w:rPr>
                <w:rFonts w:ascii="Calibri" w:hAnsi="Calibri" w:cs="Calibri"/>
                <w:sz w:val="22"/>
                <w:szCs w:val="22"/>
              </w:rPr>
              <w:t>The district has applied for Debt Service Aid for new bond issues.</w:t>
            </w:r>
          </w:p>
        </w:tc>
        <w:tc>
          <w:tcPr>
            <w:tcW w:w="2011" w:type="dxa"/>
          </w:tcPr>
          <w:p w14:paraId="7CA3A9D3" w14:textId="77777777" w:rsidR="00394EEE" w:rsidRPr="00657590" w:rsidRDefault="00394EEE" w:rsidP="00F34FC2">
            <w:pPr>
              <w:pStyle w:val="Default"/>
              <w:rPr>
                <w:rFonts w:ascii="Calibri" w:hAnsi="Calibri" w:cs="Calibri"/>
                <w:sz w:val="22"/>
                <w:szCs w:val="22"/>
              </w:rPr>
            </w:pPr>
          </w:p>
        </w:tc>
      </w:tr>
    </w:tbl>
    <w:p w14:paraId="318E1BE1" w14:textId="77777777" w:rsidR="00687B40" w:rsidRPr="00657590" w:rsidRDefault="00D64F5C" w:rsidP="00394EEE">
      <w:pPr>
        <w:pStyle w:val="Heading3"/>
      </w:pPr>
      <w:r>
        <w:lastRenderedPageBreak/>
        <w:t>A4F</w:t>
      </w:r>
      <w:r w:rsidR="009A077C">
        <w:t>:</w:t>
      </w:r>
    </w:p>
    <w:tbl>
      <w:tblPr>
        <w:tblStyle w:val="TableGrid"/>
        <w:tblW w:w="0" w:type="auto"/>
        <w:tblInd w:w="355" w:type="dxa"/>
        <w:tblLook w:val="0420" w:firstRow="1" w:lastRow="0" w:firstColumn="0" w:lastColumn="0" w:noHBand="0" w:noVBand="1"/>
      </w:tblPr>
      <w:tblGrid>
        <w:gridCol w:w="7205"/>
        <w:gridCol w:w="2011"/>
      </w:tblGrid>
      <w:tr w:rsidR="00E769DE" w:rsidRPr="00657590" w14:paraId="4CDE528C" w14:textId="6DA79547" w:rsidTr="00FD3F59">
        <w:trPr>
          <w:tblHeader/>
        </w:trPr>
        <w:tc>
          <w:tcPr>
            <w:tcW w:w="7205" w:type="dxa"/>
          </w:tcPr>
          <w:p w14:paraId="58082E1F" w14:textId="77777777" w:rsidR="00E769DE" w:rsidRPr="00657590" w:rsidRDefault="00E769DE" w:rsidP="00F34FC2">
            <w:pPr>
              <w:rPr>
                <w:rFonts w:ascii="Calibri" w:hAnsi="Calibri" w:cs="Calibri"/>
                <w:b/>
                <w:sz w:val="22"/>
                <w:szCs w:val="22"/>
              </w:rPr>
            </w:pPr>
            <w:r w:rsidRPr="00657590">
              <w:rPr>
                <w:rFonts w:ascii="Calibri" w:hAnsi="Calibri" w:cs="Calibri"/>
                <w:b/>
                <w:sz w:val="22"/>
                <w:szCs w:val="22"/>
              </w:rPr>
              <w:t>A4F Review Item</w:t>
            </w:r>
          </w:p>
        </w:tc>
        <w:tc>
          <w:tcPr>
            <w:tcW w:w="2011" w:type="dxa"/>
          </w:tcPr>
          <w:p w14:paraId="5116AAB2" w14:textId="1BB4B8C0" w:rsidR="00E769DE" w:rsidRPr="00657590" w:rsidRDefault="00E769D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E769DE" w:rsidRPr="00657590" w14:paraId="7C95B4CB" w14:textId="6D9F49B3" w:rsidTr="00FD3F59">
        <w:tc>
          <w:tcPr>
            <w:tcW w:w="7205" w:type="dxa"/>
          </w:tcPr>
          <w:p w14:paraId="27FEFF52" w14:textId="77777777" w:rsidR="00E769DE" w:rsidRPr="00657590" w:rsidRDefault="00E769DE" w:rsidP="00D64F5C">
            <w:pPr>
              <w:tabs>
                <w:tab w:val="left" w:pos="-720"/>
              </w:tabs>
              <w:suppressAutoHyphens/>
              <w:rPr>
                <w:rFonts w:ascii="Calibri" w:hAnsi="Calibri" w:cs="Calibri"/>
                <w:sz w:val="22"/>
                <w:szCs w:val="22"/>
              </w:rPr>
            </w:pPr>
            <w:r w:rsidRPr="00657590">
              <w:rPr>
                <w:rFonts w:ascii="Calibri" w:hAnsi="Calibri" w:cs="Calibri"/>
                <w:sz w:val="22"/>
                <w:szCs w:val="22"/>
              </w:rPr>
              <w:t>The district has recorded taxes as split year or fiscal year, as appropriate.</w:t>
            </w:r>
          </w:p>
        </w:tc>
        <w:tc>
          <w:tcPr>
            <w:tcW w:w="2011" w:type="dxa"/>
          </w:tcPr>
          <w:p w14:paraId="12DB4C78" w14:textId="77777777" w:rsidR="00E769DE" w:rsidRPr="00657590" w:rsidRDefault="00E769DE" w:rsidP="00D64F5C">
            <w:pPr>
              <w:tabs>
                <w:tab w:val="left" w:pos="-720"/>
              </w:tabs>
              <w:suppressAutoHyphens/>
              <w:rPr>
                <w:rFonts w:ascii="Calibri" w:hAnsi="Calibri" w:cs="Calibri"/>
                <w:sz w:val="22"/>
                <w:szCs w:val="22"/>
              </w:rPr>
            </w:pPr>
          </w:p>
        </w:tc>
      </w:tr>
      <w:tr w:rsidR="00E769DE" w:rsidRPr="00657590" w14:paraId="7A08547C" w14:textId="02115590" w:rsidTr="00FD3F59">
        <w:tc>
          <w:tcPr>
            <w:tcW w:w="7205" w:type="dxa"/>
          </w:tcPr>
          <w:p w14:paraId="0CBAEC4F" w14:textId="77777777" w:rsidR="00E769DE" w:rsidRPr="00657590" w:rsidRDefault="00E769DE" w:rsidP="00D64F5C">
            <w:pPr>
              <w:rPr>
                <w:rFonts w:ascii="Calibri" w:hAnsi="Calibri" w:cs="Calibri"/>
                <w:sz w:val="22"/>
                <w:szCs w:val="22"/>
              </w:rPr>
            </w:pPr>
            <w:r w:rsidRPr="00657590">
              <w:rPr>
                <w:rFonts w:ascii="Calibri" w:hAnsi="Calibri" w:cs="Calibri"/>
                <w:sz w:val="22"/>
                <w:szCs w:val="22"/>
              </w:rPr>
              <w:t>Amounts recorded as adjustments on lines 6 and 7 appear reasonable.</w:t>
            </w:r>
          </w:p>
        </w:tc>
        <w:tc>
          <w:tcPr>
            <w:tcW w:w="2011" w:type="dxa"/>
          </w:tcPr>
          <w:p w14:paraId="6E0C311A" w14:textId="77777777" w:rsidR="00E769DE" w:rsidRPr="00657590" w:rsidRDefault="00E769DE" w:rsidP="00D64F5C">
            <w:pPr>
              <w:rPr>
                <w:rFonts w:ascii="Calibri" w:hAnsi="Calibri" w:cs="Calibri"/>
                <w:sz w:val="22"/>
                <w:szCs w:val="22"/>
              </w:rPr>
            </w:pPr>
          </w:p>
        </w:tc>
      </w:tr>
      <w:tr w:rsidR="00E769DE" w:rsidRPr="00657590" w14:paraId="18337915" w14:textId="64C4B0B3" w:rsidTr="00FD3F59">
        <w:tc>
          <w:tcPr>
            <w:tcW w:w="7205" w:type="dxa"/>
          </w:tcPr>
          <w:p w14:paraId="453EE066" w14:textId="5904C5DA" w:rsidR="00E769DE" w:rsidRPr="00657590" w:rsidRDefault="00E769DE" w:rsidP="00D64F5C">
            <w:pPr>
              <w:rPr>
                <w:rFonts w:ascii="Calibri" w:hAnsi="Calibri" w:cs="Calibri"/>
                <w:sz w:val="22"/>
                <w:szCs w:val="22"/>
              </w:rPr>
            </w:pPr>
            <w:r w:rsidRPr="00657590">
              <w:rPr>
                <w:rFonts w:ascii="Calibri" w:hAnsi="Calibri" w:cs="Calibri"/>
                <w:sz w:val="22"/>
                <w:szCs w:val="22"/>
              </w:rPr>
              <w:t>If taxes are raised on a split year, the “Balance of levy from 20</w:t>
            </w:r>
            <w:r w:rsidR="004A5729">
              <w:rPr>
                <w:rFonts w:ascii="Calibri" w:hAnsi="Calibri" w:cs="Calibri"/>
                <w:sz w:val="22"/>
                <w:szCs w:val="22"/>
              </w:rPr>
              <w:t>22-23</w:t>
            </w:r>
            <w:r w:rsidRPr="00657590">
              <w:rPr>
                <w:rFonts w:ascii="Calibri" w:hAnsi="Calibri" w:cs="Calibri"/>
                <w:sz w:val="22"/>
                <w:szCs w:val="22"/>
              </w:rPr>
              <w:t xml:space="preserve"> to be raised in 20</w:t>
            </w:r>
            <w:r>
              <w:rPr>
                <w:rFonts w:ascii="Calibri" w:hAnsi="Calibri" w:cs="Calibri"/>
                <w:sz w:val="22"/>
                <w:szCs w:val="22"/>
              </w:rPr>
              <w:t>2</w:t>
            </w:r>
            <w:r w:rsidR="00FB677C">
              <w:rPr>
                <w:rFonts w:ascii="Calibri" w:hAnsi="Calibri" w:cs="Calibri"/>
                <w:sz w:val="22"/>
                <w:szCs w:val="22"/>
              </w:rPr>
              <w:t>3</w:t>
            </w:r>
            <w:r w:rsidRPr="00657590">
              <w:rPr>
                <w:rFonts w:ascii="Calibri" w:hAnsi="Calibri" w:cs="Calibri"/>
                <w:sz w:val="22"/>
                <w:szCs w:val="22"/>
              </w:rPr>
              <w:t>” (current year column 3) agrees with the signed A4F from the 20</w:t>
            </w:r>
            <w:r w:rsidR="004A5729">
              <w:rPr>
                <w:rFonts w:ascii="Calibri" w:hAnsi="Calibri" w:cs="Calibri"/>
                <w:sz w:val="22"/>
                <w:szCs w:val="22"/>
              </w:rPr>
              <w:t>22-23</w:t>
            </w:r>
            <w:r w:rsidRPr="00657590">
              <w:rPr>
                <w:rFonts w:ascii="Calibri" w:hAnsi="Calibri" w:cs="Calibri"/>
                <w:sz w:val="22"/>
                <w:szCs w:val="22"/>
              </w:rPr>
              <w:t xml:space="preserve"> school year “Amount Deferred to 20</w:t>
            </w:r>
            <w:r>
              <w:rPr>
                <w:rFonts w:ascii="Calibri" w:hAnsi="Calibri" w:cs="Calibri"/>
                <w:sz w:val="22"/>
                <w:szCs w:val="22"/>
              </w:rPr>
              <w:t>2</w:t>
            </w:r>
            <w:r w:rsidR="00FB677C">
              <w:rPr>
                <w:rFonts w:ascii="Calibri" w:hAnsi="Calibri" w:cs="Calibri"/>
                <w:sz w:val="22"/>
                <w:szCs w:val="22"/>
              </w:rPr>
              <w:t>3</w:t>
            </w:r>
            <w:r w:rsidRPr="00657590">
              <w:rPr>
                <w:rFonts w:ascii="Calibri" w:hAnsi="Calibri" w:cs="Calibri"/>
                <w:sz w:val="22"/>
                <w:szCs w:val="22"/>
              </w:rPr>
              <w:t xml:space="preserve"> Levy” (prior year column 6)</w:t>
            </w:r>
          </w:p>
        </w:tc>
        <w:tc>
          <w:tcPr>
            <w:tcW w:w="2011" w:type="dxa"/>
          </w:tcPr>
          <w:p w14:paraId="68BBB657" w14:textId="77777777" w:rsidR="00E769DE" w:rsidRPr="00657590" w:rsidRDefault="00E769DE" w:rsidP="00D64F5C">
            <w:pPr>
              <w:rPr>
                <w:rFonts w:ascii="Calibri" w:hAnsi="Calibri" w:cs="Calibri"/>
                <w:sz w:val="22"/>
                <w:szCs w:val="22"/>
              </w:rPr>
            </w:pPr>
          </w:p>
        </w:tc>
      </w:tr>
      <w:tr w:rsidR="00A74D91" w:rsidRPr="00657590" w14:paraId="0B6D5FD9" w14:textId="77777777" w:rsidTr="00FD3F59">
        <w:tc>
          <w:tcPr>
            <w:tcW w:w="7205" w:type="dxa"/>
          </w:tcPr>
          <w:p w14:paraId="6F13729F" w14:textId="2A46D02C" w:rsidR="00A74D91" w:rsidRPr="00657590" w:rsidRDefault="00A74D91" w:rsidP="00D64F5C">
            <w:pPr>
              <w:rPr>
                <w:rFonts w:ascii="Calibri" w:hAnsi="Calibri" w:cs="Calibri"/>
                <w:sz w:val="22"/>
                <w:szCs w:val="22"/>
              </w:rPr>
            </w:pPr>
            <w:r>
              <w:rPr>
                <w:rFonts w:ascii="Calibri" w:hAnsi="Calibri" w:cs="Calibri"/>
                <w:sz w:val="22"/>
                <w:szCs w:val="22"/>
              </w:rPr>
              <w:t>If taxes are raised on a split year, the district has worked with the municipality and the tax board regarding the amount of the split.</w:t>
            </w:r>
          </w:p>
        </w:tc>
        <w:tc>
          <w:tcPr>
            <w:tcW w:w="2011" w:type="dxa"/>
          </w:tcPr>
          <w:p w14:paraId="58212AA2" w14:textId="77777777" w:rsidR="00A74D91" w:rsidRPr="00657590" w:rsidRDefault="00A74D91" w:rsidP="00D64F5C">
            <w:pPr>
              <w:rPr>
                <w:rFonts w:ascii="Calibri" w:hAnsi="Calibri" w:cs="Calibri"/>
                <w:sz w:val="22"/>
                <w:szCs w:val="22"/>
              </w:rPr>
            </w:pPr>
          </w:p>
        </w:tc>
      </w:tr>
      <w:tr w:rsidR="00E769DE" w:rsidRPr="00657590" w14:paraId="38861EA3" w14:textId="044F165A" w:rsidTr="00FD3F59">
        <w:tc>
          <w:tcPr>
            <w:tcW w:w="7205" w:type="dxa"/>
          </w:tcPr>
          <w:p w14:paraId="4160C584" w14:textId="70F67960" w:rsidR="00E769DE" w:rsidRPr="00657590" w:rsidRDefault="00E769DE" w:rsidP="00D64F5C">
            <w:pPr>
              <w:rPr>
                <w:rFonts w:ascii="Calibri" w:hAnsi="Calibri" w:cs="Calibri"/>
                <w:sz w:val="22"/>
                <w:szCs w:val="22"/>
              </w:rPr>
            </w:pPr>
            <w:r>
              <w:rPr>
                <w:rFonts w:ascii="Calibri" w:hAnsi="Calibri" w:cs="Calibri"/>
                <w:sz w:val="22"/>
                <w:szCs w:val="22"/>
              </w:rPr>
              <w:t>For regional, merged or consolidated districts, the percentage allocations to each municipality have been reviewed with the state aid printout or consolidated district approved percentages.</w:t>
            </w:r>
          </w:p>
        </w:tc>
        <w:tc>
          <w:tcPr>
            <w:tcW w:w="2011" w:type="dxa"/>
          </w:tcPr>
          <w:p w14:paraId="69194000" w14:textId="77777777" w:rsidR="00E769DE" w:rsidRDefault="00E769DE" w:rsidP="00D64F5C">
            <w:pPr>
              <w:rPr>
                <w:rFonts w:ascii="Calibri" w:hAnsi="Calibri" w:cs="Calibri"/>
                <w:sz w:val="22"/>
                <w:szCs w:val="22"/>
              </w:rPr>
            </w:pPr>
          </w:p>
        </w:tc>
      </w:tr>
    </w:tbl>
    <w:p w14:paraId="5C889AD3" w14:textId="33D18612" w:rsidR="009E44D3" w:rsidRPr="00394EEE" w:rsidRDefault="009E44D3" w:rsidP="009E44D3">
      <w:pPr>
        <w:pStyle w:val="Heading3"/>
      </w:pPr>
      <w:r>
        <w:t>Tuition Revenue and Appropriation Worksheets</w:t>
      </w:r>
      <w:r w:rsidRPr="00394EEE">
        <w:t>:</w:t>
      </w:r>
    </w:p>
    <w:tbl>
      <w:tblPr>
        <w:tblStyle w:val="TableGrid"/>
        <w:tblW w:w="0" w:type="auto"/>
        <w:tblInd w:w="355" w:type="dxa"/>
        <w:tblLook w:val="0420" w:firstRow="1" w:lastRow="0" w:firstColumn="0" w:lastColumn="0" w:noHBand="0" w:noVBand="1"/>
      </w:tblPr>
      <w:tblGrid>
        <w:gridCol w:w="7205"/>
        <w:gridCol w:w="1921"/>
      </w:tblGrid>
      <w:tr w:rsidR="009E44D3" w:rsidRPr="00657590" w14:paraId="0BF70CCB" w14:textId="77777777" w:rsidTr="00E12BD7">
        <w:trPr>
          <w:tblHeader/>
        </w:trPr>
        <w:tc>
          <w:tcPr>
            <w:tcW w:w="7205" w:type="dxa"/>
          </w:tcPr>
          <w:p w14:paraId="7FA88AB5" w14:textId="287FA8B9" w:rsidR="009E44D3" w:rsidRPr="00657590" w:rsidRDefault="009E44D3" w:rsidP="00E12BD7">
            <w:pPr>
              <w:rPr>
                <w:rFonts w:ascii="Calibri" w:hAnsi="Calibri" w:cs="Calibri"/>
                <w:b/>
                <w:sz w:val="22"/>
                <w:szCs w:val="22"/>
              </w:rPr>
            </w:pPr>
            <w:r>
              <w:rPr>
                <w:rFonts w:ascii="Calibri" w:hAnsi="Calibri" w:cs="Calibri"/>
                <w:b/>
                <w:sz w:val="22"/>
                <w:szCs w:val="22"/>
              </w:rPr>
              <w:t>Estimated Tuition</w:t>
            </w:r>
            <w:r w:rsidRPr="00657590">
              <w:rPr>
                <w:rFonts w:ascii="Calibri" w:hAnsi="Calibri" w:cs="Calibri"/>
                <w:b/>
                <w:sz w:val="22"/>
                <w:szCs w:val="22"/>
              </w:rPr>
              <w:t xml:space="preserve"> Review Item</w:t>
            </w:r>
          </w:p>
        </w:tc>
        <w:tc>
          <w:tcPr>
            <w:tcW w:w="1921" w:type="dxa"/>
          </w:tcPr>
          <w:p w14:paraId="7FDE3DD5" w14:textId="77777777" w:rsidR="009E44D3" w:rsidRPr="00657590" w:rsidRDefault="009E44D3" w:rsidP="00E12BD7">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E44D3" w:rsidRPr="00657590" w14:paraId="2429DF51" w14:textId="77777777" w:rsidTr="00E12BD7">
        <w:tc>
          <w:tcPr>
            <w:tcW w:w="7205" w:type="dxa"/>
          </w:tcPr>
          <w:p w14:paraId="1FB27754" w14:textId="2B90E34C" w:rsidR="009E44D3" w:rsidRPr="00657590" w:rsidRDefault="009E44D3" w:rsidP="00E12BD7">
            <w:pPr>
              <w:pStyle w:val="Default"/>
              <w:rPr>
                <w:rFonts w:ascii="Calibri" w:hAnsi="Calibri" w:cs="Calibri"/>
                <w:b/>
                <w:spacing w:val="-3"/>
                <w:sz w:val="22"/>
                <w:szCs w:val="22"/>
              </w:rPr>
            </w:pPr>
            <w:r>
              <w:rPr>
                <w:rFonts w:ascii="Calibri" w:hAnsi="Calibri" w:cs="Calibri"/>
                <w:spacing w:val="-3"/>
                <w:sz w:val="22"/>
                <w:szCs w:val="22"/>
              </w:rPr>
              <w:t>Tuition worksheets for tuition revenues and/or appropriations are included in the budget submission.</w:t>
            </w:r>
          </w:p>
        </w:tc>
        <w:tc>
          <w:tcPr>
            <w:tcW w:w="1921" w:type="dxa"/>
          </w:tcPr>
          <w:p w14:paraId="1C98921B" w14:textId="77777777" w:rsidR="009E44D3" w:rsidRPr="00657590" w:rsidRDefault="009E44D3" w:rsidP="00E12BD7">
            <w:pPr>
              <w:pStyle w:val="Default"/>
              <w:rPr>
                <w:rFonts w:ascii="Calibri" w:hAnsi="Calibri" w:cs="Calibri"/>
                <w:spacing w:val="-3"/>
                <w:sz w:val="22"/>
                <w:szCs w:val="22"/>
              </w:rPr>
            </w:pPr>
          </w:p>
        </w:tc>
      </w:tr>
      <w:tr w:rsidR="009E44D3" w:rsidRPr="00657590" w14:paraId="4D0E4DB7" w14:textId="77777777" w:rsidTr="00E12BD7">
        <w:tc>
          <w:tcPr>
            <w:tcW w:w="7205" w:type="dxa"/>
          </w:tcPr>
          <w:p w14:paraId="7568E12B" w14:textId="1D48F2AB" w:rsidR="009E44D3" w:rsidRPr="00657590" w:rsidRDefault="009E44D3" w:rsidP="00E12BD7">
            <w:pPr>
              <w:pStyle w:val="Default"/>
              <w:rPr>
                <w:rFonts w:ascii="Calibri" w:hAnsi="Calibri" w:cs="Calibri"/>
                <w:b/>
                <w:spacing w:val="-3"/>
                <w:sz w:val="22"/>
                <w:szCs w:val="22"/>
              </w:rPr>
            </w:pPr>
            <w:r>
              <w:rPr>
                <w:rFonts w:ascii="Calibri" w:hAnsi="Calibri" w:cs="Calibri"/>
                <w:spacing w:val="-3"/>
                <w:sz w:val="22"/>
                <w:szCs w:val="22"/>
              </w:rPr>
              <w:t>Tuition worksheets reconcile to the budgeted tuition amounts.</w:t>
            </w:r>
          </w:p>
        </w:tc>
        <w:tc>
          <w:tcPr>
            <w:tcW w:w="1921" w:type="dxa"/>
          </w:tcPr>
          <w:p w14:paraId="5393180B" w14:textId="77777777" w:rsidR="009E44D3" w:rsidRPr="00657590" w:rsidRDefault="009E44D3" w:rsidP="00E12BD7">
            <w:pPr>
              <w:pStyle w:val="Default"/>
              <w:rPr>
                <w:rFonts w:ascii="Calibri" w:hAnsi="Calibri" w:cs="Calibri"/>
                <w:spacing w:val="-3"/>
                <w:sz w:val="22"/>
                <w:szCs w:val="22"/>
              </w:rPr>
            </w:pPr>
          </w:p>
        </w:tc>
      </w:tr>
      <w:tr w:rsidR="009E44D3" w:rsidRPr="00657590" w14:paraId="1EEB9CB4" w14:textId="77777777" w:rsidTr="00E12BD7">
        <w:tc>
          <w:tcPr>
            <w:tcW w:w="7205" w:type="dxa"/>
          </w:tcPr>
          <w:p w14:paraId="1DCCF871" w14:textId="6EC76A0B" w:rsidR="009E44D3" w:rsidRPr="00657590" w:rsidRDefault="009E44D3" w:rsidP="00E12BD7">
            <w:pPr>
              <w:pStyle w:val="Default"/>
              <w:rPr>
                <w:rFonts w:ascii="Calibri" w:hAnsi="Calibri" w:cs="Calibri"/>
                <w:spacing w:val="-3"/>
                <w:sz w:val="22"/>
                <w:szCs w:val="22"/>
              </w:rPr>
            </w:pPr>
            <w:r>
              <w:rPr>
                <w:rFonts w:ascii="Calibri" w:hAnsi="Calibri" w:cs="Calibri"/>
                <w:spacing w:val="-3"/>
                <w:sz w:val="22"/>
                <w:szCs w:val="22"/>
              </w:rPr>
              <w:t>Tuition worksheets include the use of IDEA funding.  Entries are split between IDEA and general fund, as necessary.</w:t>
            </w:r>
          </w:p>
        </w:tc>
        <w:tc>
          <w:tcPr>
            <w:tcW w:w="1921" w:type="dxa"/>
          </w:tcPr>
          <w:p w14:paraId="5B63CE3B" w14:textId="77777777" w:rsidR="009E44D3" w:rsidRPr="00657590" w:rsidRDefault="009E44D3" w:rsidP="00E12BD7">
            <w:pPr>
              <w:pStyle w:val="Default"/>
              <w:rPr>
                <w:rFonts w:ascii="Calibri" w:hAnsi="Calibri" w:cs="Calibri"/>
                <w:spacing w:val="-3"/>
                <w:sz w:val="22"/>
                <w:szCs w:val="22"/>
              </w:rPr>
            </w:pPr>
          </w:p>
        </w:tc>
      </w:tr>
    </w:tbl>
    <w:p w14:paraId="7C23A782" w14:textId="6F87CA53" w:rsidR="00D64F5C" w:rsidRDefault="00D86E30" w:rsidP="005127C9">
      <w:pPr>
        <w:tabs>
          <w:tab w:val="center" w:pos="5400"/>
        </w:tabs>
        <w:suppressAutoHyphens/>
        <w:spacing w:before="480" w:line="480" w:lineRule="auto"/>
        <w:rPr>
          <w:rFonts w:ascii="Calibri" w:hAnsi="Calibri" w:cs="Calibri"/>
          <w:b/>
          <w:spacing w:val="-3"/>
          <w:sz w:val="22"/>
          <w:szCs w:val="22"/>
        </w:rPr>
      </w:pPr>
      <w:r>
        <w:rPr>
          <w:rFonts w:ascii="Calibri" w:hAnsi="Calibri" w:cs="Calibri"/>
          <w:b/>
          <w:spacing w:val="-3"/>
          <w:sz w:val="22"/>
          <w:szCs w:val="22"/>
        </w:rPr>
        <w:t xml:space="preserve">Name of </w:t>
      </w:r>
      <w:r w:rsidR="00D64F5C"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p>
    <w:p w14:paraId="7EDE1950" w14:textId="65A34031" w:rsidR="00D73213" w:rsidRPr="00657590" w:rsidRDefault="00D86E30" w:rsidP="00D32F3A">
      <w:pPr>
        <w:tabs>
          <w:tab w:val="center" w:pos="5400"/>
        </w:tabs>
        <w:suppressAutoHyphens/>
        <w:spacing w:line="480" w:lineRule="auto"/>
        <w:rPr>
          <w:rFonts w:ascii="Calibri" w:hAnsi="Calibri" w:cs="Calibri"/>
          <w:b/>
          <w:spacing w:val="-3"/>
          <w:sz w:val="22"/>
          <w:szCs w:val="22"/>
        </w:rPr>
      </w:pPr>
      <w:r>
        <w:rPr>
          <w:rFonts w:ascii="Calibri" w:hAnsi="Calibri" w:cs="Calibri"/>
          <w:b/>
          <w:spacing w:val="-3"/>
          <w:sz w:val="22"/>
          <w:szCs w:val="22"/>
        </w:rPr>
        <w:t xml:space="preserve">Name of </w:t>
      </w:r>
      <w:r w:rsidR="00D73213">
        <w:rPr>
          <w:rFonts w:ascii="Calibri" w:hAnsi="Calibri" w:cs="Calibri"/>
          <w:b/>
          <w:spacing w:val="-3"/>
          <w:sz w:val="22"/>
          <w:szCs w:val="22"/>
        </w:rPr>
        <w:t>Reviewing ECS:</w:t>
      </w:r>
      <w:r w:rsidR="00E42108">
        <w:rPr>
          <w:rFonts w:ascii="Calibri" w:hAnsi="Calibri" w:cs="Calibri"/>
          <w:b/>
          <w:spacing w:val="-3"/>
          <w:sz w:val="22"/>
          <w:szCs w:val="22"/>
        </w:rPr>
        <w:t xml:space="preserve"> </w:t>
      </w:r>
    </w:p>
    <w:p w14:paraId="297E1244" w14:textId="77777777" w:rsidR="00DA5A9F" w:rsidRDefault="00BB446F"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7D462C">
      <w:pPr>
        <w:pStyle w:val="Heading2"/>
      </w:pPr>
      <w:r w:rsidRPr="00657590">
        <w:t>Notes:</w:t>
      </w:r>
      <w:r>
        <w:t xml:space="preserve"> </w:t>
      </w:r>
    </w:p>
    <w:sectPr w:rsidR="00F10D26" w:rsidRPr="00657590" w:rsidSect="00046F0F">
      <w:footerReference w:type="default" r:id="rId14"/>
      <w:footerReference w:type="first" r:id="rId15"/>
      <w:endnotePr>
        <w:numFmt w:val="decimal"/>
      </w:endnotePr>
      <w:pgSz w:w="12240" w:h="15840" w:code="1"/>
      <w:pgMar w:top="1440"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F480A" w14:textId="77777777" w:rsidR="00CB1471" w:rsidRDefault="00CB1471">
      <w:pPr>
        <w:spacing w:line="20" w:lineRule="exact"/>
        <w:rPr>
          <w:sz w:val="22"/>
        </w:rPr>
      </w:pPr>
    </w:p>
  </w:endnote>
  <w:endnote w:type="continuationSeparator" w:id="0">
    <w:p w14:paraId="26993E69" w14:textId="77777777" w:rsidR="00CB1471" w:rsidRDefault="00CB1471">
      <w:pPr>
        <w:rPr>
          <w:sz w:val="22"/>
        </w:rPr>
      </w:pPr>
      <w:r>
        <w:rPr>
          <w:sz w:val="22"/>
        </w:rPr>
        <w:t xml:space="preserve"> </w:t>
      </w:r>
    </w:p>
  </w:endnote>
  <w:endnote w:type="continuationNotice" w:id="1">
    <w:p w14:paraId="65E1632F" w14:textId="77777777" w:rsidR="00CB1471" w:rsidRDefault="00CB1471">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0608" w14:textId="5672A7B5" w:rsidR="00E20568" w:rsidRPr="0092661B" w:rsidRDefault="003E57B8" w:rsidP="0092661B">
    <w:pPr>
      <w:pStyle w:val="Footer"/>
      <w:jc w:val="center"/>
      <w:rPr>
        <w:rStyle w:val="PageNumber"/>
      </w:rP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26B1" w14:textId="77777777" w:rsidR="00CB1471" w:rsidRDefault="00CB1471">
      <w:pPr>
        <w:rPr>
          <w:sz w:val="22"/>
        </w:rPr>
      </w:pPr>
      <w:r>
        <w:rPr>
          <w:sz w:val="22"/>
        </w:rPr>
        <w:separator/>
      </w:r>
    </w:p>
  </w:footnote>
  <w:footnote w:type="continuationSeparator" w:id="0">
    <w:p w14:paraId="3CAAAA7B" w14:textId="77777777" w:rsidR="00CB1471" w:rsidRDefault="00CB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25FA"/>
    <w:multiLevelType w:val="hybridMultilevel"/>
    <w:tmpl w:val="7A3E1D38"/>
    <w:lvl w:ilvl="0" w:tplc="04090001">
      <w:start w:val="1"/>
      <w:numFmt w:val="bullet"/>
      <w:lvlText w:val=""/>
      <w:lvlJc w:val="left"/>
      <w:pPr>
        <w:ind w:left="360" w:hanging="360"/>
      </w:pPr>
      <w:rPr>
        <w:rFonts w:ascii="Symbol" w:hAnsi="Symbol" w:hint="default"/>
        <w:b/>
        <w:color w:val="auto"/>
      </w:rPr>
    </w:lvl>
    <w:lvl w:ilvl="1" w:tplc="36B8AA2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E0073"/>
    <w:multiLevelType w:val="hybridMultilevel"/>
    <w:tmpl w:val="B0D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C31"/>
    <w:multiLevelType w:val="hybridMultilevel"/>
    <w:tmpl w:val="17D6DF30"/>
    <w:lvl w:ilvl="0" w:tplc="E97E1690">
      <w:start w:val="1"/>
      <w:numFmt w:val="decimal"/>
      <w:pStyle w:val="Captio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E14B36"/>
    <w:multiLevelType w:val="hybridMultilevel"/>
    <w:tmpl w:val="257A1806"/>
    <w:lvl w:ilvl="0" w:tplc="CEF4D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C0E99"/>
    <w:multiLevelType w:val="hybridMultilevel"/>
    <w:tmpl w:val="137A6EB8"/>
    <w:lvl w:ilvl="0" w:tplc="5BBA4966">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5"/>
    <w:lvlOverride w:ilvl="0">
      <w:startOverride w:val="1"/>
    </w:lvlOverride>
  </w:num>
  <w:num w:numId="7">
    <w:abstractNumId w:val="5"/>
    <w:lvlOverride w:ilvl="0">
      <w:startOverride w:val="1"/>
    </w:lvlOverride>
  </w:num>
  <w:num w:numId="8">
    <w:abstractNumId w:val="1"/>
  </w:num>
  <w:num w:numId="9">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5C28"/>
    <w:rsid w:val="00037D0E"/>
    <w:rsid w:val="00040898"/>
    <w:rsid w:val="00041141"/>
    <w:rsid w:val="00042132"/>
    <w:rsid w:val="000443A4"/>
    <w:rsid w:val="000452F3"/>
    <w:rsid w:val="00045877"/>
    <w:rsid w:val="00045996"/>
    <w:rsid w:val="00046F0F"/>
    <w:rsid w:val="0004773F"/>
    <w:rsid w:val="00051040"/>
    <w:rsid w:val="00051BDF"/>
    <w:rsid w:val="0005249A"/>
    <w:rsid w:val="000536E5"/>
    <w:rsid w:val="00056D99"/>
    <w:rsid w:val="0005775D"/>
    <w:rsid w:val="00062039"/>
    <w:rsid w:val="0006326B"/>
    <w:rsid w:val="00067618"/>
    <w:rsid w:val="00071537"/>
    <w:rsid w:val="000727F0"/>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A70EE"/>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0C1"/>
    <w:rsid w:val="000F2436"/>
    <w:rsid w:val="00101DFF"/>
    <w:rsid w:val="00102AE9"/>
    <w:rsid w:val="00103975"/>
    <w:rsid w:val="00106A93"/>
    <w:rsid w:val="00112801"/>
    <w:rsid w:val="00113B36"/>
    <w:rsid w:val="00116054"/>
    <w:rsid w:val="00122EFF"/>
    <w:rsid w:val="0012481C"/>
    <w:rsid w:val="00125179"/>
    <w:rsid w:val="00125A9F"/>
    <w:rsid w:val="0012622A"/>
    <w:rsid w:val="00132B8F"/>
    <w:rsid w:val="00134363"/>
    <w:rsid w:val="00134F72"/>
    <w:rsid w:val="001352B2"/>
    <w:rsid w:val="001366A0"/>
    <w:rsid w:val="0013728B"/>
    <w:rsid w:val="001403FB"/>
    <w:rsid w:val="00141CF0"/>
    <w:rsid w:val="00141D6F"/>
    <w:rsid w:val="0014282E"/>
    <w:rsid w:val="0014480F"/>
    <w:rsid w:val="001448B1"/>
    <w:rsid w:val="001452DF"/>
    <w:rsid w:val="00146036"/>
    <w:rsid w:val="0014614D"/>
    <w:rsid w:val="001465D5"/>
    <w:rsid w:val="00146F7E"/>
    <w:rsid w:val="001509A8"/>
    <w:rsid w:val="00150DDC"/>
    <w:rsid w:val="00150F36"/>
    <w:rsid w:val="001522E5"/>
    <w:rsid w:val="001533EF"/>
    <w:rsid w:val="0015355B"/>
    <w:rsid w:val="00155EF8"/>
    <w:rsid w:val="001565EA"/>
    <w:rsid w:val="00157593"/>
    <w:rsid w:val="00157B4E"/>
    <w:rsid w:val="00161511"/>
    <w:rsid w:val="00161C37"/>
    <w:rsid w:val="001626BB"/>
    <w:rsid w:val="00166F28"/>
    <w:rsid w:val="001703D4"/>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1D5"/>
    <w:rsid w:val="001906CC"/>
    <w:rsid w:val="00194E5F"/>
    <w:rsid w:val="001A1DD2"/>
    <w:rsid w:val="001A5567"/>
    <w:rsid w:val="001A659E"/>
    <w:rsid w:val="001B007B"/>
    <w:rsid w:val="001B28EB"/>
    <w:rsid w:val="001B2B09"/>
    <w:rsid w:val="001B3C02"/>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06DE4"/>
    <w:rsid w:val="0021336B"/>
    <w:rsid w:val="002134CA"/>
    <w:rsid w:val="00214731"/>
    <w:rsid w:val="00216FD5"/>
    <w:rsid w:val="00221D41"/>
    <w:rsid w:val="00222037"/>
    <w:rsid w:val="0022349E"/>
    <w:rsid w:val="00223BE7"/>
    <w:rsid w:val="00224B46"/>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70E3"/>
    <w:rsid w:val="0025745B"/>
    <w:rsid w:val="0025799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1B99"/>
    <w:rsid w:val="0029364C"/>
    <w:rsid w:val="002937AA"/>
    <w:rsid w:val="002969A8"/>
    <w:rsid w:val="002A0EE6"/>
    <w:rsid w:val="002A3B4B"/>
    <w:rsid w:val="002A3BDE"/>
    <w:rsid w:val="002A657D"/>
    <w:rsid w:val="002B12A0"/>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06F57"/>
    <w:rsid w:val="003120A4"/>
    <w:rsid w:val="00314E34"/>
    <w:rsid w:val="00315705"/>
    <w:rsid w:val="003158B2"/>
    <w:rsid w:val="00316923"/>
    <w:rsid w:val="00316C1B"/>
    <w:rsid w:val="00317441"/>
    <w:rsid w:val="00317882"/>
    <w:rsid w:val="00321A28"/>
    <w:rsid w:val="003236D4"/>
    <w:rsid w:val="00325DCD"/>
    <w:rsid w:val="00330A4E"/>
    <w:rsid w:val="003311C9"/>
    <w:rsid w:val="00332E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4464"/>
    <w:rsid w:val="00355052"/>
    <w:rsid w:val="003561DF"/>
    <w:rsid w:val="00356AE6"/>
    <w:rsid w:val="003577D2"/>
    <w:rsid w:val="0036035B"/>
    <w:rsid w:val="00360D3D"/>
    <w:rsid w:val="00362B29"/>
    <w:rsid w:val="00363841"/>
    <w:rsid w:val="00364AF3"/>
    <w:rsid w:val="00366A2B"/>
    <w:rsid w:val="0037114B"/>
    <w:rsid w:val="0037165C"/>
    <w:rsid w:val="00371C02"/>
    <w:rsid w:val="003804E8"/>
    <w:rsid w:val="00380C17"/>
    <w:rsid w:val="00381CDE"/>
    <w:rsid w:val="0038439A"/>
    <w:rsid w:val="00384753"/>
    <w:rsid w:val="003858E4"/>
    <w:rsid w:val="00385A01"/>
    <w:rsid w:val="003902EB"/>
    <w:rsid w:val="003918DC"/>
    <w:rsid w:val="003919DE"/>
    <w:rsid w:val="00391C54"/>
    <w:rsid w:val="00392829"/>
    <w:rsid w:val="00393037"/>
    <w:rsid w:val="003942A7"/>
    <w:rsid w:val="00394EEE"/>
    <w:rsid w:val="00396A76"/>
    <w:rsid w:val="00397177"/>
    <w:rsid w:val="003A10A5"/>
    <w:rsid w:val="003B116E"/>
    <w:rsid w:val="003B2EEC"/>
    <w:rsid w:val="003B69D8"/>
    <w:rsid w:val="003B7297"/>
    <w:rsid w:val="003C0FA8"/>
    <w:rsid w:val="003C1CAA"/>
    <w:rsid w:val="003C36BC"/>
    <w:rsid w:val="003C47F7"/>
    <w:rsid w:val="003C60F3"/>
    <w:rsid w:val="003C66D6"/>
    <w:rsid w:val="003D0293"/>
    <w:rsid w:val="003D158C"/>
    <w:rsid w:val="003D25F9"/>
    <w:rsid w:val="003D2869"/>
    <w:rsid w:val="003D4AA5"/>
    <w:rsid w:val="003D552D"/>
    <w:rsid w:val="003D56B5"/>
    <w:rsid w:val="003D5CE0"/>
    <w:rsid w:val="003E09FD"/>
    <w:rsid w:val="003E104A"/>
    <w:rsid w:val="003E191A"/>
    <w:rsid w:val="003E57B8"/>
    <w:rsid w:val="003F23B2"/>
    <w:rsid w:val="003F3069"/>
    <w:rsid w:val="003F3A45"/>
    <w:rsid w:val="003F3ED8"/>
    <w:rsid w:val="003F43F7"/>
    <w:rsid w:val="003F4C32"/>
    <w:rsid w:val="003F59A2"/>
    <w:rsid w:val="003F7D4D"/>
    <w:rsid w:val="00400F5F"/>
    <w:rsid w:val="004014EA"/>
    <w:rsid w:val="004029A3"/>
    <w:rsid w:val="00405D8E"/>
    <w:rsid w:val="00407DD1"/>
    <w:rsid w:val="004100A3"/>
    <w:rsid w:val="0041058A"/>
    <w:rsid w:val="004107DA"/>
    <w:rsid w:val="00410B91"/>
    <w:rsid w:val="00412CFA"/>
    <w:rsid w:val="00417515"/>
    <w:rsid w:val="00420167"/>
    <w:rsid w:val="00423CA2"/>
    <w:rsid w:val="0042409B"/>
    <w:rsid w:val="00424390"/>
    <w:rsid w:val="00424970"/>
    <w:rsid w:val="004258D1"/>
    <w:rsid w:val="004266B1"/>
    <w:rsid w:val="00431A9D"/>
    <w:rsid w:val="0043571C"/>
    <w:rsid w:val="0044057D"/>
    <w:rsid w:val="004406DF"/>
    <w:rsid w:val="0044239A"/>
    <w:rsid w:val="00446662"/>
    <w:rsid w:val="00446D3E"/>
    <w:rsid w:val="004501AD"/>
    <w:rsid w:val="0045189E"/>
    <w:rsid w:val="00454FFA"/>
    <w:rsid w:val="00456DF3"/>
    <w:rsid w:val="0045710D"/>
    <w:rsid w:val="00457D82"/>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9AA"/>
    <w:rsid w:val="00491A12"/>
    <w:rsid w:val="004934ED"/>
    <w:rsid w:val="00496138"/>
    <w:rsid w:val="0049633F"/>
    <w:rsid w:val="004966BC"/>
    <w:rsid w:val="00496AFB"/>
    <w:rsid w:val="004A1493"/>
    <w:rsid w:val="004A1F4C"/>
    <w:rsid w:val="004A453C"/>
    <w:rsid w:val="004A4977"/>
    <w:rsid w:val="004A5729"/>
    <w:rsid w:val="004A5F0C"/>
    <w:rsid w:val="004A6297"/>
    <w:rsid w:val="004A62C3"/>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4F9"/>
    <w:rsid w:val="005127C9"/>
    <w:rsid w:val="00513B3F"/>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6B9"/>
    <w:rsid w:val="00542E6D"/>
    <w:rsid w:val="00543E3E"/>
    <w:rsid w:val="00544C1C"/>
    <w:rsid w:val="005455B6"/>
    <w:rsid w:val="00545923"/>
    <w:rsid w:val="0054787F"/>
    <w:rsid w:val="0055100A"/>
    <w:rsid w:val="00551603"/>
    <w:rsid w:val="00551C24"/>
    <w:rsid w:val="00554B7D"/>
    <w:rsid w:val="00554F81"/>
    <w:rsid w:val="00560CC7"/>
    <w:rsid w:val="00563EDF"/>
    <w:rsid w:val="005656DA"/>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58F9"/>
    <w:rsid w:val="005A6EA4"/>
    <w:rsid w:val="005A749F"/>
    <w:rsid w:val="005B48EA"/>
    <w:rsid w:val="005B51C9"/>
    <w:rsid w:val="005B7317"/>
    <w:rsid w:val="005C03BD"/>
    <w:rsid w:val="005C18C7"/>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45A6"/>
    <w:rsid w:val="00610071"/>
    <w:rsid w:val="00610617"/>
    <w:rsid w:val="00611794"/>
    <w:rsid w:val="006142BF"/>
    <w:rsid w:val="00616528"/>
    <w:rsid w:val="00620498"/>
    <w:rsid w:val="0062477C"/>
    <w:rsid w:val="00625A71"/>
    <w:rsid w:val="00626615"/>
    <w:rsid w:val="00626CE9"/>
    <w:rsid w:val="00632057"/>
    <w:rsid w:val="00632DB5"/>
    <w:rsid w:val="006332A9"/>
    <w:rsid w:val="00635A8A"/>
    <w:rsid w:val="00637659"/>
    <w:rsid w:val="006439FB"/>
    <w:rsid w:val="00644258"/>
    <w:rsid w:val="00644FB7"/>
    <w:rsid w:val="0064634F"/>
    <w:rsid w:val="00647C59"/>
    <w:rsid w:val="0065190A"/>
    <w:rsid w:val="00652F8C"/>
    <w:rsid w:val="006557DD"/>
    <w:rsid w:val="00657590"/>
    <w:rsid w:val="00663CCC"/>
    <w:rsid w:val="00663CF3"/>
    <w:rsid w:val="00663F53"/>
    <w:rsid w:val="00664CE1"/>
    <w:rsid w:val="006659F9"/>
    <w:rsid w:val="00667B3D"/>
    <w:rsid w:val="006717E7"/>
    <w:rsid w:val="00672691"/>
    <w:rsid w:val="00672E20"/>
    <w:rsid w:val="006730E6"/>
    <w:rsid w:val="0067389D"/>
    <w:rsid w:val="00673DB7"/>
    <w:rsid w:val="00675023"/>
    <w:rsid w:val="00676E4C"/>
    <w:rsid w:val="00683917"/>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1B0D"/>
    <w:rsid w:val="006B2FF0"/>
    <w:rsid w:val="006B30E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607E"/>
    <w:rsid w:val="006D6617"/>
    <w:rsid w:val="006E2928"/>
    <w:rsid w:val="006E2D6A"/>
    <w:rsid w:val="006E3B97"/>
    <w:rsid w:val="006E6871"/>
    <w:rsid w:val="006E7AFE"/>
    <w:rsid w:val="006F09D4"/>
    <w:rsid w:val="006F12C4"/>
    <w:rsid w:val="006F34BA"/>
    <w:rsid w:val="006F50BF"/>
    <w:rsid w:val="006F5A4C"/>
    <w:rsid w:val="006F7AE5"/>
    <w:rsid w:val="00700918"/>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15A"/>
    <w:rsid w:val="007443D8"/>
    <w:rsid w:val="00745413"/>
    <w:rsid w:val="00745558"/>
    <w:rsid w:val="00746183"/>
    <w:rsid w:val="00746BA1"/>
    <w:rsid w:val="00747540"/>
    <w:rsid w:val="007522E2"/>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87297"/>
    <w:rsid w:val="00797439"/>
    <w:rsid w:val="007A4186"/>
    <w:rsid w:val="007A4336"/>
    <w:rsid w:val="007A45A8"/>
    <w:rsid w:val="007A7517"/>
    <w:rsid w:val="007A7662"/>
    <w:rsid w:val="007B0C53"/>
    <w:rsid w:val="007B42A8"/>
    <w:rsid w:val="007B5655"/>
    <w:rsid w:val="007B6995"/>
    <w:rsid w:val="007B6CCC"/>
    <w:rsid w:val="007B6FC1"/>
    <w:rsid w:val="007B7A51"/>
    <w:rsid w:val="007B7DD1"/>
    <w:rsid w:val="007C0E02"/>
    <w:rsid w:val="007C2CBA"/>
    <w:rsid w:val="007C613D"/>
    <w:rsid w:val="007D18AC"/>
    <w:rsid w:val="007D462C"/>
    <w:rsid w:val="007D46BE"/>
    <w:rsid w:val="007E3BB7"/>
    <w:rsid w:val="007E42D6"/>
    <w:rsid w:val="007E4ABD"/>
    <w:rsid w:val="007E611B"/>
    <w:rsid w:val="007F0167"/>
    <w:rsid w:val="007F01B7"/>
    <w:rsid w:val="007F0CA5"/>
    <w:rsid w:val="007F3795"/>
    <w:rsid w:val="007F6113"/>
    <w:rsid w:val="007F7615"/>
    <w:rsid w:val="007F77E7"/>
    <w:rsid w:val="007F7A96"/>
    <w:rsid w:val="0080298A"/>
    <w:rsid w:val="00805179"/>
    <w:rsid w:val="00811D34"/>
    <w:rsid w:val="00815B4F"/>
    <w:rsid w:val="008176BC"/>
    <w:rsid w:val="008200A1"/>
    <w:rsid w:val="008214F7"/>
    <w:rsid w:val="00821C2F"/>
    <w:rsid w:val="00821ED6"/>
    <w:rsid w:val="008234E3"/>
    <w:rsid w:val="008237EE"/>
    <w:rsid w:val="008252E9"/>
    <w:rsid w:val="0082664F"/>
    <w:rsid w:val="00830276"/>
    <w:rsid w:val="00833287"/>
    <w:rsid w:val="008341CE"/>
    <w:rsid w:val="00834D5C"/>
    <w:rsid w:val="00835337"/>
    <w:rsid w:val="00835B97"/>
    <w:rsid w:val="0084023F"/>
    <w:rsid w:val="008415BE"/>
    <w:rsid w:val="00842614"/>
    <w:rsid w:val="008439C3"/>
    <w:rsid w:val="00843F3C"/>
    <w:rsid w:val="008453FC"/>
    <w:rsid w:val="008501CF"/>
    <w:rsid w:val="0085269C"/>
    <w:rsid w:val="0085297C"/>
    <w:rsid w:val="008548F7"/>
    <w:rsid w:val="008558C6"/>
    <w:rsid w:val="00857077"/>
    <w:rsid w:val="00857393"/>
    <w:rsid w:val="00860053"/>
    <w:rsid w:val="0086257D"/>
    <w:rsid w:val="00862A2D"/>
    <w:rsid w:val="008639C5"/>
    <w:rsid w:val="0086592B"/>
    <w:rsid w:val="00872133"/>
    <w:rsid w:val="0087379D"/>
    <w:rsid w:val="0087395E"/>
    <w:rsid w:val="008758C5"/>
    <w:rsid w:val="00877EA2"/>
    <w:rsid w:val="0088173A"/>
    <w:rsid w:val="00883484"/>
    <w:rsid w:val="008838EB"/>
    <w:rsid w:val="00883F4F"/>
    <w:rsid w:val="00885C7A"/>
    <w:rsid w:val="00892716"/>
    <w:rsid w:val="008957A9"/>
    <w:rsid w:val="008A1BCA"/>
    <w:rsid w:val="008A1C74"/>
    <w:rsid w:val="008A4570"/>
    <w:rsid w:val="008A47EC"/>
    <w:rsid w:val="008A57CF"/>
    <w:rsid w:val="008A580A"/>
    <w:rsid w:val="008A74F1"/>
    <w:rsid w:val="008A7513"/>
    <w:rsid w:val="008B34E3"/>
    <w:rsid w:val="008B3F07"/>
    <w:rsid w:val="008B464F"/>
    <w:rsid w:val="008B4937"/>
    <w:rsid w:val="008B5181"/>
    <w:rsid w:val="008B5422"/>
    <w:rsid w:val="008B7393"/>
    <w:rsid w:val="008C0CD8"/>
    <w:rsid w:val="008C0F53"/>
    <w:rsid w:val="008C2E0F"/>
    <w:rsid w:val="008C3E7F"/>
    <w:rsid w:val="008C59F0"/>
    <w:rsid w:val="008D17CC"/>
    <w:rsid w:val="008D1FDD"/>
    <w:rsid w:val="008D26A0"/>
    <w:rsid w:val="008D28A0"/>
    <w:rsid w:val="008D3A1B"/>
    <w:rsid w:val="008D4062"/>
    <w:rsid w:val="008D5279"/>
    <w:rsid w:val="008D6029"/>
    <w:rsid w:val="008E0769"/>
    <w:rsid w:val="008E09F5"/>
    <w:rsid w:val="008E35E7"/>
    <w:rsid w:val="008E588A"/>
    <w:rsid w:val="008F1C40"/>
    <w:rsid w:val="008F5419"/>
    <w:rsid w:val="008F6936"/>
    <w:rsid w:val="00900D15"/>
    <w:rsid w:val="0090694E"/>
    <w:rsid w:val="009102B0"/>
    <w:rsid w:val="00912634"/>
    <w:rsid w:val="00914786"/>
    <w:rsid w:val="009155AA"/>
    <w:rsid w:val="00917575"/>
    <w:rsid w:val="00917663"/>
    <w:rsid w:val="00920C3A"/>
    <w:rsid w:val="0092301C"/>
    <w:rsid w:val="009234B4"/>
    <w:rsid w:val="00925FD9"/>
    <w:rsid w:val="009263C3"/>
    <w:rsid w:val="0092661B"/>
    <w:rsid w:val="009311E1"/>
    <w:rsid w:val="00933CDF"/>
    <w:rsid w:val="009357FF"/>
    <w:rsid w:val="00936DA4"/>
    <w:rsid w:val="00936E18"/>
    <w:rsid w:val="00940843"/>
    <w:rsid w:val="00940CB5"/>
    <w:rsid w:val="00941DB1"/>
    <w:rsid w:val="009438B8"/>
    <w:rsid w:val="009440AF"/>
    <w:rsid w:val="009446A9"/>
    <w:rsid w:val="009509AD"/>
    <w:rsid w:val="00952C12"/>
    <w:rsid w:val="00954CCE"/>
    <w:rsid w:val="00954D84"/>
    <w:rsid w:val="00955BA7"/>
    <w:rsid w:val="009566FF"/>
    <w:rsid w:val="00957AAA"/>
    <w:rsid w:val="009602D8"/>
    <w:rsid w:val="0096140C"/>
    <w:rsid w:val="0096200A"/>
    <w:rsid w:val="00964827"/>
    <w:rsid w:val="0096787C"/>
    <w:rsid w:val="00970321"/>
    <w:rsid w:val="009757B0"/>
    <w:rsid w:val="00976588"/>
    <w:rsid w:val="00976AA3"/>
    <w:rsid w:val="00977AED"/>
    <w:rsid w:val="00980DF0"/>
    <w:rsid w:val="0098112A"/>
    <w:rsid w:val="0098125D"/>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4C5"/>
    <w:rsid w:val="009B6A21"/>
    <w:rsid w:val="009B6D3E"/>
    <w:rsid w:val="009C18E1"/>
    <w:rsid w:val="009C4C59"/>
    <w:rsid w:val="009D008D"/>
    <w:rsid w:val="009D056E"/>
    <w:rsid w:val="009D13E0"/>
    <w:rsid w:val="009D15C4"/>
    <w:rsid w:val="009D2024"/>
    <w:rsid w:val="009D5259"/>
    <w:rsid w:val="009D5643"/>
    <w:rsid w:val="009D5F7A"/>
    <w:rsid w:val="009D676D"/>
    <w:rsid w:val="009D6A75"/>
    <w:rsid w:val="009D7D2C"/>
    <w:rsid w:val="009E004D"/>
    <w:rsid w:val="009E21B9"/>
    <w:rsid w:val="009E35CB"/>
    <w:rsid w:val="009E4493"/>
    <w:rsid w:val="009E44D3"/>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874"/>
    <w:rsid w:val="00A27BE0"/>
    <w:rsid w:val="00A31526"/>
    <w:rsid w:val="00A31CD3"/>
    <w:rsid w:val="00A346F3"/>
    <w:rsid w:val="00A351E7"/>
    <w:rsid w:val="00A36129"/>
    <w:rsid w:val="00A40EED"/>
    <w:rsid w:val="00A425A5"/>
    <w:rsid w:val="00A44D27"/>
    <w:rsid w:val="00A461D9"/>
    <w:rsid w:val="00A470F3"/>
    <w:rsid w:val="00A5090A"/>
    <w:rsid w:val="00A5137C"/>
    <w:rsid w:val="00A52706"/>
    <w:rsid w:val="00A53C61"/>
    <w:rsid w:val="00A55C4C"/>
    <w:rsid w:val="00A56866"/>
    <w:rsid w:val="00A57929"/>
    <w:rsid w:val="00A57A37"/>
    <w:rsid w:val="00A60036"/>
    <w:rsid w:val="00A6116F"/>
    <w:rsid w:val="00A6682F"/>
    <w:rsid w:val="00A66A83"/>
    <w:rsid w:val="00A71388"/>
    <w:rsid w:val="00A72A59"/>
    <w:rsid w:val="00A73157"/>
    <w:rsid w:val="00A74D91"/>
    <w:rsid w:val="00A757F4"/>
    <w:rsid w:val="00A804E8"/>
    <w:rsid w:val="00A81458"/>
    <w:rsid w:val="00A83740"/>
    <w:rsid w:val="00A84B91"/>
    <w:rsid w:val="00A872F4"/>
    <w:rsid w:val="00A90827"/>
    <w:rsid w:val="00A9774A"/>
    <w:rsid w:val="00A977D1"/>
    <w:rsid w:val="00A978FA"/>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069"/>
    <w:rsid w:val="00AB4CBA"/>
    <w:rsid w:val="00AB4E3F"/>
    <w:rsid w:val="00AB53C6"/>
    <w:rsid w:val="00AB7230"/>
    <w:rsid w:val="00AB7716"/>
    <w:rsid w:val="00AC1767"/>
    <w:rsid w:val="00AD034D"/>
    <w:rsid w:val="00AD07E5"/>
    <w:rsid w:val="00AD26FC"/>
    <w:rsid w:val="00AD3605"/>
    <w:rsid w:val="00AD5A51"/>
    <w:rsid w:val="00AD5CC2"/>
    <w:rsid w:val="00AD7720"/>
    <w:rsid w:val="00AE3F8B"/>
    <w:rsid w:val="00AE435E"/>
    <w:rsid w:val="00AE56F3"/>
    <w:rsid w:val="00AE6B4A"/>
    <w:rsid w:val="00AE6CC3"/>
    <w:rsid w:val="00AF01F5"/>
    <w:rsid w:val="00AF31AB"/>
    <w:rsid w:val="00AF4966"/>
    <w:rsid w:val="00AF4F1E"/>
    <w:rsid w:val="00AF5B60"/>
    <w:rsid w:val="00AF65B2"/>
    <w:rsid w:val="00B0380E"/>
    <w:rsid w:val="00B042A7"/>
    <w:rsid w:val="00B043C1"/>
    <w:rsid w:val="00B04875"/>
    <w:rsid w:val="00B115CD"/>
    <w:rsid w:val="00B12627"/>
    <w:rsid w:val="00B17261"/>
    <w:rsid w:val="00B24288"/>
    <w:rsid w:val="00B24F41"/>
    <w:rsid w:val="00B25590"/>
    <w:rsid w:val="00B26FB8"/>
    <w:rsid w:val="00B31F78"/>
    <w:rsid w:val="00B32C6C"/>
    <w:rsid w:val="00B3392D"/>
    <w:rsid w:val="00B34AE5"/>
    <w:rsid w:val="00B371A0"/>
    <w:rsid w:val="00B3748B"/>
    <w:rsid w:val="00B429AB"/>
    <w:rsid w:val="00B525AB"/>
    <w:rsid w:val="00B525AD"/>
    <w:rsid w:val="00B558D1"/>
    <w:rsid w:val="00B60E6F"/>
    <w:rsid w:val="00B6192B"/>
    <w:rsid w:val="00B625FE"/>
    <w:rsid w:val="00B644A2"/>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71C4"/>
    <w:rsid w:val="00B973F9"/>
    <w:rsid w:val="00BA01BA"/>
    <w:rsid w:val="00BA5193"/>
    <w:rsid w:val="00BA565F"/>
    <w:rsid w:val="00BA74AF"/>
    <w:rsid w:val="00BB026A"/>
    <w:rsid w:val="00BB1F60"/>
    <w:rsid w:val="00BB3EC3"/>
    <w:rsid w:val="00BB446F"/>
    <w:rsid w:val="00BB4811"/>
    <w:rsid w:val="00BC0012"/>
    <w:rsid w:val="00BC16D1"/>
    <w:rsid w:val="00BC1F00"/>
    <w:rsid w:val="00BC5A54"/>
    <w:rsid w:val="00BD4EE9"/>
    <w:rsid w:val="00BD55A9"/>
    <w:rsid w:val="00BD6D1C"/>
    <w:rsid w:val="00BE2688"/>
    <w:rsid w:val="00BE396E"/>
    <w:rsid w:val="00BE3A15"/>
    <w:rsid w:val="00BE4292"/>
    <w:rsid w:val="00BE4C72"/>
    <w:rsid w:val="00BE72E9"/>
    <w:rsid w:val="00BF223E"/>
    <w:rsid w:val="00BF2A03"/>
    <w:rsid w:val="00BF5A4E"/>
    <w:rsid w:val="00BF65F8"/>
    <w:rsid w:val="00BF68F7"/>
    <w:rsid w:val="00BF7D75"/>
    <w:rsid w:val="00C00A55"/>
    <w:rsid w:val="00C00EBF"/>
    <w:rsid w:val="00C0184B"/>
    <w:rsid w:val="00C05C9D"/>
    <w:rsid w:val="00C06C21"/>
    <w:rsid w:val="00C07971"/>
    <w:rsid w:val="00C100A8"/>
    <w:rsid w:val="00C107D6"/>
    <w:rsid w:val="00C113C5"/>
    <w:rsid w:val="00C11EAB"/>
    <w:rsid w:val="00C16101"/>
    <w:rsid w:val="00C20F4C"/>
    <w:rsid w:val="00C233C5"/>
    <w:rsid w:val="00C23C58"/>
    <w:rsid w:val="00C2520C"/>
    <w:rsid w:val="00C27696"/>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711EB"/>
    <w:rsid w:val="00C71E7E"/>
    <w:rsid w:val="00C74592"/>
    <w:rsid w:val="00C74607"/>
    <w:rsid w:val="00C74668"/>
    <w:rsid w:val="00C755F5"/>
    <w:rsid w:val="00C77AC9"/>
    <w:rsid w:val="00C81AC0"/>
    <w:rsid w:val="00C82656"/>
    <w:rsid w:val="00C839CD"/>
    <w:rsid w:val="00C90F00"/>
    <w:rsid w:val="00C937E4"/>
    <w:rsid w:val="00C94EFE"/>
    <w:rsid w:val="00C967C8"/>
    <w:rsid w:val="00C97C11"/>
    <w:rsid w:val="00CA0DF4"/>
    <w:rsid w:val="00CA3DEC"/>
    <w:rsid w:val="00CA485E"/>
    <w:rsid w:val="00CA5792"/>
    <w:rsid w:val="00CA66F5"/>
    <w:rsid w:val="00CB05D3"/>
    <w:rsid w:val="00CB1471"/>
    <w:rsid w:val="00CB14CF"/>
    <w:rsid w:val="00CB1AA3"/>
    <w:rsid w:val="00CB1E0E"/>
    <w:rsid w:val="00CB292E"/>
    <w:rsid w:val="00CB2D8F"/>
    <w:rsid w:val="00CB42CB"/>
    <w:rsid w:val="00CB547D"/>
    <w:rsid w:val="00CB7B19"/>
    <w:rsid w:val="00CC001F"/>
    <w:rsid w:val="00CC08EB"/>
    <w:rsid w:val="00CC0EA3"/>
    <w:rsid w:val="00CC1294"/>
    <w:rsid w:val="00CC2246"/>
    <w:rsid w:val="00CC389F"/>
    <w:rsid w:val="00CC3AF3"/>
    <w:rsid w:val="00CC658A"/>
    <w:rsid w:val="00CC6CD2"/>
    <w:rsid w:val="00CC6EE5"/>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D00133"/>
    <w:rsid w:val="00D00202"/>
    <w:rsid w:val="00D01FB8"/>
    <w:rsid w:val="00D036CE"/>
    <w:rsid w:val="00D047F4"/>
    <w:rsid w:val="00D0626C"/>
    <w:rsid w:val="00D12B76"/>
    <w:rsid w:val="00D13D0E"/>
    <w:rsid w:val="00D14AFE"/>
    <w:rsid w:val="00D16C39"/>
    <w:rsid w:val="00D2166A"/>
    <w:rsid w:val="00D22686"/>
    <w:rsid w:val="00D2452A"/>
    <w:rsid w:val="00D24FB7"/>
    <w:rsid w:val="00D2523F"/>
    <w:rsid w:val="00D25F3A"/>
    <w:rsid w:val="00D27F48"/>
    <w:rsid w:val="00D31775"/>
    <w:rsid w:val="00D31FA1"/>
    <w:rsid w:val="00D32F3A"/>
    <w:rsid w:val="00D34629"/>
    <w:rsid w:val="00D4073E"/>
    <w:rsid w:val="00D435E7"/>
    <w:rsid w:val="00D451A3"/>
    <w:rsid w:val="00D4615F"/>
    <w:rsid w:val="00D52359"/>
    <w:rsid w:val="00D5381E"/>
    <w:rsid w:val="00D55288"/>
    <w:rsid w:val="00D5617B"/>
    <w:rsid w:val="00D563BE"/>
    <w:rsid w:val="00D566FC"/>
    <w:rsid w:val="00D56F9A"/>
    <w:rsid w:val="00D60B88"/>
    <w:rsid w:val="00D61722"/>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6E30"/>
    <w:rsid w:val="00D878A4"/>
    <w:rsid w:val="00D87D23"/>
    <w:rsid w:val="00D90381"/>
    <w:rsid w:val="00D90F22"/>
    <w:rsid w:val="00D91135"/>
    <w:rsid w:val="00D945FF"/>
    <w:rsid w:val="00D95AE8"/>
    <w:rsid w:val="00D97C30"/>
    <w:rsid w:val="00DA0B67"/>
    <w:rsid w:val="00DA5A9F"/>
    <w:rsid w:val="00DA5BCE"/>
    <w:rsid w:val="00DB1C0A"/>
    <w:rsid w:val="00DB1CFB"/>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223A"/>
    <w:rsid w:val="00E02E30"/>
    <w:rsid w:val="00E046AB"/>
    <w:rsid w:val="00E07DA8"/>
    <w:rsid w:val="00E07FA4"/>
    <w:rsid w:val="00E12054"/>
    <w:rsid w:val="00E12CC8"/>
    <w:rsid w:val="00E1393C"/>
    <w:rsid w:val="00E15216"/>
    <w:rsid w:val="00E15BCC"/>
    <w:rsid w:val="00E1648C"/>
    <w:rsid w:val="00E169B3"/>
    <w:rsid w:val="00E16DF1"/>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30DA"/>
    <w:rsid w:val="00E5364C"/>
    <w:rsid w:val="00E56B79"/>
    <w:rsid w:val="00E56EE3"/>
    <w:rsid w:val="00E606E5"/>
    <w:rsid w:val="00E62F80"/>
    <w:rsid w:val="00E6433B"/>
    <w:rsid w:val="00E646EA"/>
    <w:rsid w:val="00E67FED"/>
    <w:rsid w:val="00E70CA4"/>
    <w:rsid w:val="00E7156E"/>
    <w:rsid w:val="00E71FC6"/>
    <w:rsid w:val="00E739DD"/>
    <w:rsid w:val="00E7457F"/>
    <w:rsid w:val="00E7572F"/>
    <w:rsid w:val="00E7639F"/>
    <w:rsid w:val="00E769DE"/>
    <w:rsid w:val="00E82E75"/>
    <w:rsid w:val="00E84344"/>
    <w:rsid w:val="00E86B03"/>
    <w:rsid w:val="00E8729F"/>
    <w:rsid w:val="00E90063"/>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6E08"/>
    <w:rsid w:val="00EB74FD"/>
    <w:rsid w:val="00EC450E"/>
    <w:rsid w:val="00EC4A39"/>
    <w:rsid w:val="00EC5470"/>
    <w:rsid w:val="00EC620D"/>
    <w:rsid w:val="00EC720C"/>
    <w:rsid w:val="00ED0ED5"/>
    <w:rsid w:val="00ED1462"/>
    <w:rsid w:val="00ED1692"/>
    <w:rsid w:val="00ED5BB4"/>
    <w:rsid w:val="00ED6171"/>
    <w:rsid w:val="00ED6868"/>
    <w:rsid w:val="00ED7869"/>
    <w:rsid w:val="00EE1B9A"/>
    <w:rsid w:val="00EE1BA5"/>
    <w:rsid w:val="00EE5CBF"/>
    <w:rsid w:val="00EE7414"/>
    <w:rsid w:val="00EF0C5F"/>
    <w:rsid w:val="00EF208C"/>
    <w:rsid w:val="00EF53BE"/>
    <w:rsid w:val="00EF7BDE"/>
    <w:rsid w:val="00EF7DBE"/>
    <w:rsid w:val="00F0245C"/>
    <w:rsid w:val="00F059B6"/>
    <w:rsid w:val="00F068B8"/>
    <w:rsid w:val="00F06EC3"/>
    <w:rsid w:val="00F0746A"/>
    <w:rsid w:val="00F104E1"/>
    <w:rsid w:val="00F10D26"/>
    <w:rsid w:val="00F10F61"/>
    <w:rsid w:val="00F118FD"/>
    <w:rsid w:val="00F14541"/>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80F07"/>
    <w:rsid w:val="00F82392"/>
    <w:rsid w:val="00F84A68"/>
    <w:rsid w:val="00F8652E"/>
    <w:rsid w:val="00F910A5"/>
    <w:rsid w:val="00F911FB"/>
    <w:rsid w:val="00F927EE"/>
    <w:rsid w:val="00F92E41"/>
    <w:rsid w:val="00F94E01"/>
    <w:rsid w:val="00FA0BD3"/>
    <w:rsid w:val="00FB052D"/>
    <w:rsid w:val="00FB0B88"/>
    <w:rsid w:val="00FB0C82"/>
    <w:rsid w:val="00FB0D40"/>
    <w:rsid w:val="00FB322F"/>
    <w:rsid w:val="00FB677C"/>
    <w:rsid w:val="00FB6EBC"/>
    <w:rsid w:val="00FB7CB0"/>
    <w:rsid w:val="00FC000F"/>
    <w:rsid w:val="00FC1EC9"/>
    <w:rsid w:val="00FC1EF5"/>
    <w:rsid w:val="00FC2157"/>
    <w:rsid w:val="00FC48D1"/>
    <w:rsid w:val="00FC51C2"/>
    <w:rsid w:val="00FD3F59"/>
    <w:rsid w:val="00FD46F0"/>
    <w:rsid w:val="00FD6DBC"/>
    <w:rsid w:val="00FD713F"/>
    <w:rsid w:val="00FE4A67"/>
    <w:rsid w:val="00FE4FE6"/>
    <w:rsid w:val="00FE70EF"/>
    <w:rsid w:val="00FF055C"/>
    <w:rsid w:val="00FF23EB"/>
    <w:rsid w:val="00FF2F93"/>
    <w:rsid w:val="00FF3356"/>
    <w:rsid w:val="00FF62F4"/>
    <w:rsid w:val="00FF68CA"/>
    <w:rsid w:val="06742526"/>
    <w:rsid w:val="06C28924"/>
    <w:rsid w:val="07D9BBF8"/>
    <w:rsid w:val="0B1903AB"/>
    <w:rsid w:val="0CF839E6"/>
    <w:rsid w:val="0D98DE38"/>
    <w:rsid w:val="0DE706F0"/>
    <w:rsid w:val="0E4C1A45"/>
    <w:rsid w:val="0E940A47"/>
    <w:rsid w:val="0E9877B0"/>
    <w:rsid w:val="12D47FBA"/>
    <w:rsid w:val="1470501B"/>
    <w:rsid w:val="192E7EF4"/>
    <w:rsid w:val="1A2607B7"/>
    <w:rsid w:val="1A77622F"/>
    <w:rsid w:val="1BF5760B"/>
    <w:rsid w:val="1C8EEDEB"/>
    <w:rsid w:val="1F11DE7B"/>
    <w:rsid w:val="2105FE43"/>
    <w:rsid w:val="21C8F00F"/>
    <w:rsid w:val="21E98BCD"/>
    <w:rsid w:val="2436C3D5"/>
    <w:rsid w:val="24410377"/>
    <w:rsid w:val="24F47935"/>
    <w:rsid w:val="253245F3"/>
    <w:rsid w:val="25827E3E"/>
    <w:rsid w:val="26ECD06D"/>
    <w:rsid w:val="28542375"/>
    <w:rsid w:val="2CE3DE01"/>
    <w:rsid w:val="2E0EF109"/>
    <w:rsid w:val="2E51DE8E"/>
    <w:rsid w:val="2E8BB088"/>
    <w:rsid w:val="2EF9A7AC"/>
    <w:rsid w:val="31886BB7"/>
    <w:rsid w:val="322C0042"/>
    <w:rsid w:val="33E9E2A8"/>
    <w:rsid w:val="34BA64BF"/>
    <w:rsid w:val="36563520"/>
    <w:rsid w:val="39411312"/>
    <w:rsid w:val="3BDE21A1"/>
    <w:rsid w:val="3BEE614F"/>
    <w:rsid w:val="3C706B49"/>
    <w:rsid w:val="40482C6B"/>
    <w:rsid w:val="40A05641"/>
    <w:rsid w:val="41ED694D"/>
    <w:rsid w:val="496FD3ED"/>
    <w:rsid w:val="499563D1"/>
    <w:rsid w:val="4B26500A"/>
    <w:rsid w:val="4B5C77AB"/>
    <w:rsid w:val="4C8C3F52"/>
    <w:rsid w:val="4C8D914D"/>
    <w:rsid w:val="4CDB02DD"/>
    <w:rsid w:val="4D727CE6"/>
    <w:rsid w:val="4D928C7B"/>
    <w:rsid w:val="4DA36579"/>
    <w:rsid w:val="4F393DEF"/>
    <w:rsid w:val="4FD6A956"/>
    <w:rsid w:val="4FF9C12D"/>
    <w:rsid w:val="562E2558"/>
    <w:rsid w:val="5825833A"/>
    <w:rsid w:val="58318EFD"/>
    <w:rsid w:val="59BF76FD"/>
    <w:rsid w:val="5B330165"/>
    <w:rsid w:val="5BDDB08D"/>
    <w:rsid w:val="5C3B72E6"/>
    <w:rsid w:val="5C5B4137"/>
    <w:rsid w:val="5F4A7D48"/>
    <w:rsid w:val="60ACE3BF"/>
    <w:rsid w:val="6452D649"/>
    <w:rsid w:val="6A1B3865"/>
    <w:rsid w:val="6B38465F"/>
    <w:rsid w:val="6BD261F1"/>
    <w:rsid w:val="6BDA476C"/>
    <w:rsid w:val="6F1E1BC6"/>
    <w:rsid w:val="6F3D5F85"/>
    <w:rsid w:val="73EB77EA"/>
    <w:rsid w:val="74354FBC"/>
    <w:rsid w:val="783CDF13"/>
    <w:rsid w:val="794B5316"/>
    <w:rsid w:val="7D105036"/>
    <w:rsid w:val="7D9507B1"/>
    <w:rsid w:val="7E014CED"/>
    <w:rsid w:val="7E61D6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EA3F3CC"/>
  <w15:chartTrackingRefBased/>
  <w15:docId w15:val="{C515A92D-B536-463E-9ED7-EC6636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7D462C"/>
    <w:pPr>
      <w:keepNext/>
      <w:tabs>
        <w:tab w:val="left" w:pos="-720"/>
      </w:tabs>
      <w:suppressAutoHyphens/>
      <w:spacing w:before="120" w:after="220"/>
      <w:jc w:val="center"/>
      <w:outlineLvl w:val="0"/>
    </w:pPr>
    <w:rPr>
      <w:rFonts w:ascii="Calibri" w:hAnsi="Calibri" w:cs="Calibri"/>
      <w:b/>
      <w:spacing w:val="-3"/>
      <w:sz w:val="28"/>
      <w:szCs w:val="28"/>
    </w:rPr>
  </w:style>
  <w:style w:type="paragraph" w:styleId="Heading2">
    <w:name w:val="heading 2"/>
    <w:basedOn w:val="Normal"/>
    <w:next w:val="Normal"/>
    <w:qFormat/>
    <w:rsid w:val="007D462C"/>
    <w:pPr>
      <w:keepNext/>
      <w:tabs>
        <w:tab w:val="left" w:pos="-720"/>
      </w:tabs>
      <w:suppressAutoHyphens/>
      <w:spacing w:before="220"/>
      <w:outlineLvl w:val="1"/>
    </w:pPr>
    <w:rPr>
      <w:rFonts w:ascii="Calibri" w:hAnsi="Calibri" w:cs="Calibri"/>
      <w:b/>
      <w:spacing w:val="-3"/>
      <w:szCs w:val="24"/>
    </w:rPr>
  </w:style>
  <w:style w:type="paragraph" w:styleId="Heading3">
    <w:name w:val="heading 3"/>
    <w:basedOn w:val="Normal"/>
    <w:next w:val="Normal"/>
    <w:qFormat/>
    <w:rsid w:val="00394EEE"/>
    <w:pPr>
      <w:numPr>
        <w:numId w:val="4"/>
      </w:numPr>
      <w:spacing w:before="240"/>
      <w:outlineLvl w:val="2"/>
    </w:pPr>
    <w:rPr>
      <w:rFonts w:ascii="Calibri" w:hAnsi="Calibri" w:cs="Calibri"/>
      <w:b/>
      <w:sz w:val="22"/>
      <w:szCs w:val="22"/>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206DE4"/>
    <w:pPr>
      <w:numPr>
        <w:numId w:val="3"/>
      </w:numPr>
      <w:ind w:left="1224"/>
    </w:pPr>
    <w:rPr>
      <w:rFonts w:ascii="Calibri" w:hAnsi="Calibri" w:cs="Calibri"/>
      <w:b/>
      <w:sz w:val="22"/>
      <w:szCs w:val="22"/>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 w:type="character" w:styleId="Strong">
    <w:name w:val="Strong"/>
    <w:basedOn w:val="DefaultParagraphFont"/>
    <w:qFormat/>
    <w:rsid w:val="00B644A2"/>
    <w:rPr>
      <w:rFonts w:ascii="Calibri"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finance/fp/af/co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treasury/pensions/financial-report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1" ma:contentTypeDescription="Create a new document." ma:contentTypeScope="" ma:versionID="37616461f744a88e7fd55f47bbc6101f">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7638651661bab078d58e52cd09497c84"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JDOEWeeklyBulleti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JDOEWeeklyBulletinDate" ma:index="18" nillable="true" ma:displayName="NJDOE Weekly Bulletin Date" ma:default="[today]" ma:format="DateOnly" ma:internalName="NJDOEWeeklyBulleti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JDOEWeeklyBulletinDate xmlns="1765d9d9-734f-4e40-bf37-76520b71712c" xsi:nil="true"/>
  </documentManagement>
</p:properties>
</file>

<file path=customXml/itemProps1.xml><?xml version="1.0" encoding="utf-8"?>
<ds:datastoreItem xmlns:ds="http://schemas.openxmlformats.org/officeDocument/2006/customXml" ds:itemID="{DF63531A-E3F0-4E66-AE49-F351901F04D5}">
  <ds:schemaRefs>
    <ds:schemaRef ds:uri="http://schemas.openxmlformats.org/officeDocument/2006/bibliography"/>
  </ds:schemaRefs>
</ds:datastoreItem>
</file>

<file path=customXml/itemProps2.xml><?xml version="1.0" encoding="utf-8"?>
<ds:datastoreItem xmlns:ds="http://schemas.openxmlformats.org/officeDocument/2006/customXml" ds:itemID="{F7F962C5-04C3-43BB-94E6-225D9484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8E126-534A-4FB5-BE4E-01C8D0EC4CB8}">
  <ds:schemaRefs>
    <ds:schemaRef ds:uri="http://schemas.microsoft.com/sharepoint/v3/contenttype/forms"/>
  </ds:schemaRefs>
</ds:datastoreItem>
</file>

<file path=customXml/itemProps4.xml><?xml version="1.0" encoding="utf-8"?>
<ds:datastoreItem xmlns:ds="http://schemas.openxmlformats.org/officeDocument/2006/customXml" ds:itemID="{F3F0B19D-6305-4647-A784-7E65A69C3FEC}">
  <ds:schemaRefs>
    <ds:schemaRef ds:uri="http://schemas.microsoft.com/office/2006/metadata/properties"/>
    <ds:schemaRef ds:uri="http://schemas.microsoft.com/office/infopath/2007/PartnerControls"/>
    <ds:schemaRef ds:uri="1765d9d9-734f-4e40-bf37-76520b71712c"/>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2619</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Budget Guidelines - Appendix D-1</vt:lpstr>
    </vt:vector>
  </TitlesOfParts>
  <Company>Dell Computer Corporation</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D-1</dc:title>
  <dc:subject/>
  <dc:creator>New Jersey Department of Education</dc:creator>
  <cp:keywords/>
  <cp:lastModifiedBy>Gorman, Stephanie</cp:lastModifiedBy>
  <cp:revision>16</cp:revision>
  <cp:lastPrinted>2014-07-15T13:51:00Z</cp:lastPrinted>
  <dcterms:created xsi:type="dcterms:W3CDTF">2022-03-16T13:51:00Z</dcterms:created>
  <dcterms:modified xsi:type="dcterms:W3CDTF">2023-02-02T18:55:00Z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