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276B" w14:textId="5A8D1AB1" w:rsidR="00AE357B" w:rsidRPr="00021F35" w:rsidRDefault="00AE357B" w:rsidP="00DC2526">
      <w:pPr>
        <w:pStyle w:val="Heading1"/>
      </w:pPr>
      <w:r w:rsidRPr="00021F35">
        <w:t>Planning</w:t>
      </w:r>
      <w:r w:rsidR="00D22FD7">
        <w:t xml:space="preserve"> </w:t>
      </w:r>
      <w:r w:rsidRPr="00021F35">
        <w:t>for</w:t>
      </w:r>
      <w:r w:rsidR="00D22FD7">
        <w:t xml:space="preserve"> </w:t>
      </w:r>
      <w:r w:rsidRPr="00021F35">
        <w:t>Holiday</w:t>
      </w:r>
      <w:r w:rsidR="00D22FD7">
        <w:t xml:space="preserve"> </w:t>
      </w:r>
      <w:r w:rsidRPr="00021F35">
        <w:t>Activities</w:t>
      </w:r>
      <w:r w:rsidR="00D22FD7">
        <w:t xml:space="preserve"> </w:t>
      </w:r>
      <w:r w:rsidRPr="00021F35">
        <w:t>and</w:t>
      </w:r>
      <w:r w:rsidR="00D22FD7">
        <w:t xml:space="preserve"> </w:t>
      </w:r>
      <w:r w:rsidRPr="00021F35">
        <w:t>Celebrations</w:t>
      </w:r>
    </w:p>
    <w:p w14:paraId="5FBFB60E" w14:textId="69CC6F03" w:rsidR="00A63540" w:rsidRPr="006A6FD4" w:rsidRDefault="00A63540" w:rsidP="00A63540">
      <w:pPr>
        <w:rPr>
          <w:rFonts w:cs="Calibri"/>
        </w:rPr>
      </w:pPr>
      <w:r w:rsidRPr="006A6FD4">
        <w:rPr>
          <w:rFonts w:cs="Calibri"/>
        </w:rPr>
        <w:t>Educators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often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have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questions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and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concerns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about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how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to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address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holiday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activities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and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celebrations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way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that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developmentally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appropriate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for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preschoolers. It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important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to</w:t>
      </w:r>
      <w:r w:rsidR="00D22FD7">
        <w:rPr>
          <w:rFonts w:cs="Calibri"/>
        </w:rPr>
        <w:t xml:space="preserve"> </w:t>
      </w:r>
      <w:r w:rsidR="00021F35" w:rsidRPr="006A6FD4">
        <w:rPr>
          <w:rFonts w:cs="Calibri"/>
        </w:rPr>
        <w:t>consider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many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different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perspectives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on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holidays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and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what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they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mean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to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communities,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families,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and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children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that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we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serve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our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schools.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These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special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occasions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can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have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religious,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cultural,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and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historical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significance,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well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personal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meaning.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It's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also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important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to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consider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perspective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that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some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families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our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communities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may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not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celebrate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any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holidays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during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year.</w:t>
      </w:r>
    </w:p>
    <w:p w14:paraId="28BBC248" w14:textId="39DD31FE" w:rsidR="00A63540" w:rsidRPr="006A6FD4" w:rsidRDefault="00A63540" w:rsidP="00A63540">
      <w:pPr>
        <w:rPr>
          <w:rFonts w:cs="Calibri"/>
        </w:rPr>
      </w:pPr>
      <w:r w:rsidRPr="006A6FD4">
        <w:rPr>
          <w:rFonts w:cs="Calibri"/>
        </w:rPr>
        <w:t>It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can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easily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become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common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practice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to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automatically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celebrate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holidays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in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our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classrooms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throughout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year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without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giving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careful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thought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as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to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what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is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best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practice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for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the</w:t>
      </w:r>
      <w:r w:rsidR="00D22FD7">
        <w:rPr>
          <w:rFonts w:cs="Calibri"/>
        </w:rPr>
        <w:t xml:space="preserve"> </w:t>
      </w:r>
      <w:r w:rsidRPr="006A6FD4">
        <w:rPr>
          <w:rFonts w:cs="Calibri"/>
        </w:rPr>
        <w:t>students.</w:t>
      </w:r>
    </w:p>
    <w:p w14:paraId="1BFDF857" w14:textId="6C7F46EE" w:rsidR="00A63540" w:rsidRPr="00DC2526" w:rsidRDefault="00A63540" w:rsidP="00DA1671">
      <w:pPr>
        <w:rPr>
          <w:rStyle w:val="IntenseEmphasis"/>
          <w:b/>
          <w:bCs/>
          <w:i w:val="0"/>
          <w:iCs w:val="0"/>
          <w:color w:val="002060"/>
        </w:rPr>
      </w:pPr>
      <w:r w:rsidRPr="00DC2526">
        <w:rPr>
          <w:rStyle w:val="IntenseEmphasis"/>
          <w:b/>
          <w:bCs/>
          <w:i w:val="0"/>
          <w:iCs w:val="0"/>
          <w:color w:val="002060"/>
        </w:rPr>
        <w:t>There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are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some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guiding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questions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that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schools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and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teachers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can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use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when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considering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the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whole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notion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of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how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to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approach</w:t>
      </w:r>
      <w:r w:rsidR="00D22FD7">
        <w:rPr>
          <w:rStyle w:val="IntenseEmphasis"/>
          <w:b/>
          <w:bCs/>
          <w:i w:val="0"/>
          <w:iCs w:val="0"/>
          <w:color w:val="002060"/>
        </w:rPr>
        <w:t xml:space="preserve"> </w:t>
      </w:r>
      <w:r w:rsidRPr="00DC2526">
        <w:rPr>
          <w:rStyle w:val="IntenseEmphasis"/>
          <w:b/>
          <w:bCs/>
          <w:i w:val="0"/>
          <w:iCs w:val="0"/>
          <w:color w:val="002060"/>
        </w:rPr>
        <w:t>holidays:</w:t>
      </w:r>
    </w:p>
    <w:p w14:paraId="042B8D7D" w14:textId="3747B394" w:rsidR="00021F35" w:rsidRPr="006A6FD4" w:rsidRDefault="00021F35" w:rsidP="00021F35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6A6FD4">
        <w:rPr>
          <w:rStyle w:val="normaltextrun"/>
          <w:rFonts w:ascii="Calibri" w:eastAsiaTheme="majorEastAsia" w:hAnsi="Calibri" w:cs="Calibri"/>
        </w:rPr>
        <w:t>Does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our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practice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make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sense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when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thinking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about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the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developmentally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appropriate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teaching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practices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that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are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aligned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with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our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curriculum?</w:t>
      </w:r>
    </w:p>
    <w:p w14:paraId="41725B7C" w14:textId="77FAFD1E" w:rsidR="00021F35" w:rsidRPr="006A6FD4" w:rsidRDefault="00021F35" w:rsidP="00021F35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6A6FD4">
        <w:rPr>
          <w:rStyle w:val="normaltextrun"/>
          <w:rFonts w:ascii="Calibri" w:eastAsiaTheme="majorEastAsia" w:hAnsi="Calibri" w:cs="Calibri"/>
        </w:rPr>
        <w:t>Are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our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practices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age-appropriate?</w:t>
      </w:r>
    </w:p>
    <w:p w14:paraId="73046A40" w14:textId="0E7985DA" w:rsidR="00021F35" w:rsidRPr="006A6FD4" w:rsidRDefault="00021F35" w:rsidP="00021F35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6A6FD4">
        <w:rPr>
          <w:rStyle w:val="normaltextrun"/>
          <w:rFonts w:ascii="Calibri" w:eastAsiaTheme="majorEastAsia" w:hAnsi="Calibri" w:cs="Calibri"/>
        </w:rPr>
        <w:t>Is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what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we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do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relevant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to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the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individual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children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who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are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currently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in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our</w:t>
      </w:r>
      <w:r w:rsidR="00D22FD7">
        <w:rPr>
          <w:rStyle w:val="normaltextrun"/>
          <w:rFonts w:ascii="Calibri" w:eastAsiaTheme="majorEastAsia" w:hAnsi="Calibri" w:cs="Calibri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</w:rPr>
        <w:t>classrooms?</w:t>
      </w:r>
    </w:p>
    <w:p w14:paraId="7728A8CC" w14:textId="39E3417B" w:rsidR="00021F35" w:rsidRPr="006A6FD4" w:rsidRDefault="00021F35" w:rsidP="00021F35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</w:rPr>
      </w:pPr>
      <w:r w:rsidRPr="006A6FD4">
        <w:rPr>
          <w:rStyle w:val="normaltextrun"/>
          <w:rFonts w:ascii="Calibri" w:hAnsi="Calibri" w:cs="Calibri"/>
          <w:shd w:val="clear" w:color="auto" w:fill="FFFFFF"/>
        </w:rPr>
        <w:t>Are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we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including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commercialized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products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and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holidays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as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part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of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our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program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without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assessing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the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value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or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relevance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towards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the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students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that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we</w:t>
      </w:r>
      <w:r w:rsidR="00D22FD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6A6FD4">
        <w:rPr>
          <w:rStyle w:val="normaltextrun"/>
          <w:rFonts w:ascii="Calibri" w:hAnsi="Calibri" w:cs="Calibri"/>
          <w:shd w:val="clear" w:color="auto" w:fill="FFFFFF"/>
        </w:rPr>
        <w:t>serve?</w:t>
      </w:r>
    </w:p>
    <w:p w14:paraId="564A77D3" w14:textId="195F1C17" w:rsidR="00021F35" w:rsidRPr="00DC2526" w:rsidRDefault="00021F35" w:rsidP="00DA1671">
      <w:pPr>
        <w:pStyle w:val="Heading1"/>
        <w:rPr>
          <w:rStyle w:val="IntenseEmphasis"/>
          <w:i w:val="0"/>
          <w:iCs w:val="0"/>
          <w:color w:val="002060"/>
          <w:sz w:val="24"/>
          <w:szCs w:val="24"/>
        </w:rPr>
      </w:pP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Some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alternatives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for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approaching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holiday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activities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and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celebrations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  <w:r w:rsidRPr="00DC2526">
        <w:rPr>
          <w:rStyle w:val="IntenseEmphasis"/>
          <w:i w:val="0"/>
          <w:iCs w:val="0"/>
          <w:color w:val="002060"/>
          <w:sz w:val="24"/>
          <w:szCs w:val="24"/>
        </w:rPr>
        <w:t>are:</w:t>
      </w:r>
      <w:r w:rsidR="00D22FD7">
        <w:rPr>
          <w:rStyle w:val="IntenseEmphasis"/>
          <w:i w:val="0"/>
          <w:iCs w:val="0"/>
          <w:color w:val="002060"/>
          <w:sz w:val="24"/>
          <w:szCs w:val="24"/>
        </w:rPr>
        <w:t xml:space="preserve"> </w:t>
      </w:r>
    </w:p>
    <w:p w14:paraId="0D4C07BE" w14:textId="6D9156C8" w:rsidR="00C80FDD" w:rsidRPr="00D22FD7" w:rsidRDefault="00021F35" w:rsidP="00D22FD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021F35">
        <w:rPr>
          <w:rStyle w:val="normaltextrun"/>
          <w:rFonts w:asciiTheme="minorHAnsi" w:eastAsiaTheme="majorEastAsia" w:hAnsiTheme="minorHAnsi" w:cstheme="minorHAnsi"/>
        </w:rPr>
        <w:t>Observe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only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holidays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relevant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to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cultures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community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with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activities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accurately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reflect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what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home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how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home. 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same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time,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check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to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find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out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if,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within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your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adopted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curriculum,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teachers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are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emphasizing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children's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learning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about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everyday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routines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families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based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cultures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represented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local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community.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valuing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cultural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lives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children,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teachers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send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strong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message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to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each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child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about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his/her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personal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value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member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classroom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community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while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simultaneously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providing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lessons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about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valuing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cultural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similarities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differences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community.</w:t>
      </w:r>
      <w:r w:rsidR="00D22FD7">
        <w:rPr>
          <w:rStyle w:val="normaltextrun"/>
          <w:rFonts w:asciiTheme="minorHAnsi" w:eastAsiaTheme="majorEastAsia" w:hAnsiTheme="minorHAnsi" w:cstheme="minorHAnsi"/>
        </w:rPr>
        <w:br w:type="page"/>
      </w:r>
    </w:p>
    <w:p w14:paraId="368F9AF8" w14:textId="4A5DF168" w:rsidR="00C80FDD" w:rsidRPr="00DC2526" w:rsidRDefault="00021F35" w:rsidP="00D22FD7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021F35">
        <w:rPr>
          <w:rStyle w:val="normaltextrun"/>
          <w:rFonts w:asciiTheme="minorHAnsi" w:eastAsiaTheme="majorEastAsia" w:hAnsiTheme="minorHAnsi" w:cstheme="minorHAnsi"/>
        </w:rPr>
        <w:lastRenderedPageBreak/>
        <w:t>To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demonstrate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respect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acknowledgement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for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all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families,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programs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should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not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favor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one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celebration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holiday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over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another.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Consider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developing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various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celebrations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throughout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school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year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support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intentionally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planned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classroom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experiences.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This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not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only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acknowledges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classrooms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independent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learning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communities,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but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communicates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to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children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families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daily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classroom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experiences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are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valued.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Involving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families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these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celebrations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can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further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strengthen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relationships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with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families.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Examples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these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types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celebrations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are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Family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Day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(all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families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are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invited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honored);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Celebrating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our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School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(school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staff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are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discussed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spotlighted);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Neighborhood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Heroes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(neighborhood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businesses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individuals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share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how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support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community).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Celebrations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can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also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whimsical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playful.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example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this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could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Bring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Books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Alive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Day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(making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wearing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costumes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from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books,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eating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foods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from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favorite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books,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acting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out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favorite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stories);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Pajama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Day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(wearing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pajamas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to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school,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telling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bedtime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stories,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sharing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family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bedtime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routines).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Programs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can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also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end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school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year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with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annual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End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Year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Celebration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where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year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learning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acknowledged.</w:t>
      </w:r>
    </w:p>
    <w:p w14:paraId="616F2608" w14:textId="64EDCC63" w:rsidR="00021F35" w:rsidRPr="00C80FDD" w:rsidRDefault="00021F35" w:rsidP="00C80FD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policy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you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adopt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should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guided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goals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your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adopted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curriculum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 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New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Jersey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Preschool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Teaching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Learning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Standards,</w:t>
      </w:r>
      <w:r w:rsidR="00D22FD7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  <w:i/>
          <w:iCs/>
        </w:rPr>
        <w:t>2014</w:t>
      </w:r>
      <w:r w:rsidRPr="00021F35">
        <w:rPr>
          <w:rStyle w:val="normaltextrun"/>
          <w:rFonts w:asciiTheme="minorHAnsi" w:eastAsiaTheme="majorEastAsia" w:hAnsiTheme="minorHAnsi" w:cstheme="minorHAnsi"/>
        </w:rPr>
        <w:t>. 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addition,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policy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should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reflect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diversity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present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your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community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inclusive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of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all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families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served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by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your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preschool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program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through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thoughtful,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developmentally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appropriate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activities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and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celebrations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that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reflect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overall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classroom</w:t>
      </w:r>
      <w:r w:rsidR="00D22FD7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021F35">
        <w:rPr>
          <w:rStyle w:val="normaltextrun"/>
          <w:rFonts w:asciiTheme="minorHAnsi" w:eastAsiaTheme="majorEastAsia" w:hAnsiTheme="minorHAnsi" w:cstheme="minorHAnsi"/>
        </w:rPr>
        <w:t>goals.</w:t>
      </w:r>
      <w:r w:rsidR="00D22FD7">
        <w:rPr>
          <w:rStyle w:val="eop"/>
          <w:rFonts w:asciiTheme="minorHAnsi" w:eastAsiaTheme="majorEastAsia" w:hAnsiTheme="minorHAnsi" w:cstheme="minorHAnsi"/>
        </w:rPr>
        <w:t xml:space="preserve"> </w:t>
      </w:r>
    </w:p>
    <w:p w14:paraId="72C6F4A5" w14:textId="50B1A180" w:rsidR="00AE357B" w:rsidRPr="006A6FD4" w:rsidRDefault="00DA1671" w:rsidP="00AE357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References</w:t>
      </w:r>
      <w:r w:rsidR="00AE357B" w:rsidRPr="006A6FD4">
        <w:rPr>
          <w:rFonts w:ascii="Calibri" w:hAnsi="Calibri" w:cs="Calibri"/>
        </w:rPr>
        <w:t>:</w:t>
      </w:r>
    </w:p>
    <w:p w14:paraId="71E59704" w14:textId="2F4AA990" w:rsidR="00021F35" w:rsidRPr="006A6FD4" w:rsidRDefault="00021F35" w:rsidP="00D22FD7">
      <w:pPr>
        <w:pStyle w:val="paragraph"/>
        <w:numPr>
          <w:ilvl w:val="0"/>
          <w:numId w:val="10"/>
        </w:numPr>
        <w:spacing w:before="0" w:beforeAutospacing="0" w:after="120" w:afterAutospacing="0"/>
        <w:textAlignment w:val="baseline"/>
        <w:rPr>
          <w:rFonts w:ascii="Calibri" w:hAnsi="Calibri" w:cs="Calibri"/>
          <w:color w:val="002060"/>
        </w:rPr>
      </w:pPr>
      <w:r w:rsidRPr="006A6FD4">
        <w:rPr>
          <w:rStyle w:val="normaltextrun"/>
          <w:rFonts w:ascii="Calibri" w:eastAsiaTheme="majorEastAsia" w:hAnsi="Calibri" w:cs="Calibri"/>
          <w:color w:val="002060"/>
        </w:rPr>
        <w:t>Bisson,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Julie.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Celebrate!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An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Anti-Bias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Guide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to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Including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Holidays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in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Early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Childhood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Programs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,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Second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edition.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St.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Paul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MN: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proofErr w:type="spellStart"/>
      <w:r w:rsidRPr="006A6FD4">
        <w:rPr>
          <w:rStyle w:val="normaltextrun"/>
          <w:rFonts w:ascii="Calibri" w:eastAsiaTheme="majorEastAsia" w:hAnsi="Calibri" w:cs="Calibri"/>
          <w:color w:val="002060"/>
        </w:rPr>
        <w:t>Redleaf</w:t>
      </w:r>
      <w:proofErr w:type="spellEnd"/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Press,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2017.</w:t>
      </w:r>
      <w:r w:rsidR="00D22FD7">
        <w:rPr>
          <w:rStyle w:val="eop"/>
          <w:rFonts w:ascii="Calibri" w:hAnsi="Calibri" w:cs="Calibri"/>
          <w:color w:val="002060"/>
        </w:rPr>
        <w:t xml:space="preserve"> </w:t>
      </w:r>
    </w:p>
    <w:p w14:paraId="11854EBC" w14:textId="2584D253" w:rsidR="00021F35" w:rsidRPr="006A6FD4" w:rsidRDefault="00021F35" w:rsidP="00D22FD7">
      <w:pPr>
        <w:pStyle w:val="paragraph"/>
        <w:numPr>
          <w:ilvl w:val="0"/>
          <w:numId w:val="10"/>
        </w:numPr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02060"/>
        </w:rPr>
      </w:pPr>
      <w:r w:rsidRPr="006A6FD4">
        <w:rPr>
          <w:rStyle w:val="normaltextrun"/>
          <w:rFonts w:ascii="Calibri" w:eastAsiaTheme="majorEastAsia" w:hAnsi="Calibri" w:cs="Calibri"/>
          <w:color w:val="002060"/>
        </w:rPr>
        <w:t>Louise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proofErr w:type="spellStart"/>
      <w:r w:rsidRPr="006A6FD4">
        <w:rPr>
          <w:rStyle w:val="normaltextrun"/>
          <w:rFonts w:ascii="Calibri" w:eastAsiaTheme="majorEastAsia" w:hAnsi="Calibri" w:cs="Calibri"/>
          <w:color w:val="002060"/>
        </w:rPr>
        <w:t>Derman</w:t>
      </w:r>
      <w:proofErr w:type="spellEnd"/>
      <w:r w:rsidRPr="006A6FD4">
        <w:rPr>
          <w:rStyle w:val="normaltextrun"/>
          <w:rFonts w:ascii="Calibri" w:eastAsiaTheme="majorEastAsia" w:hAnsi="Calibri" w:cs="Calibri"/>
          <w:color w:val="002060"/>
        </w:rPr>
        <w:t>-Sparks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and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Julie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Olsen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Edwards,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hyperlink r:id="rId6" w:tgtFrame="_blank" w:history="1">
        <w:r w:rsidRPr="00D63B7B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>Anti-Bias</w:t>
        </w:r>
        <w:r w:rsidR="00D22FD7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 xml:space="preserve"> </w:t>
        </w:r>
        <w:r w:rsidRPr="00D63B7B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>Education</w:t>
        </w:r>
        <w:r w:rsidR="00D22FD7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 xml:space="preserve"> </w:t>
        </w:r>
        <w:r w:rsidRPr="00D63B7B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>and</w:t>
        </w:r>
        <w:r w:rsidR="00D22FD7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 xml:space="preserve"> </w:t>
        </w:r>
        <w:r w:rsidRPr="00D63B7B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>Holidays:</w:t>
        </w:r>
        <w:r w:rsidR="00D22FD7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 xml:space="preserve"> </w:t>
        </w:r>
        <w:r w:rsidRPr="00D63B7B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>Making</w:t>
        </w:r>
        <w:r w:rsidR="00D22FD7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 xml:space="preserve"> </w:t>
        </w:r>
        <w:r w:rsidRPr="00D63B7B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>Thoughtful</w:t>
        </w:r>
        <w:r w:rsidR="00D22FD7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 xml:space="preserve"> </w:t>
        </w:r>
        <w:r w:rsidRPr="00D63B7B">
          <w:rPr>
            <w:rStyle w:val="normaltextrun"/>
            <w:rFonts w:ascii="Calibri" w:eastAsiaTheme="majorEastAsia" w:hAnsi="Calibri" w:cs="Calibri"/>
            <w:i/>
            <w:iCs/>
            <w:color w:val="002060"/>
          </w:rPr>
          <w:t>Decisions</w:t>
        </w:r>
      </w:hyperlink>
      <w:r w:rsidRPr="006A6FD4">
        <w:rPr>
          <w:rStyle w:val="normaltextrun"/>
          <w:rFonts w:ascii="Calibri" w:eastAsiaTheme="majorEastAsia" w:hAnsi="Calibri" w:cs="Calibri"/>
          <w:color w:val="002060"/>
        </w:rPr>
        <w:t>.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Washington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DC: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NAEYC,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2019.</w:t>
      </w:r>
      <w:bookmarkStart w:id="0" w:name="_GoBack"/>
      <w:bookmarkEnd w:id="0"/>
    </w:p>
    <w:p w14:paraId="3DFC5827" w14:textId="4A7DE95F" w:rsidR="000D1064" w:rsidRPr="00D22FD7" w:rsidRDefault="00021F35" w:rsidP="00D22FD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2060"/>
        </w:rPr>
      </w:pPr>
      <w:r w:rsidRPr="00D63B7B">
        <w:rPr>
          <w:rStyle w:val="normaltextrun"/>
          <w:rFonts w:ascii="Calibri" w:eastAsiaTheme="majorEastAsia" w:hAnsi="Calibri" w:cs="Calibri"/>
          <w:color w:val="002060"/>
        </w:rPr>
        <w:t>National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color w:val="002060"/>
        </w:rPr>
        <w:t>Association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color w:val="002060"/>
        </w:rPr>
        <w:t>for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color w:val="002060"/>
        </w:rPr>
        <w:t>the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color w:val="002060"/>
        </w:rPr>
        <w:t>Education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color w:val="002060"/>
        </w:rPr>
        <w:t>of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color w:val="002060"/>
        </w:rPr>
        <w:t>Young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color w:val="002060"/>
        </w:rPr>
        <w:t>Children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color w:val="002060"/>
        </w:rPr>
        <w:t>(NAEYC),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Developmentally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Appropriate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Practice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in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Early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Childhood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Programs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Serving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Children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from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Birth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Through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Age</w:t>
      </w:r>
      <w:r w:rsidR="00D22FD7">
        <w:rPr>
          <w:rStyle w:val="normaltextrun"/>
          <w:rFonts w:ascii="Calibri" w:eastAsiaTheme="majorEastAsia" w:hAnsi="Calibri" w:cs="Calibri"/>
          <w:i/>
          <w:iCs/>
          <w:color w:val="002060"/>
        </w:rPr>
        <w:t xml:space="preserve"> </w:t>
      </w:r>
      <w:r w:rsidRPr="00D63B7B">
        <w:rPr>
          <w:rStyle w:val="normaltextrun"/>
          <w:rFonts w:ascii="Calibri" w:eastAsiaTheme="majorEastAsia" w:hAnsi="Calibri" w:cs="Calibri"/>
          <w:i/>
          <w:iCs/>
          <w:color w:val="002060"/>
        </w:rPr>
        <w:t>8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,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Fourth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edition.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Washington,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DC: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NAEYC,</w:t>
      </w:r>
      <w:r w:rsidR="00D22FD7">
        <w:rPr>
          <w:rStyle w:val="normaltextrun"/>
          <w:rFonts w:ascii="Calibri" w:eastAsiaTheme="majorEastAsia" w:hAnsi="Calibri" w:cs="Calibri"/>
          <w:color w:val="002060"/>
        </w:rPr>
        <w:t xml:space="preserve"> </w:t>
      </w:r>
      <w:r w:rsidRPr="006A6FD4">
        <w:rPr>
          <w:rStyle w:val="normaltextrun"/>
          <w:rFonts w:ascii="Calibri" w:eastAsiaTheme="majorEastAsia" w:hAnsi="Calibri" w:cs="Calibri"/>
          <w:color w:val="002060"/>
        </w:rPr>
        <w:t>2022.</w:t>
      </w:r>
      <w:r w:rsidR="00D22FD7">
        <w:rPr>
          <w:rStyle w:val="eop"/>
          <w:rFonts w:ascii="Calibri" w:hAnsi="Calibri" w:cs="Calibri"/>
          <w:color w:val="002060"/>
        </w:rPr>
        <w:t xml:space="preserve"> </w:t>
      </w:r>
    </w:p>
    <w:sectPr w:rsidR="000D1064" w:rsidRPr="00D22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A00F9"/>
    <w:multiLevelType w:val="multilevel"/>
    <w:tmpl w:val="13480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24594"/>
    <w:multiLevelType w:val="multilevel"/>
    <w:tmpl w:val="204C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74A61"/>
    <w:multiLevelType w:val="hybridMultilevel"/>
    <w:tmpl w:val="58E0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7277"/>
    <w:multiLevelType w:val="multilevel"/>
    <w:tmpl w:val="246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456728"/>
    <w:multiLevelType w:val="hybridMultilevel"/>
    <w:tmpl w:val="8DF6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0186F"/>
    <w:multiLevelType w:val="hybridMultilevel"/>
    <w:tmpl w:val="18E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1146"/>
    <w:multiLevelType w:val="multilevel"/>
    <w:tmpl w:val="A79A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C6A80"/>
    <w:multiLevelType w:val="hybridMultilevel"/>
    <w:tmpl w:val="F25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A5107"/>
    <w:multiLevelType w:val="hybridMultilevel"/>
    <w:tmpl w:val="6530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628F"/>
    <w:multiLevelType w:val="multilevel"/>
    <w:tmpl w:val="98E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7B"/>
    <w:rsid w:val="00021F35"/>
    <w:rsid w:val="00063DD0"/>
    <w:rsid w:val="00067691"/>
    <w:rsid w:val="000742E1"/>
    <w:rsid w:val="000D1064"/>
    <w:rsid w:val="002E1ACD"/>
    <w:rsid w:val="00337177"/>
    <w:rsid w:val="005F1120"/>
    <w:rsid w:val="006A6FD4"/>
    <w:rsid w:val="006D7A83"/>
    <w:rsid w:val="006F5860"/>
    <w:rsid w:val="00A151B9"/>
    <w:rsid w:val="00A63540"/>
    <w:rsid w:val="00AA25F9"/>
    <w:rsid w:val="00AE357B"/>
    <w:rsid w:val="00C80FDD"/>
    <w:rsid w:val="00D22FD7"/>
    <w:rsid w:val="00D63B7B"/>
    <w:rsid w:val="00DA1671"/>
    <w:rsid w:val="00DC2526"/>
    <w:rsid w:val="00E3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049C"/>
  <w15:chartTrackingRefBased/>
  <w15:docId w15:val="{92C10E47-CB2E-45BF-8D53-B1816D57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CD"/>
    <w:pPr>
      <w:widowControl w:val="0"/>
      <w:autoSpaceDE w:val="0"/>
      <w:autoSpaceDN w:val="0"/>
      <w:spacing w:after="120"/>
      <w:ind w:right="0"/>
    </w:pPr>
    <w:rPr>
      <w:rFonts w:ascii="Calibri" w:hAnsi="Calibri"/>
      <w:sz w:val="24"/>
    </w:rPr>
  </w:style>
  <w:style w:type="paragraph" w:styleId="Heading1">
    <w:name w:val="heading 1"/>
    <w:basedOn w:val="Normal"/>
    <w:link w:val="Heading1Char"/>
    <w:uiPriority w:val="9"/>
    <w:qFormat/>
    <w:rsid w:val="00063DD0"/>
    <w:pPr>
      <w:spacing w:line="240" w:lineRule="auto"/>
      <w:outlineLvl w:val="0"/>
    </w:pPr>
    <w:rPr>
      <w:rFonts w:eastAsia="Arial" w:cs="Arial"/>
      <w:b/>
      <w:bCs/>
      <w:color w:val="44546A" w:themeColor="text2"/>
      <w:sz w:val="32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7B"/>
    <w:pPr>
      <w:keepNext/>
      <w:keepLines/>
      <w:pBdr>
        <w:bottom w:val="single" w:sz="12" w:space="1" w:color="1F3864" w:themeColor="accent1" w:themeShade="80"/>
      </w:pBdr>
      <w:spacing w:line="240" w:lineRule="auto"/>
      <w:outlineLvl w:val="1"/>
    </w:pPr>
    <w:rPr>
      <w:rFonts w:asciiTheme="minorHAnsi" w:eastAsiaTheme="majorEastAsia" w:hAnsiTheme="minorHAnsi" w:cstheme="majorBidi"/>
      <w:b/>
      <w:color w:val="1F3864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120"/>
    <w:pPr>
      <w:keepNext/>
      <w:keepLines/>
      <w:spacing w:after="24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8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DD0"/>
    <w:rPr>
      <w:rFonts w:ascii="Calibri" w:eastAsia="Arial" w:hAnsi="Calibri" w:cs="Arial"/>
      <w:b/>
      <w:bCs/>
      <w:color w:val="44546A" w:themeColor="text2"/>
      <w:sz w:val="32"/>
      <w:szCs w:val="34"/>
    </w:rPr>
  </w:style>
  <w:style w:type="paragraph" w:styleId="NoSpacing">
    <w:name w:val="No Spacing"/>
    <w:aliases w:val="1.5 Normal"/>
    <w:uiPriority w:val="1"/>
    <w:qFormat/>
    <w:rsid w:val="005F1120"/>
    <w:pPr>
      <w:widowControl w:val="0"/>
      <w:autoSpaceDE w:val="0"/>
      <w:autoSpaceDN w:val="0"/>
    </w:pPr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357B"/>
    <w:rPr>
      <w:rFonts w:eastAsiaTheme="majorEastAsia" w:cstheme="majorBidi"/>
      <w:b/>
      <w:color w:val="1F3864" w:themeColor="accent1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1120"/>
    <w:rPr>
      <w:rFonts w:ascii="Calibri" w:eastAsiaTheme="majorEastAsia" w:hAnsi="Calibri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860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357B"/>
    <w:pPr>
      <w:ind w:left="720"/>
      <w:contextualSpacing/>
    </w:pPr>
  </w:style>
  <w:style w:type="paragraph" w:customStyle="1" w:styleId="paragraph">
    <w:name w:val="paragraph"/>
    <w:basedOn w:val="Normal"/>
    <w:rsid w:val="00021F35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021F35"/>
  </w:style>
  <w:style w:type="character" w:customStyle="1" w:styleId="eop">
    <w:name w:val="eop"/>
    <w:basedOn w:val="DefaultParagraphFont"/>
    <w:rsid w:val="00021F35"/>
  </w:style>
  <w:style w:type="character" w:styleId="Strong">
    <w:name w:val="Strong"/>
    <w:basedOn w:val="DefaultParagraphFont"/>
    <w:uiPriority w:val="22"/>
    <w:qFormat/>
    <w:rsid w:val="00A151B9"/>
    <w:rPr>
      <w:b/>
      <w:bCs/>
    </w:rPr>
  </w:style>
  <w:style w:type="character" w:styleId="Emphasis">
    <w:name w:val="Emphasis"/>
    <w:basedOn w:val="DefaultParagraphFont"/>
    <w:uiPriority w:val="20"/>
    <w:qFormat/>
    <w:rsid w:val="00DA16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167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eyc.org/resources/blog/anti-bias-and-holiday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92FF-7E97-424F-89DA-07FE199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for Holiday Activities and Celebrations</vt:lpstr>
    </vt:vector>
  </TitlesOfParts>
  <Company>NJ Department of Education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for Holiday Activities and Celebrations</dc:title>
  <dc:subject/>
  <dc:creator>O'Connor, Elizabeth</dc:creator>
  <cp:keywords/>
  <dc:description/>
  <cp:lastModifiedBy>Thomas, Elizabeth</cp:lastModifiedBy>
  <cp:revision>2</cp:revision>
  <dcterms:created xsi:type="dcterms:W3CDTF">2022-12-20T16:54:00Z</dcterms:created>
  <dcterms:modified xsi:type="dcterms:W3CDTF">2022-12-20T16:54:00Z</dcterms:modified>
</cp:coreProperties>
</file>