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96613" w:rsidR="00A16B80" w:rsidP="00796613" w:rsidRDefault="00A16B80" w14:paraId="654975A6" w14:textId="7F55785F">
      <w:pPr>
        <w:pStyle w:val="Heading1"/>
        <w:spacing w:before="480" w:line="360" w:lineRule="auto"/>
        <w:rPr>
          <w:b w:val="0"/>
          <w:color w:val="2E74B5"/>
        </w:rPr>
      </w:pPr>
      <w:bookmarkStart w:name="_Toc60042600" w:id="0"/>
      <w:r w:rsidRPr="00A16B80">
        <w:rPr>
          <w:b w:val="0"/>
        </w:rPr>
        <w:t>New Jersey Department of Education</w:t>
      </w:r>
      <w:bookmarkStart w:name="_Toc533681876" w:id="1"/>
      <w:r w:rsidR="00796613">
        <w:rPr>
          <w:b w:val="0"/>
        </w:rPr>
        <w:br/>
      </w:r>
      <w:r w:rsidRPr="00051DEC">
        <w:rPr>
          <w:i/>
        </w:rPr>
        <w:t>Notice of Grant Opportunity</w:t>
      </w:r>
      <w:bookmarkEnd w:id="0"/>
      <w:r w:rsidRPr="00051DEC">
        <w:rPr>
          <w:i/>
        </w:rPr>
        <w:t xml:space="preserve"> </w:t>
      </w:r>
      <w:bookmarkEnd w:id="1"/>
    </w:p>
    <w:p w:rsidRPr="00796613" w:rsidR="00A16B80" w:rsidP="0050502B" w:rsidRDefault="00796613" w14:paraId="42199FA4" w14:textId="0CF7C548">
      <w:pPr>
        <w:spacing w:before="960" w:after="480" w:line="312" w:lineRule="auto"/>
        <w:jc w:val="center"/>
        <w:rPr>
          <w:color w:val="auto"/>
        </w:rPr>
      </w:pPr>
      <w:r w:rsidRPr="00051DEC">
        <w:rPr>
          <w:i/>
          <w:noProof/>
        </w:rPr>
        <w:drawing>
          <wp:inline distT="0" distB="0" distL="0" distR="0" wp14:anchorId="6223F298" wp14:editId="69715878">
            <wp:extent cx="2825115" cy="2825115"/>
            <wp:effectExtent l="0" t="0" r="0" b="0"/>
            <wp:docPr id="2" name="Picture 1" descr="Logo: State of New Jersey, Department of Education. The Great Seal of the State of New Jersey, Liberty and Prosperity,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inline>
        </w:drawing>
      </w:r>
    </w:p>
    <w:p w:rsidRPr="0050502B" w:rsidR="00A16B80" w:rsidP="0050502B" w:rsidRDefault="00A16B80" w14:paraId="6C0E25A0" w14:textId="77777777">
      <w:pPr>
        <w:spacing w:before="1320" w:after="0" w:line="240" w:lineRule="auto"/>
        <w:jc w:val="center"/>
        <w:rPr>
          <w:rFonts w:eastAsia="Calibri"/>
          <w:color w:val="1F4E79" w:themeColor="accent1" w:themeShade="80"/>
          <w:sz w:val="28"/>
          <w:szCs w:val="28"/>
        </w:rPr>
      </w:pPr>
      <w:r w:rsidRPr="0050502B">
        <w:rPr>
          <w:rFonts w:eastAsia="Calibri"/>
          <w:color w:val="1F4E79" w:themeColor="accent1" w:themeShade="80"/>
          <w:sz w:val="28"/>
          <w:szCs w:val="28"/>
        </w:rPr>
        <w:t>New Jersey Department of Education</w:t>
      </w:r>
    </w:p>
    <w:p w:rsidRPr="0050502B" w:rsidR="00A16B80" w:rsidP="0050502B" w:rsidRDefault="00A16B80" w14:paraId="75C65D2A" w14:textId="77777777">
      <w:pPr>
        <w:spacing w:before="360" w:after="0" w:line="240" w:lineRule="auto"/>
        <w:jc w:val="center"/>
        <w:rPr>
          <w:rFonts w:eastAsia="Calibri"/>
          <w:color w:val="1F4E79" w:themeColor="accent1" w:themeShade="80"/>
          <w:sz w:val="28"/>
          <w:szCs w:val="28"/>
        </w:rPr>
      </w:pPr>
      <w:r w:rsidRPr="0050502B">
        <w:rPr>
          <w:rFonts w:eastAsia="Calibri"/>
          <w:color w:val="1F4E79" w:themeColor="accent1" w:themeShade="80"/>
          <w:sz w:val="28"/>
          <w:szCs w:val="28"/>
        </w:rPr>
        <w:t>Office of Grants Management</w:t>
      </w:r>
    </w:p>
    <w:p w:rsidRPr="0050502B" w:rsidR="00A16B80" w:rsidP="0050502B" w:rsidRDefault="000003A3" w14:paraId="7A5B7191" w14:textId="28F358D9">
      <w:pPr>
        <w:spacing w:before="360" w:after="0" w:line="240" w:lineRule="auto"/>
        <w:jc w:val="center"/>
        <w:rPr>
          <w:color w:val="1F4E79" w:themeColor="accent1" w:themeShade="80"/>
          <w:szCs w:val="20"/>
        </w:rPr>
        <w:sectPr w:rsidRPr="0050502B" w:rsidR="00A16B80" w:rsidSect="00AC0E6E">
          <w:footerReference w:type="default" r:id="rId12"/>
          <w:footerReference w:type="first" r:id="rId13"/>
          <w:pgSz w:w="12240" w:h="15840" w:orient="portrait"/>
          <w:pgMar w:top="180" w:right="1440" w:bottom="1440" w:left="1440" w:header="720" w:footer="720" w:gutter="0"/>
          <w:cols w:space="720"/>
        </w:sectPr>
      </w:pPr>
      <w:r>
        <w:rPr>
          <w:rFonts w:eastAsia="Calibri"/>
          <w:color w:val="1F4E79" w:themeColor="accent1" w:themeShade="80"/>
          <w:sz w:val="28"/>
          <w:szCs w:val="28"/>
        </w:rPr>
        <w:t xml:space="preserve">June </w:t>
      </w:r>
      <w:r w:rsidR="00407B4B">
        <w:rPr>
          <w:rFonts w:eastAsia="Calibri"/>
          <w:color w:val="1F4E79" w:themeColor="accent1" w:themeShade="80"/>
          <w:sz w:val="28"/>
          <w:szCs w:val="28"/>
        </w:rPr>
        <w:t>2022</w:t>
      </w:r>
    </w:p>
    <w:p w:rsidRPr="00CD3DE5" w:rsidR="00B47D56" w:rsidP="00CD3DE5" w:rsidRDefault="00B47D56" w14:paraId="01059B79" w14:textId="1233F57A">
      <w:pPr>
        <w:pStyle w:val="Heading2"/>
        <w:rPr>
          <w:sz w:val="36"/>
          <w:szCs w:val="36"/>
        </w:rPr>
      </w:pPr>
      <w:bookmarkStart w:name="_Toc533681877" w:id="2"/>
      <w:bookmarkStart w:name="_Toc57797173" w:id="3"/>
      <w:bookmarkStart w:name="_Toc60042601" w:id="4"/>
      <w:r w:rsidRPr="10C89BC5" w:rsidR="10C89BC5">
        <w:rPr>
          <w:sz w:val="36"/>
          <w:szCs w:val="36"/>
        </w:rPr>
        <w:t>Notice of Grant Opportunity</w:t>
      </w:r>
      <w:bookmarkStart w:name="_Hlk40102283" w:id="5"/>
      <w:bookmarkEnd w:id="2"/>
      <w:r>
        <w:br/>
      </w:r>
      <w:bookmarkEnd w:id="3"/>
      <w:bookmarkEnd w:id="4"/>
      <w:r w:rsidRPr="10C89BC5" w:rsidR="10C89BC5">
        <w:rPr>
          <w:sz w:val="36"/>
          <w:szCs w:val="36"/>
        </w:rPr>
        <w:t>Nita M. Lowey 21</w:t>
      </w:r>
      <w:r w:rsidRPr="10C89BC5" w:rsidR="10C89BC5">
        <w:rPr>
          <w:sz w:val="36"/>
          <w:szCs w:val="36"/>
          <w:vertAlign w:val="superscript"/>
        </w:rPr>
        <w:t>st</w:t>
      </w:r>
      <w:r w:rsidRPr="10C89BC5" w:rsidR="10C89BC5">
        <w:rPr>
          <w:sz w:val="36"/>
          <w:szCs w:val="36"/>
        </w:rPr>
        <w:t xml:space="preserve"> Century Community Learning Centers Training and Technical Assistance</w:t>
      </w:r>
    </w:p>
    <w:bookmarkEnd w:id="5"/>
    <w:p w:rsidR="10C89BC5" w:rsidP="10C89BC5" w:rsidRDefault="10C89BC5" w14:paraId="1C11F780" w14:textId="03315C2C">
      <w:pPr>
        <w:pStyle w:val="Normal"/>
        <w:jc w:val="center"/>
      </w:pPr>
      <w:r w:rsidRPr="10C89BC5" w:rsidR="10C89BC5">
        <w:rPr>
          <w:b w:val="1"/>
          <w:bCs w:val="1"/>
          <w:sz w:val="28"/>
          <w:szCs w:val="28"/>
        </w:rPr>
        <w:t>23-EK63-H05</w:t>
      </w:r>
    </w:p>
    <w:p w:rsidRPr="005D7E20" w:rsidR="00B47D56" w:rsidP="00FC5353" w:rsidRDefault="00667674" w14:paraId="1E9969F1" w14:textId="450DA653">
      <w:pPr>
        <w:spacing w:before="960" w:after="960"/>
        <w:jc w:val="center"/>
        <w:rPr>
          <w:sz w:val="24"/>
          <w:szCs w:val="24"/>
        </w:rPr>
      </w:pPr>
      <w:r w:rsidRPr="005D7E20">
        <w:rPr>
          <w:b/>
          <w:bCs/>
          <w:sz w:val="24"/>
          <w:szCs w:val="24"/>
        </w:rPr>
        <w:t>Angelica Allen-McMillan</w:t>
      </w:r>
      <w:r w:rsidRPr="005D7E20" w:rsidR="005109A5">
        <w:rPr>
          <w:b/>
          <w:bCs/>
          <w:sz w:val="24"/>
          <w:szCs w:val="24"/>
        </w:rPr>
        <w:t>, Ed.D.</w:t>
      </w:r>
      <w:r w:rsidRPr="005D7E20" w:rsidR="00781AA9">
        <w:rPr>
          <w:sz w:val="24"/>
          <w:szCs w:val="24"/>
        </w:rPr>
        <w:br/>
      </w:r>
      <w:r w:rsidRPr="005D7E20" w:rsidR="002F584C">
        <w:rPr>
          <w:sz w:val="24"/>
          <w:szCs w:val="24"/>
        </w:rPr>
        <w:t>Actin</w:t>
      </w:r>
      <w:r w:rsidRPr="005D7E20" w:rsidR="00660A84">
        <w:rPr>
          <w:sz w:val="24"/>
          <w:szCs w:val="24"/>
        </w:rPr>
        <w:t>g</w:t>
      </w:r>
      <w:r w:rsidRPr="005D7E20" w:rsidR="00810C9F">
        <w:rPr>
          <w:sz w:val="24"/>
          <w:szCs w:val="24"/>
        </w:rPr>
        <w:t xml:space="preserve"> </w:t>
      </w:r>
      <w:r w:rsidRPr="005D7E20" w:rsidR="00B47D56">
        <w:rPr>
          <w:sz w:val="24"/>
          <w:szCs w:val="24"/>
        </w:rPr>
        <w:t>Commissioner of Education</w:t>
      </w:r>
    </w:p>
    <w:p w:rsidRPr="005D7E20" w:rsidR="00B47D56" w:rsidP="00FC5353" w:rsidRDefault="00407B4B" w14:paraId="686D6134" w14:textId="7007A359">
      <w:pPr>
        <w:spacing w:after="960"/>
        <w:jc w:val="center"/>
        <w:rPr>
          <w:sz w:val="24"/>
          <w:szCs w:val="24"/>
        </w:rPr>
      </w:pPr>
      <w:r w:rsidRPr="005D7E20">
        <w:rPr>
          <w:b/>
          <w:bCs/>
          <w:sz w:val="24"/>
          <w:szCs w:val="24"/>
        </w:rPr>
        <w:t>Kathy Ehling</w:t>
      </w:r>
      <w:r w:rsidRPr="005D7E20" w:rsidR="00781AA9">
        <w:rPr>
          <w:sz w:val="24"/>
          <w:szCs w:val="24"/>
        </w:rPr>
        <w:br/>
      </w:r>
      <w:r w:rsidRPr="005D7E20" w:rsidR="00B47D56">
        <w:rPr>
          <w:sz w:val="24"/>
          <w:szCs w:val="24"/>
        </w:rPr>
        <w:t>Assistant Commissioner</w:t>
      </w:r>
      <w:r w:rsidRPr="005D7E20" w:rsidR="00781AA9">
        <w:rPr>
          <w:sz w:val="24"/>
          <w:szCs w:val="24"/>
        </w:rPr>
        <w:br/>
      </w:r>
      <w:r w:rsidRPr="005D7E20">
        <w:rPr>
          <w:sz w:val="24"/>
          <w:szCs w:val="24"/>
        </w:rPr>
        <w:t>Division of Educational</w:t>
      </w:r>
      <w:r w:rsidRPr="005D7E20" w:rsidR="007767E0">
        <w:rPr>
          <w:sz w:val="24"/>
          <w:szCs w:val="24"/>
        </w:rPr>
        <w:t xml:space="preserve"> </w:t>
      </w:r>
      <w:r w:rsidRPr="005D7E20" w:rsidR="003A5F67">
        <w:rPr>
          <w:sz w:val="24"/>
          <w:szCs w:val="24"/>
        </w:rPr>
        <w:t>Services</w:t>
      </w:r>
    </w:p>
    <w:p w:rsidRPr="005D7E20" w:rsidR="00B47D56" w:rsidP="00EB5B64" w:rsidRDefault="00407B4B" w14:paraId="3DEEE6C2" w14:textId="6FCFA101">
      <w:pPr>
        <w:spacing w:after="960"/>
        <w:jc w:val="center"/>
        <w:rPr>
          <w:sz w:val="24"/>
          <w:szCs w:val="24"/>
        </w:rPr>
      </w:pPr>
      <w:r w:rsidRPr="005D7E20">
        <w:rPr>
          <w:b/>
          <w:bCs/>
          <w:sz w:val="24"/>
          <w:szCs w:val="24"/>
        </w:rPr>
        <w:t>Luiz Pereira</w:t>
      </w:r>
      <w:r w:rsidRPr="005D7E20" w:rsidR="00781AA9">
        <w:rPr>
          <w:sz w:val="24"/>
          <w:szCs w:val="24"/>
        </w:rPr>
        <w:br/>
      </w:r>
      <w:r w:rsidRPr="005D7E20">
        <w:rPr>
          <w:sz w:val="24"/>
          <w:szCs w:val="24"/>
        </w:rPr>
        <w:t>Director</w:t>
      </w:r>
      <w:r w:rsidRPr="005D7E20" w:rsidR="003E469D">
        <w:rPr>
          <w:sz w:val="24"/>
          <w:szCs w:val="24"/>
        </w:rPr>
        <w:br/>
      </w:r>
      <w:r w:rsidRPr="005D7E20">
        <w:rPr>
          <w:sz w:val="24"/>
          <w:szCs w:val="24"/>
        </w:rPr>
        <w:t>Office of Student Support Services</w:t>
      </w:r>
    </w:p>
    <w:p w:rsidRPr="005D7E20" w:rsidR="00C27341" w:rsidP="00FC5353" w:rsidRDefault="00F82653" w14:paraId="111765A3" w14:textId="356E9A4F">
      <w:pPr>
        <w:spacing w:after="720"/>
        <w:jc w:val="center"/>
        <w:rPr>
          <w:b/>
          <w:bCs/>
          <w:sz w:val="24"/>
          <w:szCs w:val="24"/>
        </w:rPr>
      </w:pPr>
      <w:r w:rsidRPr="005D7E20">
        <w:rPr>
          <w:b/>
          <w:bCs/>
          <w:sz w:val="24"/>
          <w:szCs w:val="24"/>
        </w:rPr>
        <w:t>June</w:t>
      </w:r>
      <w:r w:rsidRPr="005D7E20" w:rsidR="00407B4B">
        <w:rPr>
          <w:b/>
          <w:bCs/>
          <w:sz w:val="24"/>
          <w:szCs w:val="24"/>
        </w:rPr>
        <w:t xml:space="preserve"> 2022</w:t>
      </w:r>
    </w:p>
    <w:p w:rsidR="00C27341" w:rsidP="00FC5353" w:rsidRDefault="00C27341" w14:paraId="49A2EACB" w14:textId="6C556CB7">
      <w:pPr>
        <w:spacing w:after="480"/>
        <w:jc w:val="center"/>
        <w:rPr>
          <w:b/>
          <w:bCs/>
          <w:sz w:val="24"/>
          <w:szCs w:val="24"/>
        </w:rPr>
      </w:pPr>
      <w:r w:rsidRPr="005D7E20">
        <w:rPr>
          <w:b/>
          <w:bCs/>
          <w:sz w:val="24"/>
          <w:szCs w:val="24"/>
        </w:rPr>
        <w:t>ORG/APU #</w:t>
      </w:r>
      <w:r w:rsidRPr="005D7E20" w:rsidR="00141716">
        <w:rPr>
          <w:b/>
          <w:bCs/>
          <w:sz w:val="24"/>
          <w:szCs w:val="24"/>
        </w:rPr>
        <w:t xml:space="preserve"> 5064-</w:t>
      </w:r>
      <w:r w:rsidRPr="00B5399C" w:rsidR="004A20AE">
        <w:rPr>
          <w:b/>
          <w:bCs/>
          <w:sz w:val="24"/>
          <w:szCs w:val="24"/>
        </w:rPr>
        <w:t>161</w:t>
      </w:r>
    </w:p>
    <w:p w:rsidRPr="005D7E20" w:rsidR="00862E97" w:rsidP="00FC5353" w:rsidRDefault="00B47D56" w14:paraId="0A1639A7" w14:textId="571E50C0">
      <w:pPr>
        <w:spacing w:after="720"/>
        <w:jc w:val="center"/>
        <w:rPr>
          <w:sz w:val="24"/>
          <w:szCs w:val="24"/>
        </w:rPr>
      </w:pPr>
      <w:r w:rsidRPr="005D7E20">
        <w:rPr>
          <w:b/>
          <w:bCs/>
          <w:sz w:val="24"/>
          <w:szCs w:val="24"/>
        </w:rPr>
        <w:t>Application Due Date</w:t>
      </w:r>
      <w:r w:rsidRPr="005D7E20">
        <w:rPr>
          <w:sz w:val="24"/>
          <w:szCs w:val="24"/>
        </w:rPr>
        <w:t>:</w:t>
      </w:r>
      <w:r w:rsidRPr="005D7E20" w:rsidR="00DD4C80">
        <w:rPr>
          <w:sz w:val="24"/>
          <w:szCs w:val="24"/>
        </w:rPr>
        <w:t xml:space="preserve"> </w:t>
      </w:r>
      <w:r w:rsidRPr="005D7E20" w:rsidR="00F82653">
        <w:rPr>
          <w:sz w:val="24"/>
          <w:szCs w:val="24"/>
        </w:rPr>
        <w:t>July</w:t>
      </w:r>
      <w:r w:rsidRPr="005D7E20" w:rsidR="004A02F7">
        <w:rPr>
          <w:sz w:val="24"/>
          <w:szCs w:val="24"/>
        </w:rPr>
        <w:t>1</w:t>
      </w:r>
      <w:r w:rsidRPr="005D7E20" w:rsidR="00F82653">
        <w:rPr>
          <w:sz w:val="24"/>
          <w:szCs w:val="24"/>
        </w:rPr>
        <w:t>9</w:t>
      </w:r>
      <w:r w:rsidRPr="005D7E20" w:rsidR="002C1E4D">
        <w:rPr>
          <w:sz w:val="24"/>
          <w:szCs w:val="24"/>
        </w:rPr>
        <w:t>, 2022</w:t>
      </w:r>
    </w:p>
    <w:p w:rsidRPr="005D7E20" w:rsidR="00B47D56" w:rsidP="00FC5353" w:rsidRDefault="00CD3DE5" w14:paraId="11AE6F39" w14:textId="62E6DB5E">
      <w:pPr>
        <w:spacing w:after="120"/>
        <w:jc w:val="center"/>
        <w:rPr>
          <w:rStyle w:val="Hyperlink"/>
          <w:sz w:val="24"/>
          <w:szCs w:val="24"/>
        </w:rPr>
      </w:pPr>
      <w:r w:rsidRPr="005D7E20">
        <w:rPr>
          <w:sz w:val="24"/>
          <w:szCs w:val="24"/>
        </w:rPr>
        <w:fldChar w:fldCharType="begin"/>
      </w:r>
      <w:r w:rsidRPr="005D7E20">
        <w:rPr>
          <w:sz w:val="24"/>
          <w:szCs w:val="24"/>
        </w:rPr>
        <w:instrText xml:space="preserve"> HYPERLINK "http://www.state.nj.us/education" \o "http://www.state.nj.us/education" </w:instrText>
      </w:r>
      <w:r w:rsidRPr="005D7E20">
        <w:rPr>
          <w:sz w:val="24"/>
          <w:szCs w:val="24"/>
        </w:rPr>
        <w:fldChar w:fldCharType="separate"/>
      </w:r>
      <w:r w:rsidRPr="005D7E20" w:rsidR="00862E97">
        <w:rPr>
          <w:rStyle w:val="Hyperlink"/>
          <w:sz w:val="24"/>
          <w:szCs w:val="24"/>
        </w:rPr>
        <w:t>New Jersey Department of Education</w:t>
      </w:r>
    </w:p>
    <w:p w:rsidRPr="005D7E20" w:rsidR="00B47D56" w:rsidP="00FC5353" w:rsidRDefault="00CD3DE5" w14:paraId="6BED8FFB" w14:textId="42DD21F7">
      <w:pPr>
        <w:spacing w:after="120"/>
        <w:jc w:val="center"/>
        <w:rPr>
          <w:sz w:val="24"/>
          <w:szCs w:val="24"/>
        </w:rPr>
      </w:pPr>
      <w:r w:rsidRPr="005D7E20">
        <w:rPr>
          <w:sz w:val="24"/>
          <w:szCs w:val="24"/>
        </w:rPr>
        <w:fldChar w:fldCharType="end"/>
      </w:r>
      <w:r w:rsidRPr="005D7E20" w:rsidR="00B47D56">
        <w:rPr>
          <w:sz w:val="24"/>
          <w:szCs w:val="24"/>
        </w:rPr>
        <w:t>P.O. Box 500</w:t>
      </w:r>
    </w:p>
    <w:p w:rsidRPr="005D7E20" w:rsidR="00B47D56" w:rsidP="00FC5353" w:rsidRDefault="00B47D56" w14:paraId="13B98BD1" w14:textId="7DD2C738">
      <w:pPr>
        <w:jc w:val="center"/>
        <w:rPr>
          <w:sz w:val="24"/>
          <w:szCs w:val="24"/>
        </w:rPr>
      </w:pPr>
      <w:r w:rsidRPr="005D7E20">
        <w:rPr>
          <w:sz w:val="24"/>
          <w:szCs w:val="24"/>
        </w:rPr>
        <w:t>Trenton, NJ 08625-0500</w:t>
      </w:r>
    </w:p>
    <w:p w:rsidRPr="005D7E20" w:rsidR="00711EAD" w:rsidP="004B6C0A" w:rsidRDefault="00711EAD" w14:paraId="50359FAD" w14:textId="77777777">
      <w:pPr>
        <w:spacing w:after="0" w:line="240" w:lineRule="auto"/>
        <w:rPr>
          <w:rFonts w:eastAsia="SimSun"/>
          <w:b/>
          <w:color w:val="2E74B5"/>
          <w:sz w:val="24"/>
          <w:szCs w:val="24"/>
        </w:rPr>
      </w:pPr>
      <w:r w:rsidRPr="005D7E20">
        <w:rPr>
          <w:sz w:val="24"/>
          <w:szCs w:val="24"/>
        </w:rPr>
        <w:br w:type="page"/>
      </w:r>
    </w:p>
    <w:p w:rsidRPr="005D7E20" w:rsidR="00EA1A33" w:rsidP="007F7083" w:rsidRDefault="00862E97" w14:paraId="343B8604" w14:textId="77777777">
      <w:pPr>
        <w:pStyle w:val="Heading2"/>
        <w:jc w:val="left"/>
        <w:rPr>
          <w:b w:val="0"/>
          <w:sz w:val="24"/>
          <w:szCs w:val="24"/>
        </w:rPr>
      </w:pPr>
      <w:bookmarkStart w:name="_Toc60042602" w:id="6"/>
      <w:r w:rsidRPr="005D7E20">
        <w:rPr>
          <w:b w:val="0"/>
          <w:sz w:val="24"/>
          <w:szCs w:val="24"/>
        </w:rPr>
        <w:lastRenderedPageBreak/>
        <w:t>State Board of Education</w:t>
      </w:r>
      <w:bookmarkEnd w:id="6"/>
    </w:p>
    <w:tbl>
      <w:tblPr>
        <w:tblStyle w:val="TableGrid"/>
        <w:tblW w:w="0" w:type="auto"/>
        <w:tblCellMar>
          <w:left w:w="115" w:type="dxa"/>
          <w:right w:w="115" w:type="dxa"/>
        </w:tblCellMar>
        <w:tblLook w:val="04A0" w:firstRow="1" w:lastRow="0" w:firstColumn="1" w:lastColumn="0" w:noHBand="0" w:noVBand="1"/>
      </w:tblPr>
      <w:tblGrid>
        <w:gridCol w:w="4675"/>
        <w:gridCol w:w="4675"/>
      </w:tblGrid>
      <w:tr w:rsidRPr="005D7E20" w:rsidR="008F6156" w:rsidTr="008F6156" w14:paraId="0FDF8DDB" w14:textId="77777777">
        <w:trPr>
          <w:tblHeader/>
        </w:trPr>
        <w:tc>
          <w:tcPr>
            <w:tcW w:w="4675" w:type="dxa"/>
            <w:vAlign w:val="center"/>
          </w:tcPr>
          <w:p w:rsidRPr="005D7E20" w:rsidR="008F6156" w:rsidP="008F6156" w:rsidRDefault="008F6156" w14:paraId="0B0C31B7" w14:textId="0147F436">
            <w:pPr>
              <w:spacing w:after="0"/>
              <w:jc w:val="both"/>
              <w:rPr>
                <w:sz w:val="24"/>
                <w:szCs w:val="24"/>
              </w:rPr>
            </w:pPr>
            <w:r w:rsidRPr="005D7E20">
              <w:rPr>
                <w:sz w:val="24"/>
                <w:szCs w:val="24"/>
              </w:rPr>
              <w:t>Kathy A. Goldenberg</w:t>
            </w:r>
          </w:p>
          <w:p w:rsidRPr="005D7E20" w:rsidR="008F6156" w:rsidP="008F6156" w:rsidRDefault="008F6156" w14:paraId="316047AE" w14:textId="65B9AAEC">
            <w:pPr>
              <w:spacing w:after="0"/>
              <w:jc w:val="both"/>
              <w:rPr>
                <w:sz w:val="24"/>
                <w:szCs w:val="24"/>
              </w:rPr>
            </w:pPr>
            <w:r w:rsidRPr="005D7E20">
              <w:rPr>
                <w:sz w:val="24"/>
                <w:szCs w:val="24"/>
              </w:rPr>
              <w:t>President</w:t>
            </w:r>
          </w:p>
        </w:tc>
        <w:tc>
          <w:tcPr>
            <w:tcW w:w="4675" w:type="dxa"/>
            <w:vAlign w:val="center"/>
          </w:tcPr>
          <w:p w:rsidRPr="005D7E20" w:rsidR="008F6156" w:rsidP="008F6156" w:rsidRDefault="008F6156" w14:paraId="55AAADEF" w14:textId="080C9965">
            <w:pPr>
              <w:spacing w:before="360"/>
              <w:jc w:val="both"/>
              <w:rPr>
                <w:sz w:val="24"/>
                <w:szCs w:val="24"/>
              </w:rPr>
            </w:pPr>
            <w:r w:rsidRPr="005D7E20">
              <w:rPr>
                <w:sz w:val="24"/>
                <w:szCs w:val="24"/>
              </w:rPr>
              <w:t>Burlington</w:t>
            </w:r>
          </w:p>
        </w:tc>
      </w:tr>
      <w:tr w:rsidRPr="005D7E20" w:rsidR="008F6156" w:rsidTr="008F6156" w14:paraId="02103980" w14:textId="77777777">
        <w:trPr>
          <w:tblHeader/>
        </w:trPr>
        <w:tc>
          <w:tcPr>
            <w:tcW w:w="4675" w:type="dxa"/>
            <w:vAlign w:val="center"/>
          </w:tcPr>
          <w:p w:rsidRPr="005D7E20" w:rsidR="008F6156" w:rsidP="008F6156" w:rsidRDefault="008F6156" w14:paraId="44B5EB2F" w14:textId="77777777">
            <w:pPr>
              <w:spacing w:after="0"/>
              <w:jc w:val="both"/>
              <w:rPr>
                <w:sz w:val="24"/>
                <w:szCs w:val="24"/>
              </w:rPr>
            </w:pPr>
            <w:r w:rsidRPr="005D7E20">
              <w:rPr>
                <w:sz w:val="24"/>
                <w:szCs w:val="24"/>
              </w:rPr>
              <w:t>Andrew J. Mulvihill</w:t>
            </w:r>
          </w:p>
          <w:p w:rsidRPr="005D7E20" w:rsidR="008F6156" w:rsidP="008F6156" w:rsidRDefault="008F6156" w14:paraId="0E51D0D8" w14:textId="6BD425AA">
            <w:pPr>
              <w:spacing w:after="0"/>
              <w:jc w:val="both"/>
              <w:rPr>
                <w:sz w:val="24"/>
                <w:szCs w:val="24"/>
              </w:rPr>
            </w:pPr>
            <w:r w:rsidRPr="005D7E20">
              <w:rPr>
                <w:sz w:val="24"/>
                <w:szCs w:val="24"/>
              </w:rPr>
              <w:t>Vice President</w:t>
            </w:r>
          </w:p>
        </w:tc>
        <w:tc>
          <w:tcPr>
            <w:tcW w:w="4675" w:type="dxa"/>
            <w:vAlign w:val="center"/>
          </w:tcPr>
          <w:p w:rsidRPr="005D7E20" w:rsidR="008F6156" w:rsidP="008F6156" w:rsidRDefault="008F6156" w14:paraId="73C5B07A" w14:textId="66655E94">
            <w:pPr>
              <w:spacing w:before="360"/>
              <w:jc w:val="both"/>
              <w:rPr>
                <w:sz w:val="24"/>
                <w:szCs w:val="24"/>
              </w:rPr>
            </w:pPr>
            <w:r w:rsidRPr="005D7E20">
              <w:rPr>
                <w:sz w:val="24"/>
                <w:szCs w:val="24"/>
              </w:rPr>
              <w:t>Sussex</w:t>
            </w:r>
          </w:p>
        </w:tc>
      </w:tr>
      <w:tr w:rsidRPr="005D7E20" w:rsidR="008F6156" w:rsidTr="008F6156" w14:paraId="15F92FDC" w14:textId="77777777">
        <w:trPr>
          <w:tblHeader/>
        </w:trPr>
        <w:tc>
          <w:tcPr>
            <w:tcW w:w="4675" w:type="dxa"/>
            <w:vAlign w:val="center"/>
          </w:tcPr>
          <w:p w:rsidRPr="005D7E20" w:rsidR="008F6156" w:rsidP="008F6156" w:rsidRDefault="008F6156" w14:paraId="437A9CAC" w14:textId="2F51D300">
            <w:pPr>
              <w:spacing w:before="360"/>
              <w:jc w:val="both"/>
              <w:rPr>
                <w:sz w:val="24"/>
                <w:szCs w:val="24"/>
              </w:rPr>
            </w:pPr>
            <w:r w:rsidRPr="005D7E20">
              <w:rPr>
                <w:sz w:val="24"/>
                <w:szCs w:val="24"/>
                <w:lang w:val="de-DE"/>
              </w:rPr>
              <w:t>Arcelio Aponte</w:t>
            </w:r>
          </w:p>
        </w:tc>
        <w:tc>
          <w:tcPr>
            <w:tcW w:w="4675" w:type="dxa"/>
            <w:vAlign w:val="center"/>
          </w:tcPr>
          <w:p w:rsidRPr="005D7E20" w:rsidR="008F6156" w:rsidP="008F6156" w:rsidRDefault="008F6156" w14:paraId="51D93CAA" w14:textId="59EA3805">
            <w:pPr>
              <w:spacing w:before="360"/>
              <w:jc w:val="both"/>
              <w:rPr>
                <w:sz w:val="24"/>
                <w:szCs w:val="24"/>
              </w:rPr>
            </w:pPr>
            <w:r w:rsidRPr="005D7E20">
              <w:rPr>
                <w:sz w:val="24"/>
                <w:szCs w:val="24"/>
              </w:rPr>
              <w:t>Middlesex</w:t>
            </w:r>
          </w:p>
        </w:tc>
      </w:tr>
      <w:tr w:rsidRPr="005D7E20" w:rsidR="008F6156" w:rsidTr="008F6156" w14:paraId="67855D96" w14:textId="77777777">
        <w:trPr>
          <w:tblHeader/>
        </w:trPr>
        <w:tc>
          <w:tcPr>
            <w:tcW w:w="4675" w:type="dxa"/>
            <w:vAlign w:val="center"/>
          </w:tcPr>
          <w:p w:rsidRPr="005D7E20" w:rsidR="008F6156" w:rsidP="008F6156" w:rsidRDefault="008F6156" w14:paraId="13ADC631" w14:textId="7118609E">
            <w:pPr>
              <w:spacing w:before="360"/>
              <w:jc w:val="both"/>
              <w:rPr>
                <w:sz w:val="24"/>
                <w:szCs w:val="24"/>
              </w:rPr>
            </w:pPr>
            <w:r w:rsidRPr="005D7E20">
              <w:rPr>
                <w:sz w:val="24"/>
                <w:szCs w:val="24"/>
                <w:lang w:val="de-DE"/>
              </w:rPr>
              <w:t>Mary Beth Berry</w:t>
            </w:r>
          </w:p>
        </w:tc>
        <w:tc>
          <w:tcPr>
            <w:tcW w:w="4675" w:type="dxa"/>
            <w:vAlign w:val="center"/>
          </w:tcPr>
          <w:p w:rsidRPr="005D7E20" w:rsidR="008F6156" w:rsidP="008F6156" w:rsidRDefault="008F6156" w14:paraId="0C991348" w14:textId="0973F302">
            <w:pPr>
              <w:spacing w:before="360"/>
              <w:jc w:val="both"/>
              <w:rPr>
                <w:sz w:val="24"/>
                <w:szCs w:val="24"/>
              </w:rPr>
            </w:pPr>
            <w:r w:rsidRPr="005D7E20">
              <w:rPr>
                <w:sz w:val="24"/>
                <w:szCs w:val="24"/>
              </w:rPr>
              <w:t>Hunterdon</w:t>
            </w:r>
          </w:p>
        </w:tc>
      </w:tr>
      <w:tr w:rsidRPr="005D7E20" w:rsidR="008F6156" w:rsidTr="008F6156" w14:paraId="65E74FB4" w14:textId="77777777">
        <w:trPr>
          <w:tblHeader/>
        </w:trPr>
        <w:tc>
          <w:tcPr>
            <w:tcW w:w="4675" w:type="dxa"/>
            <w:vAlign w:val="center"/>
          </w:tcPr>
          <w:p w:rsidRPr="005D7E20" w:rsidR="008F6156" w:rsidP="008F6156" w:rsidRDefault="008F6156" w14:paraId="026438AF" w14:textId="4F3F8163">
            <w:pPr>
              <w:spacing w:before="360"/>
              <w:jc w:val="both"/>
              <w:rPr>
                <w:sz w:val="24"/>
                <w:szCs w:val="24"/>
              </w:rPr>
            </w:pPr>
            <w:r w:rsidRPr="005D7E20">
              <w:rPr>
                <w:sz w:val="24"/>
                <w:szCs w:val="24"/>
                <w:lang w:val="de-DE"/>
              </w:rPr>
              <w:t>Elaine Bobrove</w:t>
            </w:r>
          </w:p>
        </w:tc>
        <w:tc>
          <w:tcPr>
            <w:tcW w:w="4675" w:type="dxa"/>
            <w:vAlign w:val="center"/>
          </w:tcPr>
          <w:p w:rsidRPr="005D7E20" w:rsidR="008F6156" w:rsidP="008F6156" w:rsidRDefault="008F6156" w14:paraId="59DF4858" w14:textId="403E4960">
            <w:pPr>
              <w:spacing w:before="360"/>
              <w:jc w:val="both"/>
              <w:rPr>
                <w:sz w:val="24"/>
                <w:szCs w:val="24"/>
              </w:rPr>
            </w:pPr>
            <w:r w:rsidRPr="005D7E20">
              <w:rPr>
                <w:sz w:val="24"/>
                <w:szCs w:val="24"/>
              </w:rPr>
              <w:t>Camden</w:t>
            </w:r>
          </w:p>
        </w:tc>
      </w:tr>
      <w:tr w:rsidRPr="005D7E20" w:rsidR="008F6156" w:rsidTr="008F6156" w14:paraId="1699EA0F" w14:textId="77777777">
        <w:trPr>
          <w:tblHeader/>
        </w:trPr>
        <w:tc>
          <w:tcPr>
            <w:tcW w:w="4675" w:type="dxa"/>
            <w:vAlign w:val="center"/>
          </w:tcPr>
          <w:p w:rsidRPr="005D7E20" w:rsidR="008F6156" w:rsidP="008F6156" w:rsidRDefault="008F6156" w14:paraId="75E9A745" w14:textId="525393B2">
            <w:pPr>
              <w:spacing w:before="360"/>
              <w:jc w:val="both"/>
              <w:rPr>
                <w:sz w:val="24"/>
                <w:szCs w:val="24"/>
              </w:rPr>
            </w:pPr>
            <w:r w:rsidRPr="005D7E20">
              <w:rPr>
                <w:sz w:val="24"/>
                <w:szCs w:val="24"/>
                <w:lang w:val="de-DE"/>
              </w:rPr>
              <w:t>Fatimah Burnam-Watkins</w:t>
            </w:r>
          </w:p>
        </w:tc>
        <w:tc>
          <w:tcPr>
            <w:tcW w:w="4675" w:type="dxa"/>
            <w:vAlign w:val="center"/>
          </w:tcPr>
          <w:p w:rsidRPr="005D7E20" w:rsidR="008F6156" w:rsidP="008F6156" w:rsidRDefault="008F6156" w14:paraId="1FC2FE13" w14:textId="3091C3D0">
            <w:pPr>
              <w:spacing w:before="360"/>
              <w:jc w:val="both"/>
              <w:rPr>
                <w:sz w:val="24"/>
                <w:szCs w:val="24"/>
              </w:rPr>
            </w:pPr>
            <w:r w:rsidRPr="005D7E20">
              <w:rPr>
                <w:sz w:val="24"/>
                <w:szCs w:val="24"/>
              </w:rPr>
              <w:t>Union</w:t>
            </w:r>
          </w:p>
        </w:tc>
      </w:tr>
      <w:tr w:rsidRPr="005D7E20" w:rsidR="008F6156" w:rsidTr="008F6156" w14:paraId="77B01F91" w14:textId="77777777">
        <w:trPr>
          <w:tblHeader/>
        </w:trPr>
        <w:tc>
          <w:tcPr>
            <w:tcW w:w="4675" w:type="dxa"/>
            <w:vAlign w:val="center"/>
          </w:tcPr>
          <w:p w:rsidRPr="005D7E20" w:rsidR="008F6156" w:rsidP="008F6156" w:rsidRDefault="008F6156" w14:paraId="29B4FC0B" w14:textId="6B56009C">
            <w:pPr>
              <w:spacing w:before="360"/>
              <w:jc w:val="both"/>
              <w:rPr>
                <w:sz w:val="24"/>
                <w:szCs w:val="24"/>
              </w:rPr>
            </w:pPr>
            <w:r w:rsidRPr="005D7E20">
              <w:rPr>
                <w:sz w:val="24"/>
                <w:szCs w:val="24"/>
                <w:lang w:val="de-DE"/>
              </w:rPr>
              <w:t>Ronald K. Butcher</w:t>
            </w:r>
          </w:p>
        </w:tc>
        <w:tc>
          <w:tcPr>
            <w:tcW w:w="4675" w:type="dxa"/>
            <w:vAlign w:val="center"/>
          </w:tcPr>
          <w:p w:rsidRPr="005D7E20" w:rsidR="008F6156" w:rsidP="008F6156" w:rsidRDefault="008F6156" w14:paraId="1F360D7C" w14:textId="6311D788">
            <w:pPr>
              <w:spacing w:before="360"/>
              <w:jc w:val="both"/>
              <w:rPr>
                <w:sz w:val="24"/>
                <w:szCs w:val="24"/>
              </w:rPr>
            </w:pPr>
            <w:r w:rsidRPr="005D7E20">
              <w:rPr>
                <w:sz w:val="24"/>
                <w:szCs w:val="24"/>
              </w:rPr>
              <w:t>Gloucester</w:t>
            </w:r>
          </w:p>
        </w:tc>
      </w:tr>
      <w:tr w:rsidRPr="005D7E20" w:rsidR="008F6156" w:rsidTr="008F6156" w14:paraId="61CC7465" w14:textId="77777777">
        <w:trPr>
          <w:tblHeader/>
        </w:trPr>
        <w:tc>
          <w:tcPr>
            <w:tcW w:w="4675" w:type="dxa"/>
            <w:vAlign w:val="center"/>
          </w:tcPr>
          <w:p w:rsidRPr="005D7E20" w:rsidR="008F6156" w:rsidP="008F6156" w:rsidRDefault="008F6156" w14:paraId="3AB7EF7E" w14:textId="5D623E8E">
            <w:pPr>
              <w:spacing w:before="360"/>
              <w:jc w:val="both"/>
              <w:rPr>
                <w:sz w:val="24"/>
                <w:szCs w:val="24"/>
              </w:rPr>
            </w:pPr>
            <w:r w:rsidRPr="005D7E20">
              <w:rPr>
                <w:sz w:val="24"/>
                <w:szCs w:val="24"/>
              </w:rPr>
              <w:t xml:space="preserve">Jack </w:t>
            </w:r>
            <w:proofErr w:type="spellStart"/>
            <w:r w:rsidRPr="005D7E20">
              <w:rPr>
                <w:sz w:val="24"/>
                <w:szCs w:val="24"/>
              </w:rPr>
              <w:t>Fornaro</w:t>
            </w:r>
            <w:proofErr w:type="spellEnd"/>
          </w:p>
        </w:tc>
        <w:tc>
          <w:tcPr>
            <w:tcW w:w="4675" w:type="dxa"/>
            <w:vAlign w:val="center"/>
          </w:tcPr>
          <w:p w:rsidRPr="005D7E20" w:rsidR="008F6156" w:rsidP="008F6156" w:rsidRDefault="008F6156" w14:paraId="3D6B8B51" w14:textId="3E86557F">
            <w:pPr>
              <w:spacing w:before="360"/>
              <w:jc w:val="both"/>
              <w:rPr>
                <w:sz w:val="24"/>
                <w:szCs w:val="24"/>
              </w:rPr>
            </w:pPr>
            <w:r w:rsidRPr="005D7E20">
              <w:rPr>
                <w:sz w:val="24"/>
                <w:szCs w:val="24"/>
              </w:rPr>
              <w:t>Warren</w:t>
            </w:r>
          </w:p>
        </w:tc>
      </w:tr>
      <w:tr w:rsidRPr="005D7E20" w:rsidR="008F6156" w:rsidTr="008F6156" w14:paraId="41FFE3A3" w14:textId="77777777">
        <w:trPr>
          <w:tblHeader/>
        </w:trPr>
        <w:tc>
          <w:tcPr>
            <w:tcW w:w="4675" w:type="dxa"/>
            <w:vAlign w:val="center"/>
          </w:tcPr>
          <w:p w:rsidRPr="005D7E20" w:rsidR="008F6156" w:rsidP="008F6156" w:rsidRDefault="008F6156" w14:paraId="7B9A3BF3" w14:textId="1D06BE5B">
            <w:pPr>
              <w:spacing w:before="360"/>
              <w:jc w:val="both"/>
              <w:rPr>
                <w:sz w:val="24"/>
                <w:szCs w:val="24"/>
              </w:rPr>
            </w:pPr>
            <w:r w:rsidRPr="005D7E20">
              <w:rPr>
                <w:sz w:val="24"/>
                <w:szCs w:val="24"/>
              </w:rPr>
              <w:t>Mary Elizabeth Gazi</w:t>
            </w:r>
          </w:p>
        </w:tc>
        <w:tc>
          <w:tcPr>
            <w:tcW w:w="4675" w:type="dxa"/>
            <w:vAlign w:val="center"/>
          </w:tcPr>
          <w:p w:rsidRPr="005D7E20" w:rsidR="008F6156" w:rsidP="008F6156" w:rsidRDefault="008F6156" w14:paraId="66FAE3BE" w14:textId="428AC1DA">
            <w:pPr>
              <w:spacing w:before="360"/>
              <w:jc w:val="both"/>
              <w:rPr>
                <w:sz w:val="24"/>
                <w:szCs w:val="24"/>
              </w:rPr>
            </w:pPr>
            <w:r w:rsidRPr="005D7E20">
              <w:rPr>
                <w:sz w:val="24"/>
                <w:szCs w:val="24"/>
              </w:rPr>
              <w:t>Somerset</w:t>
            </w:r>
          </w:p>
        </w:tc>
      </w:tr>
      <w:tr w:rsidRPr="005D7E20" w:rsidR="008F6156" w:rsidTr="008F6156" w14:paraId="21939AAC" w14:textId="77777777">
        <w:trPr>
          <w:tblHeader/>
        </w:trPr>
        <w:tc>
          <w:tcPr>
            <w:tcW w:w="4675" w:type="dxa"/>
            <w:vAlign w:val="center"/>
          </w:tcPr>
          <w:p w:rsidRPr="005D7E20" w:rsidR="008F6156" w:rsidP="008F6156" w:rsidRDefault="008F6156" w14:paraId="10CCC879" w14:textId="26C16AB3">
            <w:pPr>
              <w:spacing w:before="360"/>
              <w:jc w:val="both"/>
              <w:rPr>
                <w:sz w:val="24"/>
                <w:szCs w:val="24"/>
              </w:rPr>
            </w:pPr>
            <w:proofErr w:type="spellStart"/>
            <w:r w:rsidRPr="005D7E20">
              <w:rPr>
                <w:sz w:val="24"/>
                <w:szCs w:val="24"/>
              </w:rPr>
              <w:t>Nedd</w:t>
            </w:r>
            <w:proofErr w:type="spellEnd"/>
            <w:r w:rsidRPr="005D7E20">
              <w:rPr>
                <w:sz w:val="24"/>
                <w:szCs w:val="24"/>
              </w:rPr>
              <w:t xml:space="preserve"> James Johnson</w:t>
            </w:r>
          </w:p>
        </w:tc>
        <w:tc>
          <w:tcPr>
            <w:tcW w:w="4675" w:type="dxa"/>
            <w:vAlign w:val="center"/>
          </w:tcPr>
          <w:p w:rsidRPr="005D7E20" w:rsidR="008F6156" w:rsidP="008F6156" w:rsidRDefault="008F6156" w14:paraId="1B337EC9" w14:textId="603BA46E">
            <w:pPr>
              <w:spacing w:before="360"/>
              <w:jc w:val="both"/>
              <w:rPr>
                <w:sz w:val="24"/>
                <w:szCs w:val="24"/>
              </w:rPr>
            </w:pPr>
            <w:r w:rsidRPr="005D7E20">
              <w:rPr>
                <w:sz w:val="24"/>
                <w:szCs w:val="24"/>
              </w:rPr>
              <w:t>Salem</w:t>
            </w:r>
          </w:p>
        </w:tc>
      </w:tr>
      <w:tr w:rsidRPr="005D7E20" w:rsidR="008F6156" w:rsidTr="008F6156" w14:paraId="518483F6" w14:textId="77777777">
        <w:trPr>
          <w:tblHeader/>
        </w:trPr>
        <w:tc>
          <w:tcPr>
            <w:tcW w:w="4675" w:type="dxa"/>
            <w:vAlign w:val="center"/>
          </w:tcPr>
          <w:p w:rsidRPr="005D7E20" w:rsidR="008F6156" w:rsidP="008F6156" w:rsidRDefault="008F6156" w14:paraId="36A16E0F" w14:textId="65270CFF">
            <w:pPr>
              <w:spacing w:before="360"/>
              <w:jc w:val="both"/>
              <w:rPr>
                <w:sz w:val="24"/>
                <w:szCs w:val="24"/>
              </w:rPr>
            </w:pPr>
            <w:r w:rsidRPr="005D7E20">
              <w:rPr>
                <w:sz w:val="24"/>
                <w:szCs w:val="24"/>
              </w:rPr>
              <w:t>Ernest P. Lepore</w:t>
            </w:r>
          </w:p>
        </w:tc>
        <w:tc>
          <w:tcPr>
            <w:tcW w:w="4675" w:type="dxa"/>
            <w:vAlign w:val="center"/>
          </w:tcPr>
          <w:p w:rsidRPr="005D7E20" w:rsidR="008F6156" w:rsidP="008F6156" w:rsidRDefault="008F6156" w14:paraId="6A080A6A" w14:textId="6B2000CD">
            <w:pPr>
              <w:spacing w:before="360"/>
              <w:jc w:val="both"/>
              <w:rPr>
                <w:sz w:val="24"/>
                <w:szCs w:val="24"/>
              </w:rPr>
            </w:pPr>
            <w:r w:rsidRPr="005D7E20">
              <w:rPr>
                <w:sz w:val="24"/>
                <w:szCs w:val="24"/>
              </w:rPr>
              <w:t>Hudson</w:t>
            </w:r>
          </w:p>
        </w:tc>
      </w:tr>
      <w:tr w:rsidRPr="005D7E20" w:rsidR="008F6156" w:rsidTr="008F6156" w14:paraId="3E78E121" w14:textId="77777777">
        <w:trPr>
          <w:tblHeader/>
        </w:trPr>
        <w:tc>
          <w:tcPr>
            <w:tcW w:w="4675" w:type="dxa"/>
            <w:vAlign w:val="center"/>
          </w:tcPr>
          <w:p w:rsidRPr="005D7E20" w:rsidR="008F6156" w:rsidP="008F6156" w:rsidRDefault="008F6156" w14:paraId="63C74D15" w14:textId="262A86C7">
            <w:pPr>
              <w:spacing w:before="360"/>
              <w:jc w:val="both"/>
              <w:rPr>
                <w:sz w:val="24"/>
                <w:szCs w:val="24"/>
              </w:rPr>
            </w:pPr>
            <w:r w:rsidRPr="005D7E20">
              <w:rPr>
                <w:sz w:val="24"/>
                <w:szCs w:val="24"/>
              </w:rPr>
              <w:t>Joseph Ricca, Jr</w:t>
            </w:r>
          </w:p>
        </w:tc>
        <w:tc>
          <w:tcPr>
            <w:tcW w:w="4675" w:type="dxa"/>
            <w:vAlign w:val="center"/>
          </w:tcPr>
          <w:p w:rsidRPr="005D7E20" w:rsidR="008F6156" w:rsidP="008F6156" w:rsidRDefault="008F6156" w14:paraId="6FE4FADD" w14:textId="45CBA771">
            <w:pPr>
              <w:spacing w:before="360"/>
              <w:jc w:val="both"/>
              <w:rPr>
                <w:sz w:val="24"/>
                <w:szCs w:val="24"/>
              </w:rPr>
            </w:pPr>
            <w:r w:rsidRPr="005D7E20">
              <w:rPr>
                <w:sz w:val="24"/>
                <w:szCs w:val="24"/>
              </w:rPr>
              <w:t>Morris</w:t>
            </w:r>
          </w:p>
        </w:tc>
      </w:tr>
      <w:tr w:rsidRPr="005D7E20" w:rsidR="008F6156" w:rsidTr="008F6156" w14:paraId="55E33041" w14:textId="77777777">
        <w:trPr>
          <w:tblHeader/>
        </w:trPr>
        <w:tc>
          <w:tcPr>
            <w:tcW w:w="4675" w:type="dxa"/>
            <w:vAlign w:val="center"/>
          </w:tcPr>
          <w:p w:rsidRPr="005D7E20" w:rsidR="008F6156" w:rsidP="008F6156" w:rsidRDefault="008F6156" w14:paraId="3E6177BE" w14:textId="48814899">
            <w:pPr>
              <w:spacing w:before="360"/>
              <w:jc w:val="both"/>
              <w:rPr>
                <w:sz w:val="24"/>
                <w:szCs w:val="24"/>
              </w:rPr>
            </w:pPr>
            <w:r w:rsidRPr="005D7E20">
              <w:rPr>
                <w:sz w:val="24"/>
                <w:szCs w:val="24"/>
              </w:rPr>
              <w:t>Sylvia Sylvia-Cioffi</w:t>
            </w:r>
          </w:p>
        </w:tc>
        <w:tc>
          <w:tcPr>
            <w:tcW w:w="4675" w:type="dxa"/>
            <w:vAlign w:val="center"/>
          </w:tcPr>
          <w:p w:rsidRPr="005D7E20" w:rsidR="008F6156" w:rsidP="008F6156" w:rsidRDefault="008F6156" w14:paraId="3C3B9C2D" w14:textId="30E37457">
            <w:pPr>
              <w:spacing w:before="360"/>
              <w:jc w:val="both"/>
              <w:rPr>
                <w:sz w:val="24"/>
                <w:szCs w:val="24"/>
              </w:rPr>
            </w:pPr>
            <w:r w:rsidRPr="005D7E20">
              <w:rPr>
                <w:sz w:val="24"/>
                <w:szCs w:val="24"/>
              </w:rPr>
              <w:t>Monmouth</w:t>
            </w:r>
          </w:p>
        </w:tc>
      </w:tr>
    </w:tbl>
    <w:p w:rsidRPr="005D7E20" w:rsidR="00141716" w:rsidP="007F7083" w:rsidRDefault="00141716" w14:paraId="1172D0CC" w14:textId="34120988">
      <w:pPr>
        <w:pStyle w:val="Heading2"/>
        <w:jc w:val="left"/>
        <w:rPr>
          <w:b w:val="0"/>
          <w:sz w:val="24"/>
          <w:szCs w:val="24"/>
        </w:rPr>
      </w:pPr>
      <w:r w:rsidRPr="005D7E20">
        <w:rPr>
          <w:b w:val="0"/>
          <w:sz w:val="24"/>
          <w:szCs w:val="24"/>
        </w:rPr>
        <w:lastRenderedPageBreak/>
        <w:t>Angelica Allen-McMillan, Ed.D., Acting Commissioner</w:t>
      </w:r>
    </w:p>
    <w:p w:rsidRPr="005D7E20" w:rsidR="00141716" w:rsidP="007F7083" w:rsidRDefault="00141716" w14:paraId="7CC0CC4A" w14:textId="77777777">
      <w:pPr>
        <w:pStyle w:val="Heading2"/>
        <w:jc w:val="left"/>
        <w:rPr>
          <w:b w:val="0"/>
          <w:sz w:val="24"/>
          <w:szCs w:val="24"/>
        </w:rPr>
      </w:pPr>
      <w:r w:rsidRPr="005D7E20">
        <w:rPr>
          <w:b w:val="0"/>
          <w:sz w:val="24"/>
          <w:szCs w:val="24"/>
        </w:rPr>
        <w:t>Secretary, State Board of Education</w:t>
      </w:r>
    </w:p>
    <w:p w:rsidRPr="005D7E20" w:rsidR="00141716" w:rsidP="00CD3DE5" w:rsidRDefault="00141716" w14:paraId="667F7E20" w14:textId="13ED6D4E">
      <w:pPr>
        <w:widowControl w:val="0"/>
        <w:rPr>
          <w:sz w:val="24"/>
          <w:szCs w:val="24"/>
        </w:rPr>
      </w:pPr>
      <w:r w:rsidRPr="005D7E20">
        <w:rPr>
          <w:sz w:val="24"/>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w:t>
      </w:r>
      <w:r w:rsidRPr="005D7E20" w:rsidR="005A4380">
        <w:rPr>
          <w:sz w:val="24"/>
          <w:szCs w:val="24"/>
        </w:rPr>
        <w:t xml:space="preserve"> </w:t>
      </w:r>
      <w:r w:rsidRPr="005D7E20">
        <w:rPr>
          <w:sz w:val="24"/>
          <w:szCs w:val="24"/>
        </w:rPr>
        <w:t>The department will comply with all state and federal laws and regulations concerning nondiscrimination.</w:t>
      </w:r>
    </w:p>
    <w:p w:rsidRPr="005D7E20" w:rsidR="00B47D56" w:rsidP="007F7083" w:rsidRDefault="00336E67" w14:paraId="795D1219" w14:textId="77777777">
      <w:pPr>
        <w:pStyle w:val="Heading2"/>
        <w:jc w:val="left"/>
        <w:rPr>
          <w:b w:val="0"/>
          <w:sz w:val="24"/>
          <w:szCs w:val="24"/>
        </w:rPr>
      </w:pPr>
      <w:r w:rsidRPr="005D7E20">
        <w:rPr>
          <w:sz w:val="24"/>
          <w:szCs w:val="24"/>
          <w:highlight w:val="yellow"/>
        </w:rPr>
        <w:br w:type="page"/>
      </w:r>
      <w:bookmarkStart w:name="_Toc60042603" w:id="7"/>
      <w:r w:rsidRPr="005D7E20">
        <w:rPr>
          <w:b w:val="0"/>
          <w:sz w:val="24"/>
          <w:szCs w:val="24"/>
        </w:rPr>
        <w:lastRenderedPageBreak/>
        <w:t>Table of Contents</w:t>
      </w:r>
      <w:bookmarkEnd w:id="7"/>
    </w:p>
    <w:p w:rsidRPr="005D7E20" w:rsidR="004A02F7" w:rsidP="004A02F7" w:rsidRDefault="00561CFE" w14:paraId="6338E9B0" w14:textId="77777777">
      <w:pPr>
        <w:spacing w:after="0"/>
        <w:rPr>
          <w:sz w:val="24"/>
          <w:szCs w:val="24"/>
        </w:rPr>
      </w:pPr>
      <w:r w:rsidRPr="005D7E20">
        <w:rPr>
          <w:sz w:val="24"/>
          <w:szCs w:val="24"/>
        </w:rPr>
        <w:t xml:space="preserve">When responding to this Notice of Grant Opportunity (NGO), applicants must </w:t>
      </w:r>
      <w:r w:rsidRPr="005D7E20" w:rsidR="00587C8B">
        <w:rPr>
          <w:sz w:val="24"/>
          <w:szCs w:val="24"/>
        </w:rPr>
        <w:t>use the Electronic Web</w:t>
      </w:r>
      <w:r w:rsidRPr="005D7E20" w:rsidR="00132C04">
        <w:rPr>
          <w:sz w:val="24"/>
          <w:szCs w:val="24"/>
        </w:rPr>
        <w:t>-</w:t>
      </w:r>
      <w:r w:rsidRPr="005D7E20" w:rsidR="00587C8B">
        <w:rPr>
          <w:sz w:val="24"/>
          <w:szCs w:val="24"/>
        </w:rPr>
        <w:t xml:space="preserve"> Enabled Grant (EWEG) online application system</w:t>
      </w:r>
      <w:r w:rsidRPr="005D7E20" w:rsidR="00336E67">
        <w:rPr>
          <w:sz w:val="24"/>
          <w:szCs w:val="24"/>
        </w:rPr>
        <w:t xml:space="preserve"> on the New Jersey Department of Education’s </w:t>
      </w:r>
      <w:hyperlink w:tooltip="http://homeroom.state.nj.us/" w:history="1" r:id="rId14">
        <w:r w:rsidRPr="005D7E20" w:rsidR="00336E67">
          <w:rPr>
            <w:rStyle w:val="Hyperlink"/>
            <w:sz w:val="24"/>
            <w:szCs w:val="24"/>
          </w:rPr>
          <w:t>Homeroom</w:t>
        </w:r>
      </w:hyperlink>
      <w:r w:rsidRPr="005D7E20" w:rsidR="00336E67">
        <w:rPr>
          <w:sz w:val="24"/>
          <w:szCs w:val="24"/>
        </w:rPr>
        <w:t xml:space="preserve"> webpage. </w:t>
      </w:r>
      <w:r w:rsidRPr="005D7E20" w:rsidR="00587C8B">
        <w:rPr>
          <w:sz w:val="24"/>
          <w:szCs w:val="24"/>
        </w:rPr>
        <w:t xml:space="preserve">Please refer to the </w:t>
      </w:r>
      <w:r w:rsidRPr="005D7E20" w:rsidR="000F7FEB">
        <w:rPr>
          <w:sz w:val="24"/>
          <w:szCs w:val="24"/>
        </w:rPr>
        <w:t xml:space="preserve">NJDOE’s </w:t>
      </w:r>
      <w:hyperlink w:tooltip="https://www.nj.gov/education/grants/discretionary/" w:history="1" r:id="rId15">
        <w:r w:rsidRPr="005D7E20" w:rsidR="000F7FEB">
          <w:rPr>
            <w:rStyle w:val="Hyperlink"/>
            <w:sz w:val="24"/>
            <w:szCs w:val="24"/>
          </w:rPr>
          <w:t>Discretionary Grants</w:t>
        </w:r>
      </w:hyperlink>
      <w:r w:rsidRPr="005D7E20" w:rsidR="000F7FEB">
        <w:rPr>
          <w:sz w:val="24"/>
          <w:szCs w:val="24"/>
        </w:rPr>
        <w:t xml:space="preserve"> </w:t>
      </w:r>
      <w:r w:rsidRPr="005D7E20" w:rsidR="00587C8B">
        <w:rPr>
          <w:sz w:val="24"/>
          <w:szCs w:val="24"/>
        </w:rPr>
        <w:t xml:space="preserve">web page for the NGO </w:t>
      </w:r>
      <w:r w:rsidRPr="005D7E20" w:rsidR="000F7FEB">
        <w:rPr>
          <w:sz w:val="24"/>
          <w:szCs w:val="24"/>
        </w:rPr>
        <w:t xml:space="preserve">and </w:t>
      </w:r>
      <w:r w:rsidRPr="005D7E20" w:rsidR="00587C8B">
        <w:rPr>
          <w:sz w:val="24"/>
          <w:szCs w:val="24"/>
        </w:rPr>
        <w:t>(click on available grants) for information on when the EWEG application will be online.</w:t>
      </w:r>
      <w:r w:rsidRPr="005D7E20" w:rsidR="004A02F7">
        <w:rPr>
          <w:sz w:val="24"/>
          <w:szCs w:val="24"/>
        </w:rPr>
        <w:t xml:space="preserve"> </w:t>
      </w:r>
    </w:p>
    <w:p w:rsidRPr="005D7E20" w:rsidR="004A02F7" w:rsidP="004A02F7" w:rsidRDefault="004A02F7" w14:paraId="12DB4D2F" w14:textId="77777777">
      <w:pPr>
        <w:spacing w:after="0"/>
        <w:rPr>
          <w:sz w:val="24"/>
          <w:szCs w:val="24"/>
        </w:rPr>
      </w:pPr>
    </w:p>
    <w:p w:rsidRPr="005D7E20" w:rsidR="004A02F7" w:rsidP="004A02F7" w:rsidRDefault="004A02F7" w14:paraId="6F41DDE6" w14:textId="196A01FF">
      <w:pPr>
        <w:spacing w:after="0"/>
        <w:rPr>
          <w:sz w:val="24"/>
          <w:szCs w:val="24"/>
        </w:rPr>
      </w:pPr>
      <w:r w:rsidRPr="005D7E20">
        <w:rPr>
          <w:sz w:val="24"/>
          <w:szCs w:val="24"/>
        </w:rPr>
        <w:t>Please note that beginning Fiscal Year 2023, all applicants for discretionary grants must complete and submit a System for Award Management (SAM) application in EWEG prior to being able to create and submit a grant application in EWEG.</w:t>
      </w:r>
    </w:p>
    <w:p w:rsidRPr="005D7E20" w:rsidR="004A02F7" w:rsidP="00FD59B7" w:rsidRDefault="004A02F7" w14:paraId="30E3ADA0" w14:textId="77777777">
      <w:pPr>
        <w:spacing w:after="0"/>
        <w:rPr>
          <w:bCs/>
          <w:sz w:val="24"/>
          <w:szCs w:val="24"/>
        </w:rPr>
      </w:pPr>
    </w:p>
    <w:p w:rsidRPr="005D7E20" w:rsidR="007951C2" w:rsidP="00FD59B7" w:rsidRDefault="004745E9" w14:paraId="24A0DE3E" w14:textId="22545B83">
      <w:pPr>
        <w:pStyle w:val="TOC1"/>
        <w:tabs>
          <w:tab w:val="right" w:leader="dot" w:pos="9350"/>
        </w:tabs>
        <w:spacing w:after="0"/>
        <w:jc w:val="both"/>
        <w:rPr>
          <w:rFonts w:eastAsiaTheme="minorEastAsia"/>
          <w:noProof/>
          <w:color w:val="auto"/>
          <w:sz w:val="24"/>
          <w:szCs w:val="24"/>
        </w:rPr>
      </w:pPr>
      <w:r w:rsidRPr="005D7E20">
        <w:rPr>
          <w:sz w:val="24"/>
          <w:szCs w:val="24"/>
        </w:rPr>
        <w:fldChar w:fldCharType="begin"/>
      </w:r>
      <w:r w:rsidRPr="005D7E20">
        <w:rPr>
          <w:sz w:val="24"/>
          <w:szCs w:val="24"/>
        </w:rPr>
        <w:instrText xml:space="preserve"> TOC \o "2-3" \h \z \u \t "Heading 1,1" </w:instrText>
      </w:r>
      <w:r w:rsidRPr="005D7E20">
        <w:rPr>
          <w:sz w:val="24"/>
          <w:szCs w:val="24"/>
        </w:rPr>
        <w:fldChar w:fldCharType="separate"/>
      </w:r>
      <w:hyperlink w:history="1" w:anchor="_Toc60042600">
        <w:r w:rsidRPr="005D7E20" w:rsidR="007951C2">
          <w:rPr>
            <w:rStyle w:val="Hyperlink"/>
            <w:noProof/>
            <w:sz w:val="24"/>
            <w:szCs w:val="24"/>
          </w:rPr>
          <w:t xml:space="preserve">New Jersey Department of Education </w:t>
        </w:r>
        <w:r w:rsidRPr="005D7E20" w:rsidR="007951C2">
          <w:rPr>
            <w:rStyle w:val="Hyperlink"/>
            <w:i/>
            <w:noProof/>
            <w:sz w:val="24"/>
            <w:szCs w:val="24"/>
          </w:rPr>
          <w:t>Notice of Grant Opportunity</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_Toc60042600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1</w:t>
        </w:r>
        <w:r w:rsidRPr="005D7E20" w:rsidR="007951C2">
          <w:rPr>
            <w:noProof/>
            <w:webHidden/>
            <w:sz w:val="24"/>
            <w:szCs w:val="24"/>
          </w:rPr>
          <w:fldChar w:fldCharType="end"/>
        </w:r>
      </w:hyperlink>
    </w:p>
    <w:p w:rsidRPr="005D7E20" w:rsidR="007951C2" w:rsidP="00FD59B7" w:rsidRDefault="00CC58AF" w14:paraId="4A7AB05D" w14:textId="79D24D0B">
      <w:pPr>
        <w:pStyle w:val="TOC1"/>
        <w:tabs>
          <w:tab w:val="right" w:leader="dot" w:pos="9350"/>
        </w:tabs>
        <w:spacing w:after="0"/>
        <w:jc w:val="both"/>
        <w:rPr>
          <w:rFonts w:eastAsiaTheme="minorEastAsia"/>
          <w:noProof/>
          <w:color w:val="auto"/>
          <w:sz w:val="24"/>
          <w:szCs w:val="24"/>
        </w:rPr>
      </w:pPr>
      <w:hyperlink w:history="1" w:anchor="_Toc60042601">
        <w:r w:rsidRPr="005D7E20" w:rsidR="007951C2">
          <w:rPr>
            <w:rStyle w:val="Hyperlink"/>
            <w:noProof/>
            <w:sz w:val="24"/>
            <w:szCs w:val="24"/>
          </w:rPr>
          <w:t xml:space="preserve">Notice of Grant Opportunity </w:t>
        </w:r>
        <w:r w:rsidRPr="005D7E20" w:rsidR="00801D9B">
          <w:rPr>
            <w:rStyle w:val="Hyperlink"/>
            <w:noProof/>
            <w:sz w:val="24"/>
            <w:szCs w:val="24"/>
          </w:rPr>
          <w:t>21</w:t>
        </w:r>
        <w:r w:rsidRPr="005D7E20" w:rsidR="00801D9B">
          <w:rPr>
            <w:rStyle w:val="Hyperlink"/>
            <w:noProof/>
            <w:sz w:val="24"/>
            <w:szCs w:val="24"/>
            <w:vertAlign w:val="superscript"/>
          </w:rPr>
          <w:t>st</w:t>
        </w:r>
        <w:r w:rsidRPr="005D7E20" w:rsidR="00801D9B">
          <w:rPr>
            <w:rStyle w:val="Hyperlink"/>
            <w:noProof/>
            <w:sz w:val="24"/>
            <w:szCs w:val="24"/>
          </w:rPr>
          <w:t xml:space="preserve"> CCLC Training and Technical Assistance</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_Toc60042601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2</w:t>
        </w:r>
        <w:r w:rsidRPr="005D7E20" w:rsidR="007951C2">
          <w:rPr>
            <w:noProof/>
            <w:webHidden/>
            <w:sz w:val="24"/>
            <w:szCs w:val="24"/>
          </w:rPr>
          <w:fldChar w:fldCharType="end"/>
        </w:r>
      </w:hyperlink>
    </w:p>
    <w:p w:rsidRPr="005D7E20" w:rsidR="007951C2" w:rsidP="00FD59B7" w:rsidRDefault="00CC58AF" w14:paraId="5FCCB055" w14:textId="58AC30C2">
      <w:pPr>
        <w:pStyle w:val="TOC2"/>
        <w:tabs>
          <w:tab w:val="right" w:leader="dot" w:pos="9350"/>
        </w:tabs>
        <w:spacing w:after="0"/>
        <w:jc w:val="both"/>
        <w:rPr>
          <w:rFonts w:eastAsiaTheme="minorEastAsia"/>
          <w:noProof/>
          <w:color w:val="auto"/>
          <w:sz w:val="24"/>
          <w:szCs w:val="24"/>
        </w:rPr>
      </w:pPr>
      <w:hyperlink w:history="1" w:anchor="_Toc60042602">
        <w:r w:rsidRPr="005D7E20" w:rsidR="007951C2">
          <w:rPr>
            <w:rStyle w:val="Hyperlink"/>
            <w:noProof/>
            <w:sz w:val="24"/>
            <w:szCs w:val="24"/>
          </w:rPr>
          <w:t>State Board of Education</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_Toc60042602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3</w:t>
        </w:r>
        <w:r w:rsidRPr="005D7E20" w:rsidR="007951C2">
          <w:rPr>
            <w:noProof/>
            <w:webHidden/>
            <w:sz w:val="24"/>
            <w:szCs w:val="24"/>
          </w:rPr>
          <w:fldChar w:fldCharType="end"/>
        </w:r>
      </w:hyperlink>
    </w:p>
    <w:p w:rsidRPr="005D7E20" w:rsidR="007951C2" w:rsidP="00FD59B7" w:rsidRDefault="00CC58AF" w14:paraId="4A9590D5" w14:textId="0C9C7D0A">
      <w:pPr>
        <w:pStyle w:val="TOC2"/>
        <w:tabs>
          <w:tab w:val="right" w:leader="dot" w:pos="9350"/>
        </w:tabs>
        <w:spacing w:after="0"/>
        <w:jc w:val="both"/>
        <w:rPr>
          <w:rFonts w:eastAsiaTheme="minorEastAsia"/>
          <w:noProof/>
          <w:color w:val="auto"/>
          <w:sz w:val="24"/>
          <w:szCs w:val="24"/>
        </w:rPr>
      </w:pPr>
      <w:hyperlink w:history="1" w:anchor="_Toc60042603">
        <w:r w:rsidRPr="005D7E20" w:rsidR="007951C2">
          <w:rPr>
            <w:rStyle w:val="Hyperlink"/>
            <w:noProof/>
            <w:sz w:val="24"/>
            <w:szCs w:val="24"/>
          </w:rPr>
          <w:t>Table of Contents</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_Toc60042603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4</w:t>
        </w:r>
        <w:r w:rsidRPr="005D7E20" w:rsidR="007951C2">
          <w:rPr>
            <w:noProof/>
            <w:webHidden/>
            <w:sz w:val="24"/>
            <w:szCs w:val="24"/>
          </w:rPr>
          <w:fldChar w:fldCharType="end"/>
        </w:r>
      </w:hyperlink>
    </w:p>
    <w:p w:rsidRPr="005D7E20" w:rsidR="007951C2" w:rsidP="00FD59B7" w:rsidRDefault="00CC58AF" w14:paraId="66E2210E" w14:textId="1E2EF39F">
      <w:pPr>
        <w:pStyle w:val="TOC2"/>
        <w:tabs>
          <w:tab w:val="right" w:leader="dot" w:pos="9350"/>
        </w:tabs>
        <w:spacing w:after="0"/>
        <w:jc w:val="both"/>
        <w:rPr>
          <w:rFonts w:eastAsiaTheme="minorEastAsia"/>
          <w:noProof/>
          <w:color w:val="auto"/>
          <w:sz w:val="24"/>
          <w:szCs w:val="24"/>
        </w:rPr>
      </w:pPr>
      <w:hyperlink w:history="1" w:anchor="_Toc60042604">
        <w:r w:rsidRPr="005D7E20" w:rsidR="007951C2">
          <w:rPr>
            <w:rStyle w:val="Hyperlink"/>
            <w:noProof/>
            <w:sz w:val="24"/>
            <w:szCs w:val="24"/>
          </w:rPr>
          <w:t>Section 1: Grant Program Information</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_Toc60042604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5</w:t>
        </w:r>
        <w:r w:rsidRPr="005D7E20" w:rsidR="007951C2">
          <w:rPr>
            <w:noProof/>
            <w:webHidden/>
            <w:sz w:val="24"/>
            <w:szCs w:val="24"/>
          </w:rPr>
          <w:fldChar w:fldCharType="end"/>
        </w:r>
      </w:hyperlink>
    </w:p>
    <w:p w:rsidRPr="005D7E20" w:rsidR="007951C2" w:rsidP="00FD59B7" w:rsidRDefault="00CC58AF" w14:paraId="0C1B0296" w14:textId="53FCC28E">
      <w:pPr>
        <w:pStyle w:val="TOC3"/>
        <w:spacing w:after="0"/>
        <w:jc w:val="both"/>
        <w:rPr>
          <w:rFonts w:eastAsiaTheme="minorEastAsia"/>
          <w:noProof/>
          <w:color w:val="auto"/>
          <w:sz w:val="24"/>
          <w:szCs w:val="24"/>
        </w:rPr>
      </w:pPr>
      <w:hyperlink w:history="1" w:anchor="_Toc60042605">
        <w:r w:rsidRPr="005D7E20" w:rsidR="007951C2">
          <w:rPr>
            <w:rStyle w:val="Hyperlink"/>
            <w:noProof/>
            <w:sz w:val="24"/>
            <w:szCs w:val="24"/>
          </w:rPr>
          <w:t>1.1</w:t>
        </w:r>
        <w:r w:rsidRPr="005D7E20" w:rsidR="007951C2">
          <w:rPr>
            <w:rFonts w:eastAsiaTheme="minorEastAsia"/>
            <w:noProof/>
            <w:color w:val="auto"/>
            <w:sz w:val="24"/>
            <w:szCs w:val="24"/>
          </w:rPr>
          <w:tab/>
        </w:r>
        <w:r w:rsidRPr="005D7E20" w:rsidR="007951C2">
          <w:rPr>
            <w:rStyle w:val="Hyperlink"/>
            <w:noProof/>
            <w:sz w:val="24"/>
            <w:szCs w:val="24"/>
          </w:rPr>
          <w:t>Description of the Grant Program</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_Toc60042605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5</w:t>
        </w:r>
        <w:r w:rsidRPr="005D7E20" w:rsidR="007951C2">
          <w:rPr>
            <w:noProof/>
            <w:webHidden/>
            <w:sz w:val="24"/>
            <w:szCs w:val="24"/>
          </w:rPr>
          <w:fldChar w:fldCharType="end"/>
        </w:r>
      </w:hyperlink>
    </w:p>
    <w:p w:rsidRPr="005D7E20" w:rsidR="007951C2" w:rsidP="00FD59B7" w:rsidRDefault="00CC58AF" w14:paraId="033EE892" w14:textId="6E786353">
      <w:pPr>
        <w:pStyle w:val="TOC3"/>
        <w:spacing w:after="0"/>
        <w:jc w:val="both"/>
        <w:rPr>
          <w:rFonts w:eastAsiaTheme="minorEastAsia"/>
          <w:noProof/>
          <w:color w:val="auto"/>
          <w:sz w:val="24"/>
          <w:szCs w:val="24"/>
        </w:rPr>
      </w:pPr>
      <w:hyperlink w:history="1" w:anchor="_Toc60042606">
        <w:r w:rsidRPr="005D7E20" w:rsidR="007951C2">
          <w:rPr>
            <w:rStyle w:val="Hyperlink"/>
            <w:noProof/>
            <w:sz w:val="24"/>
            <w:szCs w:val="24"/>
          </w:rPr>
          <w:t>1.2</w:t>
        </w:r>
        <w:r w:rsidRPr="005D7E20" w:rsidR="007951C2">
          <w:rPr>
            <w:rFonts w:eastAsiaTheme="minorEastAsia"/>
            <w:noProof/>
            <w:color w:val="auto"/>
            <w:sz w:val="24"/>
            <w:szCs w:val="24"/>
          </w:rPr>
          <w:tab/>
        </w:r>
        <w:r w:rsidRPr="005D7E20" w:rsidR="007951C2">
          <w:rPr>
            <w:rStyle w:val="Hyperlink"/>
            <w:noProof/>
            <w:sz w:val="24"/>
            <w:szCs w:val="24"/>
          </w:rPr>
          <w:t>Eligibility to Apply</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_Toc60042606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6</w:t>
        </w:r>
        <w:r w:rsidRPr="005D7E20" w:rsidR="007951C2">
          <w:rPr>
            <w:noProof/>
            <w:webHidden/>
            <w:sz w:val="24"/>
            <w:szCs w:val="24"/>
          </w:rPr>
          <w:fldChar w:fldCharType="end"/>
        </w:r>
      </w:hyperlink>
    </w:p>
    <w:p w:rsidRPr="005D7E20" w:rsidR="007951C2" w:rsidP="00FD59B7" w:rsidRDefault="00CC58AF" w14:paraId="1F6CE5BC" w14:textId="3FFB5149">
      <w:pPr>
        <w:pStyle w:val="TOC3"/>
        <w:spacing w:after="0"/>
        <w:jc w:val="both"/>
        <w:rPr>
          <w:rFonts w:eastAsiaTheme="minorEastAsia"/>
          <w:noProof/>
          <w:color w:val="auto"/>
          <w:sz w:val="24"/>
          <w:szCs w:val="24"/>
        </w:rPr>
      </w:pPr>
      <w:hyperlink w:history="1" w:anchor="_Toc60042607">
        <w:r w:rsidRPr="005D7E20" w:rsidR="007951C2">
          <w:rPr>
            <w:rStyle w:val="Hyperlink"/>
            <w:noProof/>
            <w:sz w:val="24"/>
            <w:szCs w:val="24"/>
          </w:rPr>
          <w:t>1.3</w:t>
        </w:r>
        <w:r w:rsidRPr="005D7E20" w:rsidR="007951C2">
          <w:rPr>
            <w:rFonts w:eastAsiaTheme="minorEastAsia"/>
            <w:noProof/>
            <w:color w:val="auto"/>
            <w:sz w:val="24"/>
            <w:szCs w:val="24"/>
          </w:rPr>
          <w:tab/>
        </w:r>
        <w:r w:rsidRPr="005D7E20" w:rsidR="007951C2">
          <w:rPr>
            <w:rStyle w:val="Hyperlink"/>
            <w:noProof/>
            <w:sz w:val="24"/>
            <w:szCs w:val="24"/>
          </w:rPr>
          <w:t>Federal Compliance Requirements (</w:t>
        </w:r>
        <w:r w:rsidRPr="005D7E20" w:rsidR="004A02F7">
          <w:rPr>
            <w:rStyle w:val="Hyperlink"/>
            <w:noProof/>
            <w:sz w:val="24"/>
            <w:szCs w:val="24"/>
          </w:rPr>
          <w:t>UEI</w:t>
        </w:r>
        <w:r w:rsidRPr="005D7E20" w:rsidR="007951C2">
          <w:rPr>
            <w:rStyle w:val="Hyperlink"/>
            <w:noProof/>
            <w:sz w:val="24"/>
            <w:szCs w:val="24"/>
          </w:rPr>
          <w:t>, SAM)</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_Toc60042607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7</w:t>
        </w:r>
        <w:r w:rsidRPr="005D7E20" w:rsidR="007951C2">
          <w:rPr>
            <w:noProof/>
            <w:webHidden/>
            <w:sz w:val="24"/>
            <w:szCs w:val="24"/>
          </w:rPr>
          <w:fldChar w:fldCharType="end"/>
        </w:r>
      </w:hyperlink>
    </w:p>
    <w:p w:rsidRPr="005D7E20" w:rsidR="007951C2" w:rsidP="00FD59B7" w:rsidRDefault="00CC58AF" w14:paraId="2FB615B9" w14:textId="64CD2FF4">
      <w:pPr>
        <w:pStyle w:val="TOC3"/>
        <w:spacing w:after="0"/>
        <w:jc w:val="both"/>
        <w:rPr>
          <w:rFonts w:eastAsiaTheme="minorEastAsia"/>
          <w:noProof/>
          <w:color w:val="auto"/>
          <w:sz w:val="24"/>
          <w:szCs w:val="24"/>
        </w:rPr>
      </w:pPr>
      <w:hyperlink w:history="1" w:anchor="_Toc60042608">
        <w:r w:rsidRPr="005D7E20" w:rsidR="007951C2">
          <w:rPr>
            <w:rStyle w:val="Hyperlink"/>
            <w:noProof/>
            <w:sz w:val="24"/>
            <w:szCs w:val="24"/>
          </w:rPr>
          <w:t>1.4</w:t>
        </w:r>
        <w:r w:rsidRPr="005D7E20" w:rsidR="007951C2">
          <w:rPr>
            <w:rFonts w:eastAsiaTheme="minorEastAsia"/>
            <w:noProof/>
            <w:color w:val="auto"/>
            <w:sz w:val="24"/>
            <w:szCs w:val="24"/>
          </w:rPr>
          <w:tab/>
        </w:r>
        <w:r w:rsidRPr="005D7E20" w:rsidR="007951C2">
          <w:rPr>
            <w:rStyle w:val="Hyperlink"/>
            <w:noProof/>
            <w:sz w:val="24"/>
            <w:szCs w:val="24"/>
          </w:rPr>
          <w:t>Statutory/Regulatory Source and Funding</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_Toc60042608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7</w:t>
        </w:r>
        <w:r w:rsidRPr="005D7E20" w:rsidR="007951C2">
          <w:rPr>
            <w:noProof/>
            <w:webHidden/>
            <w:sz w:val="24"/>
            <w:szCs w:val="24"/>
          </w:rPr>
          <w:fldChar w:fldCharType="end"/>
        </w:r>
      </w:hyperlink>
    </w:p>
    <w:p w:rsidRPr="005D7E20" w:rsidR="007951C2" w:rsidP="00FD59B7" w:rsidRDefault="00CC58AF" w14:paraId="776C1C11" w14:textId="02DD1488">
      <w:pPr>
        <w:pStyle w:val="TOC3"/>
        <w:spacing w:after="0"/>
        <w:jc w:val="both"/>
        <w:rPr>
          <w:rFonts w:eastAsiaTheme="minorEastAsia"/>
          <w:noProof/>
          <w:color w:val="auto"/>
          <w:sz w:val="24"/>
          <w:szCs w:val="24"/>
        </w:rPr>
      </w:pPr>
      <w:hyperlink w:history="1" w:anchor="_Toc60042609">
        <w:r w:rsidRPr="005D7E20" w:rsidR="007951C2">
          <w:rPr>
            <w:rStyle w:val="Hyperlink"/>
            <w:noProof/>
            <w:sz w:val="24"/>
            <w:szCs w:val="24"/>
          </w:rPr>
          <w:t>1.5</w:t>
        </w:r>
        <w:r w:rsidRPr="005D7E20" w:rsidR="007951C2">
          <w:rPr>
            <w:rFonts w:eastAsiaTheme="minorEastAsia"/>
            <w:noProof/>
            <w:color w:val="auto"/>
            <w:sz w:val="24"/>
            <w:szCs w:val="24"/>
          </w:rPr>
          <w:tab/>
        </w:r>
        <w:r w:rsidRPr="005D7E20" w:rsidR="007951C2">
          <w:rPr>
            <w:rStyle w:val="Hyperlink"/>
            <w:noProof/>
            <w:sz w:val="24"/>
            <w:szCs w:val="24"/>
          </w:rPr>
          <w:t>Dissemination of This Notice</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_Toc60042609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8</w:t>
        </w:r>
        <w:r w:rsidRPr="005D7E20" w:rsidR="007951C2">
          <w:rPr>
            <w:noProof/>
            <w:webHidden/>
            <w:sz w:val="24"/>
            <w:szCs w:val="24"/>
          </w:rPr>
          <w:fldChar w:fldCharType="end"/>
        </w:r>
      </w:hyperlink>
    </w:p>
    <w:p w:rsidRPr="005D7E20" w:rsidR="007951C2" w:rsidP="00FD59B7" w:rsidRDefault="00CC58AF" w14:paraId="097DAB6B" w14:textId="49780999">
      <w:pPr>
        <w:pStyle w:val="TOC3"/>
        <w:spacing w:after="0"/>
        <w:jc w:val="both"/>
        <w:rPr>
          <w:rFonts w:eastAsiaTheme="minorEastAsia"/>
          <w:noProof/>
          <w:color w:val="auto"/>
          <w:sz w:val="24"/>
          <w:szCs w:val="24"/>
        </w:rPr>
      </w:pPr>
      <w:hyperlink w:history="1" w:anchor="_Toc60042610">
        <w:r w:rsidRPr="005D7E20" w:rsidR="007951C2">
          <w:rPr>
            <w:rStyle w:val="Hyperlink"/>
            <w:noProof/>
            <w:sz w:val="24"/>
            <w:szCs w:val="24"/>
          </w:rPr>
          <w:t>1.6</w:t>
        </w:r>
        <w:r w:rsidRPr="005D7E20" w:rsidR="007951C2">
          <w:rPr>
            <w:rFonts w:eastAsiaTheme="minorEastAsia"/>
            <w:noProof/>
            <w:color w:val="auto"/>
            <w:sz w:val="24"/>
            <w:szCs w:val="24"/>
          </w:rPr>
          <w:tab/>
        </w:r>
        <w:r w:rsidRPr="005D7E20" w:rsidR="007951C2">
          <w:rPr>
            <w:rStyle w:val="Hyperlink"/>
            <w:noProof/>
            <w:sz w:val="24"/>
            <w:szCs w:val="24"/>
          </w:rPr>
          <w:t>Technical Assistance</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_Toc60042610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8</w:t>
        </w:r>
        <w:r w:rsidRPr="005D7E20" w:rsidR="007951C2">
          <w:rPr>
            <w:noProof/>
            <w:webHidden/>
            <w:sz w:val="24"/>
            <w:szCs w:val="24"/>
          </w:rPr>
          <w:fldChar w:fldCharType="end"/>
        </w:r>
      </w:hyperlink>
    </w:p>
    <w:p w:rsidRPr="005D7E20" w:rsidR="007951C2" w:rsidP="00FD59B7" w:rsidRDefault="00CC58AF" w14:paraId="3525E96F" w14:textId="78F81B2D">
      <w:pPr>
        <w:pStyle w:val="TOC3"/>
        <w:spacing w:after="0"/>
        <w:jc w:val="both"/>
        <w:rPr>
          <w:rFonts w:eastAsiaTheme="minorEastAsia"/>
          <w:noProof/>
          <w:color w:val="auto"/>
          <w:sz w:val="24"/>
          <w:szCs w:val="24"/>
        </w:rPr>
      </w:pPr>
      <w:hyperlink w:history="1" w:anchor="_Toc60042611">
        <w:r w:rsidRPr="005D7E20" w:rsidR="007951C2">
          <w:rPr>
            <w:rStyle w:val="Hyperlink"/>
            <w:noProof/>
            <w:sz w:val="24"/>
            <w:szCs w:val="24"/>
          </w:rPr>
          <w:t>1.7</w:t>
        </w:r>
        <w:r w:rsidRPr="005D7E20" w:rsidR="007951C2">
          <w:rPr>
            <w:rFonts w:eastAsiaTheme="minorEastAsia"/>
            <w:noProof/>
            <w:color w:val="auto"/>
            <w:sz w:val="24"/>
            <w:szCs w:val="24"/>
          </w:rPr>
          <w:tab/>
        </w:r>
        <w:r w:rsidRPr="005D7E20" w:rsidR="007951C2">
          <w:rPr>
            <w:rStyle w:val="Hyperlink"/>
            <w:noProof/>
            <w:sz w:val="24"/>
            <w:szCs w:val="24"/>
          </w:rPr>
          <w:t>Application Submission</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_Toc60042611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8</w:t>
        </w:r>
        <w:r w:rsidRPr="005D7E20" w:rsidR="007951C2">
          <w:rPr>
            <w:noProof/>
            <w:webHidden/>
            <w:sz w:val="24"/>
            <w:szCs w:val="24"/>
          </w:rPr>
          <w:fldChar w:fldCharType="end"/>
        </w:r>
      </w:hyperlink>
    </w:p>
    <w:p w:rsidRPr="005D7E20" w:rsidR="007951C2" w:rsidP="00FD59B7" w:rsidRDefault="00CC58AF" w14:paraId="0A791EB2" w14:textId="4E8073F9">
      <w:pPr>
        <w:pStyle w:val="TOC3"/>
        <w:spacing w:after="0"/>
        <w:jc w:val="both"/>
        <w:rPr>
          <w:rFonts w:eastAsiaTheme="minorEastAsia"/>
          <w:noProof/>
          <w:color w:val="auto"/>
          <w:sz w:val="24"/>
          <w:szCs w:val="24"/>
        </w:rPr>
      </w:pPr>
      <w:hyperlink w:history="1" w:anchor="_Toc60042612">
        <w:r w:rsidRPr="005D7E20" w:rsidR="007951C2">
          <w:rPr>
            <w:rStyle w:val="Hyperlink"/>
            <w:noProof/>
            <w:sz w:val="24"/>
            <w:szCs w:val="24"/>
          </w:rPr>
          <w:t>1.8</w:t>
        </w:r>
        <w:r w:rsidRPr="005D7E20" w:rsidR="007951C2">
          <w:rPr>
            <w:rFonts w:eastAsiaTheme="minorEastAsia"/>
            <w:noProof/>
            <w:color w:val="auto"/>
            <w:sz w:val="24"/>
            <w:szCs w:val="24"/>
          </w:rPr>
          <w:tab/>
        </w:r>
        <w:r w:rsidRPr="005D7E20" w:rsidR="007951C2">
          <w:rPr>
            <w:rStyle w:val="Hyperlink"/>
            <w:noProof/>
            <w:sz w:val="24"/>
            <w:szCs w:val="24"/>
          </w:rPr>
          <w:t>Reporting Requirements</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_Toc60042612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9</w:t>
        </w:r>
        <w:r w:rsidRPr="005D7E20" w:rsidR="007951C2">
          <w:rPr>
            <w:noProof/>
            <w:webHidden/>
            <w:sz w:val="24"/>
            <w:szCs w:val="24"/>
          </w:rPr>
          <w:fldChar w:fldCharType="end"/>
        </w:r>
      </w:hyperlink>
    </w:p>
    <w:p w:rsidRPr="005D7E20" w:rsidR="007951C2" w:rsidP="00FD59B7" w:rsidRDefault="00CC58AF" w14:paraId="639B3E32" w14:textId="70EA8D2E">
      <w:pPr>
        <w:pStyle w:val="TOC3"/>
        <w:tabs>
          <w:tab w:val="left" w:pos="2218"/>
        </w:tabs>
        <w:spacing w:after="0"/>
        <w:jc w:val="both"/>
        <w:rPr>
          <w:rFonts w:eastAsiaTheme="minorEastAsia"/>
          <w:noProof/>
          <w:color w:val="auto"/>
          <w:sz w:val="24"/>
          <w:szCs w:val="24"/>
        </w:rPr>
      </w:pPr>
      <w:hyperlink w:history="1" w:anchor="_Toc60042613">
        <w:r w:rsidRPr="005D7E20" w:rsidR="007951C2">
          <w:rPr>
            <w:rStyle w:val="Hyperlink"/>
            <w:noProof/>
            <w:sz w:val="24"/>
            <w:szCs w:val="24"/>
          </w:rPr>
          <w:t>Program/Fiscal Report</w:t>
        </w:r>
        <w:r w:rsidRPr="005D7E20" w:rsidR="007951C2">
          <w:rPr>
            <w:rFonts w:eastAsiaTheme="minorEastAsia"/>
            <w:noProof/>
            <w:color w:val="auto"/>
            <w:sz w:val="24"/>
            <w:szCs w:val="24"/>
          </w:rPr>
          <w:tab/>
        </w:r>
        <w:r w:rsidRPr="005D7E20" w:rsidR="007951C2">
          <w:rPr>
            <w:rStyle w:val="Hyperlink"/>
            <w:noProof/>
            <w:sz w:val="24"/>
            <w:szCs w:val="24"/>
          </w:rPr>
          <w:t>Quarterly Reporting Period   Due Date</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_Toc60042613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9</w:t>
        </w:r>
        <w:r w:rsidRPr="005D7E20" w:rsidR="007951C2">
          <w:rPr>
            <w:noProof/>
            <w:webHidden/>
            <w:sz w:val="24"/>
            <w:szCs w:val="24"/>
          </w:rPr>
          <w:fldChar w:fldCharType="end"/>
        </w:r>
      </w:hyperlink>
    </w:p>
    <w:p w:rsidRPr="005D7E20" w:rsidR="007951C2" w:rsidP="00FD59B7" w:rsidRDefault="00CC58AF" w14:paraId="55ADF275" w14:textId="6F88C2B1">
      <w:pPr>
        <w:pStyle w:val="TOC3"/>
        <w:spacing w:after="0"/>
        <w:jc w:val="both"/>
        <w:rPr>
          <w:rFonts w:eastAsiaTheme="minorEastAsia"/>
          <w:noProof/>
          <w:color w:val="auto"/>
          <w:sz w:val="24"/>
          <w:szCs w:val="24"/>
        </w:rPr>
      </w:pPr>
      <w:hyperlink w:history="1" w:anchor="_Toc60042614">
        <w:r w:rsidRPr="005D7E20" w:rsidR="007951C2">
          <w:rPr>
            <w:rStyle w:val="Hyperlink"/>
            <w:noProof/>
            <w:sz w:val="24"/>
            <w:szCs w:val="24"/>
          </w:rPr>
          <w:t>1.9</w:t>
        </w:r>
        <w:r w:rsidRPr="005D7E20" w:rsidR="007951C2">
          <w:rPr>
            <w:rFonts w:eastAsiaTheme="minorEastAsia"/>
            <w:noProof/>
            <w:color w:val="auto"/>
            <w:sz w:val="24"/>
            <w:szCs w:val="24"/>
          </w:rPr>
          <w:tab/>
        </w:r>
        <w:r w:rsidRPr="005D7E20" w:rsidR="007951C2">
          <w:rPr>
            <w:rStyle w:val="Hyperlink"/>
            <w:noProof/>
            <w:sz w:val="24"/>
            <w:szCs w:val="24"/>
          </w:rPr>
          <w:t>Assessment of Statewide Program Results</w:t>
        </w:r>
        <w:r w:rsidRPr="005D7E20" w:rsidR="007951C2">
          <w:rPr>
            <w:noProof/>
            <w:webHidden/>
            <w:sz w:val="24"/>
            <w:szCs w:val="24"/>
          </w:rPr>
          <w:tab/>
        </w:r>
      </w:hyperlink>
      <w:r w:rsidR="00861BBA">
        <w:rPr>
          <w:noProof/>
          <w:sz w:val="24"/>
          <w:szCs w:val="24"/>
        </w:rPr>
        <w:t>10</w:t>
      </w:r>
    </w:p>
    <w:p w:rsidRPr="005D7E20" w:rsidR="007951C2" w:rsidP="00FD59B7" w:rsidRDefault="00CC58AF" w14:paraId="0D3B5ABC" w14:textId="3D69A995">
      <w:pPr>
        <w:pStyle w:val="TOC3"/>
        <w:spacing w:after="0"/>
        <w:jc w:val="both"/>
        <w:rPr>
          <w:rFonts w:eastAsiaTheme="minorEastAsia"/>
          <w:noProof/>
          <w:color w:val="auto"/>
          <w:sz w:val="24"/>
          <w:szCs w:val="24"/>
        </w:rPr>
      </w:pPr>
      <w:hyperlink w:history="1" w:anchor="_Toc60042615">
        <w:r w:rsidRPr="005D7E20" w:rsidR="007951C2">
          <w:rPr>
            <w:rStyle w:val="Hyperlink"/>
            <w:noProof/>
            <w:sz w:val="24"/>
            <w:szCs w:val="24"/>
          </w:rPr>
          <w:t>1.10</w:t>
        </w:r>
        <w:r w:rsidRPr="005D7E20" w:rsidR="007951C2">
          <w:rPr>
            <w:rFonts w:eastAsiaTheme="minorEastAsia"/>
            <w:noProof/>
            <w:color w:val="auto"/>
            <w:sz w:val="24"/>
            <w:szCs w:val="24"/>
          </w:rPr>
          <w:tab/>
        </w:r>
        <w:r w:rsidRPr="005D7E20" w:rsidR="007951C2">
          <w:rPr>
            <w:rStyle w:val="Hyperlink"/>
            <w:noProof/>
            <w:sz w:val="24"/>
            <w:szCs w:val="24"/>
          </w:rPr>
          <w:t>Reimbursement Requests</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_Toc60042615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10</w:t>
        </w:r>
        <w:r w:rsidRPr="005D7E20" w:rsidR="007951C2">
          <w:rPr>
            <w:noProof/>
            <w:webHidden/>
            <w:sz w:val="24"/>
            <w:szCs w:val="24"/>
          </w:rPr>
          <w:fldChar w:fldCharType="end"/>
        </w:r>
      </w:hyperlink>
    </w:p>
    <w:p w:rsidRPr="005D7E20" w:rsidR="007951C2" w:rsidP="00FD59B7" w:rsidRDefault="00CC58AF" w14:paraId="391484D0" w14:textId="5CC23F3A">
      <w:pPr>
        <w:pStyle w:val="TOC2"/>
        <w:tabs>
          <w:tab w:val="right" w:leader="dot" w:pos="9350"/>
        </w:tabs>
        <w:spacing w:after="0"/>
        <w:jc w:val="both"/>
        <w:rPr>
          <w:rFonts w:eastAsiaTheme="minorEastAsia"/>
          <w:noProof/>
          <w:color w:val="auto"/>
          <w:sz w:val="24"/>
          <w:szCs w:val="24"/>
        </w:rPr>
      </w:pPr>
      <w:hyperlink w:history="1" w:anchor="_Toc60042616">
        <w:r w:rsidRPr="005D7E20" w:rsidR="007951C2">
          <w:rPr>
            <w:rStyle w:val="Hyperlink"/>
            <w:noProof/>
            <w:sz w:val="24"/>
            <w:szCs w:val="24"/>
          </w:rPr>
          <w:t>Section 2: Project Guidelines</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_Toc60042616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1</w:t>
        </w:r>
        <w:r w:rsidRPr="005D7E20" w:rsidR="007951C2">
          <w:rPr>
            <w:noProof/>
            <w:webHidden/>
            <w:sz w:val="24"/>
            <w:szCs w:val="24"/>
          </w:rPr>
          <w:fldChar w:fldCharType="end"/>
        </w:r>
      </w:hyperlink>
      <w:r w:rsidRPr="005D7E20" w:rsidR="00F916F4">
        <w:rPr>
          <w:noProof/>
          <w:sz w:val="24"/>
          <w:szCs w:val="24"/>
        </w:rPr>
        <w:t>2</w:t>
      </w:r>
    </w:p>
    <w:p w:rsidRPr="005D7E20" w:rsidR="007951C2" w:rsidP="00FD59B7" w:rsidRDefault="00CC58AF" w14:paraId="6337E0F9" w14:textId="6764DD30">
      <w:pPr>
        <w:pStyle w:val="TOC3"/>
        <w:spacing w:after="0"/>
        <w:jc w:val="both"/>
        <w:rPr>
          <w:rFonts w:eastAsiaTheme="minorEastAsia"/>
          <w:noProof/>
          <w:color w:val="auto"/>
          <w:sz w:val="24"/>
          <w:szCs w:val="24"/>
        </w:rPr>
      </w:pPr>
      <w:hyperlink w:history="1" w:anchor="_Toc60042618">
        <w:r w:rsidRPr="005D7E20" w:rsidR="007951C2">
          <w:rPr>
            <w:rStyle w:val="Hyperlink"/>
            <w:noProof/>
            <w:sz w:val="24"/>
            <w:szCs w:val="24"/>
          </w:rPr>
          <w:t>2.1</w:t>
        </w:r>
        <w:r w:rsidRPr="005D7E20" w:rsidR="007951C2">
          <w:rPr>
            <w:rFonts w:eastAsiaTheme="minorEastAsia"/>
            <w:noProof/>
            <w:color w:val="auto"/>
            <w:sz w:val="24"/>
            <w:szCs w:val="24"/>
          </w:rPr>
          <w:tab/>
        </w:r>
        <w:r w:rsidRPr="005D7E20" w:rsidR="007951C2">
          <w:rPr>
            <w:rStyle w:val="Hyperlink"/>
            <w:noProof/>
            <w:sz w:val="24"/>
            <w:szCs w:val="24"/>
          </w:rPr>
          <w:t>Project Design Considerations</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_Toc60042618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1</w:t>
        </w:r>
        <w:r w:rsidRPr="005D7E20" w:rsidR="007951C2">
          <w:rPr>
            <w:noProof/>
            <w:webHidden/>
            <w:sz w:val="24"/>
            <w:szCs w:val="24"/>
          </w:rPr>
          <w:fldChar w:fldCharType="end"/>
        </w:r>
      </w:hyperlink>
      <w:r w:rsidRPr="005D7E20" w:rsidR="00F916F4">
        <w:rPr>
          <w:noProof/>
          <w:sz w:val="24"/>
          <w:szCs w:val="24"/>
        </w:rPr>
        <w:t>2</w:t>
      </w:r>
    </w:p>
    <w:p w:rsidRPr="005D7E20" w:rsidR="007951C2" w:rsidP="00FD59B7" w:rsidRDefault="00CC58AF" w14:paraId="71BEA03F" w14:textId="75786126">
      <w:pPr>
        <w:pStyle w:val="TOC3"/>
        <w:spacing w:after="0"/>
        <w:jc w:val="both"/>
        <w:rPr>
          <w:rFonts w:eastAsiaTheme="minorEastAsia"/>
          <w:noProof/>
          <w:color w:val="auto"/>
          <w:sz w:val="24"/>
          <w:szCs w:val="24"/>
        </w:rPr>
      </w:pPr>
      <w:hyperlink w:history="1" w:anchor="_Toc60042619">
        <w:r w:rsidRPr="005D7E20" w:rsidR="007951C2">
          <w:rPr>
            <w:rStyle w:val="Hyperlink"/>
            <w:noProof/>
            <w:sz w:val="24"/>
            <w:szCs w:val="24"/>
          </w:rPr>
          <w:t>2.2</w:t>
        </w:r>
        <w:r w:rsidRPr="005D7E20" w:rsidR="007951C2">
          <w:rPr>
            <w:rFonts w:eastAsiaTheme="minorEastAsia"/>
            <w:noProof/>
            <w:color w:val="auto"/>
            <w:sz w:val="24"/>
            <w:szCs w:val="24"/>
          </w:rPr>
          <w:tab/>
        </w:r>
        <w:r w:rsidRPr="005D7E20" w:rsidR="007951C2">
          <w:rPr>
            <w:rStyle w:val="Hyperlink"/>
            <w:bCs/>
            <w:noProof/>
            <w:sz w:val="24"/>
            <w:szCs w:val="24"/>
          </w:rPr>
          <w:t>Project Requirements</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_Toc60042619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1</w:t>
        </w:r>
        <w:r w:rsidRPr="005D7E20" w:rsidR="007951C2">
          <w:rPr>
            <w:noProof/>
            <w:webHidden/>
            <w:sz w:val="24"/>
            <w:szCs w:val="24"/>
          </w:rPr>
          <w:fldChar w:fldCharType="end"/>
        </w:r>
      </w:hyperlink>
      <w:r w:rsidRPr="005D7E20" w:rsidR="00F916F4">
        <w:rPr>
          <w:noProof/>
          <w:sz w:val="24"/>
          <w:szCs w:val="24"/>
        </w:rPr>
        <w:t>3</w:t>
      </w:r>
    </w:p>
    <w:p w:rsidRPr="005D7E20" w:rsidR="007951C2" w:rsidP="00FD59B7" w:rsidRDefault="00CC58AF" w14:paraId="39169164" w14:textId="30343F2F">
      <w:pPr>
        <w:pStyle w:val="TOC3"/>
        <w:spacing w:after="0"/>
        <w:jc w:val="both"/>
        <w:rPr>
          <w:rFonts w:eastAsiaTheme="minorEastAsia"/>
          <w:noProof/>
          <w:color w:val="auto"/>
          <w:sz w:val="24"/>
          <w:szCs w:val="24"/>
        </w:rPr>
      </w:pPr>
      <w:hyperlink w:history="1" w:anchor="_Toc60042620">
        <w:r w:rsidRPr="005D7E20" w:rsidR="007951C2">
          <w:rPr>
            <w:rStyle w:val="Hyperlink"/>
            <w:noProof/>
            <w:sz w:val="24"/>
            <w:szCs w:val="24"/>
          </w:rPr>
          <w:t>2.3</w:t>
        </w:r>
        <w:r w:rsidRPr="005D7E20" w:rsidR="007951C2">
          <w:rPr>
            <w:rFonts w:eastAsiaTheme="minorEastAsia"/>
            <w:noProof/>
            <w:color w:val="auto"/>
            <w:sz w:val="24"/>
            <w:szCs w:val="24"/>
          </w:rPr>
          <w:tab/>
        </w:r>
        <w:r w:rsidRPr="005D7E20" w:rsidR="007951C2">
          <w:rPr>
            <w:rStyle w:val="Hyperlink"/>
            <w:noProof/>
            <w:sz w:val="24"/>
            <w:szCs w:val="24"/>
          </w:rPr>
          <w:t>Budget Design Considerations</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_Toc60042620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1</w:t>
        </w:r>
        <w:r w:rsidRPr="005D7E20" w:rsidR="007951C2">
          <w:rPr>
            <w:noProof/>
            <w:webHidden/>
            <w:sz w:val="24"/>
            <w:szCs w:val="24"/>
          </w:rPr>
          <w:fldChar w:fldCharType="end"/>
        </w:r>
      </w:hyperlink>
      <w:r w:rsidRPr="005D7E20" w:rsidR="00F916F4">
        <w:rPr>
          <w:noProof/>
          <w:sz w:val="24"/>
          <w:szCs w:val="24"/>
        </w:rPr>
        <w:t>7</w:t>
      </w:r>
    </w:p>
    <w:p w:rsidRPr="005D7E20" w:rsidR="007951C2" w:rsidP="00FD59B7" w:rsidRDefault="00CC58AF" w14:paraId="31D47096" w14:textId="4F3DAB09">
      <w:pPr>
        <w:pStyle w:val="TOC3"/>
        <w:spacing w:after="0"/>
        <w:jc w:val="both"/>
        <w:rPr>
          <w:rFonts w:eastAsiaTheme="minorEastAsia"/>
          <w:noProof/>
          <w:color w:val="auto"/>
          <w:sz w:val="24"/>
          <w:szCs w:val="24"/>
        </w:rPr>
      </w:pPr>
      <w:hyperlink w:history="1" w:anchor="_Toc60042621">
        <w:r w:rsidRPr="005D7E20" w:rsidR="007951C2">
          <w:rPr>
            <w:rStyle w:val="Hyperlink"/>
            <w:noProof/>
            <w:sz w:val="24"/>
            <w:szCs w:val="24"/>
          </w:rPr>
          <w:t>2.4</w:t>
        </w:r>
        <w:r w:rsidRPr="005D7E20" w:rsidR="007951C2">
          <w:rPr>
            <w:rFonts w:eastAsiaTheme="minorEastAsia"/>
            <w:noProof/>
            <w:color w:val="auto"/>
            <w:sz w:val="24"/>
            <w:szCs w:val="24"/>
          </w:rPr>
          <w:tab/>
        </w:r>
        <w:r w:rsidRPr="005D7E20" w:rsidR="007951C2">
          <w:rPr>
            <w:rStyle w:val="Hyperlink"/>
            <w:noProof/>
            <w:sz w:val="24"/>
            <w:szCs w:val="24"/>
          </w:rPr>
          <w:t>Budget Requirements</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_Toc60042621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1</w:t>
        </w:r>
        <w:r w:rsidRPr="005D7E20" w:rsidR="007951C2">
          <w:rPr>
            <w:noProof/>
            <w:webHidden/>
            <w:sz w:val="24"/>
            <w:szCs w:val="24"/>
          </w:rPr>
          <w:fldChar w:fldCharType="end"/>
        </w:r>
      </w:hyperlink>
      <w:r w:rsidRPr="005D7E20" w:rsidR="00F916F4">
        <w:rPr>
          <w:noProof/>
          <w:sz w:val="24"/>
          <w:szCs w:val="24"/>
        </w:rPr>
        <w:t>7</w:t>
      </w:r>
    </w:p>
    <w:p w:rsidRPr="005D7E20" w:rsidR="007951C2" w:rsidP="00FD59B7" w:rsidRDefault="00CC58AF" w14:paraId="3DEFFA5E" w14:textId="5D15C313">
      <w:pPr>
        <w:pStyle w:val="TOC2"/>
        <w:tabs>
          <w:tab w:val="right" w:leader="dot" w:pos="9350"/>
        </w:tabs>
        <w:spacing w:after="0"/>
        <w:jc w:val="both"/>
        <w:rPr>
          <w:rFonts w:eastAsiaTheme="minorEastAsia"/>
          <w:noProof/>
          <w:color w:val="auto"/>
          <w:sz w:val="24"/>
          <w:szCs w:val="24"/>
        </w:rPr>
      </w:pPr>
      <w:hyperlink w:history="1" w:anchor="_Toc60042622">
        <w:r w:rsidRPr="005D7E20" w:rsidR="007951C2">
          <w:rPr>
            <w:rStyle w:val="Hyperlink"/>
            <w:noProof/>
            <w:sz w:val="24"/>
            <w:szCs w:val="24"/>
          </w:rPr>
          <w:t>Section 3: Completing the Application</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_Toc60042622 \h </w:instrText>
        </w:r>
        <w:r w:rsidRPr="005D7E20" w:rsidR="007951C2">
          <w:rPr>
            <w:noProof/>
            <w:webHidden/>
            <w:sz w:val="24"/>
            <w:szCs w:val="24"/>
          </w:rPr>
        </w:r>
        <w:r w:rsidRPr="005D7E20" w:rsidR="007951C2">
          <w:rPr>
            <w:noProof/>
            <w:webHidden/>
            <w:sz w:val="24"/>
            <w:szCs w:val="24"/>
          </w:rPr>
          <w:fldChar w:fldCharType="separate"/>
        </w:r>
        <w:r w:rsidRPr="005D7E20" w:rsidR="003A02CB">
          <w:rPr>
            <w:noProof/>
            <w:webHidden/>
            <w:sz w:val="24"/>
            <w:szCs w:val="24"/>
          </w:rPr>
          <w:t>2</w:t>
        </w:r>
        <w:r w:rsidRPr="005D7E20" w:rsidR="007951C2">
          <w:rPr>
            <w:noProof/>
            <w:webHidden/>
            <w:sz w:val="24"/>
            <w:szCs w:val="24"/>
          </w:rPr>
          <w:fldChar w:fldCharType="end"/>
        </w:r>
      </w:hyperlink>
      <w:r w:rsidR="00F14B2F">
        <w:rPr>
          <w:noProof/>
          <w:sz w:val="24"/>
          <w:szCs w:val="24"/>
        </w:rPr>
        <w:t>1</w:t>
      </w:r>
    </w:p>
    <w:p w:rsidRPr="005D7E20" w:rsidR="007951C2" w:rsidP="00FD59B7" w:rsidRDefault="00CC58AF" w14:paraId="3A64B3C0" w14:textId="67C93608">
      <w:pPr>
        <w:pStyle w:val="TOC3"/>
        <w:spacing w:after="0"/>
        <w:jc w:val="both"/>
        <w:rPr>
          <w:rFonts w:eastAsiaTheme="minorEastAsia"/>
          <w:noProof/>
          <w:color w:val="auto"/>
          <w:sz w:val="24"/>
          <w:szCs w:val="24"/>
        </w:rPr>
      </w:pPr>
      <w:hyperlink w:history="1" w:anchor="_Toc60042624">
        <w:r w:rsidRPr="005D7E20" w:rsidR="007951C2">
          <w:rPr>
            <w:rStyle w:val="Hyperlink"/>
            <w:noProof/>
            <w:sz w:val="24"/>
            <w:szCs w:val="24"/>
          </w:rPr>
          <w:t>3.1</w:t>
        </w:r>
        <w:r w:rsidRPr="005D7E20" w:rsidR="007951C2">
          <w:rPr>
            <w:rFonts w:eastAsiaTheme="minorEastAsia"/>
            <w:noProof/>
            <w:color w:val="auto"/>
            <w:sz w:val="24"/>
            <w:szCs w:val="24"/>
          </w:rPr>
          <w:tab/>
        </w:r>
        <w:r w:rsidRPr="005D7E20" w:rsidR="007951C2">
          <w:rPr>
            <w:rStyle w:val="Hyperlink"/>
            <w:noProof/>
            <w:sz w:val="24"/>
            <w:szCs w:val="24"/>
          </w:rPr>
          <w:t>General Instructions for Applying</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_Toc60042624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2</w:t>
        </w:r>
        <w:r w:rsidRPr="005D7E20" w:rsidR="007951C2">
          <w:rPr>
            <w:noProof/>
            <w:webHidden/>
            <w:sz w:val="24"/>
            <w:szCs w:val="24"/>
          </w:rPr>
          <w:fldChar w:fldCharType="end"/>
        </w:r>
      </w:hyperlink>
      <w:r w:rsidR="00F14B2F">
        <w:rPr>
          <w:noProof/>
          <w:sz w:val="24"/>
          <w:szCs w:val="24"/>
        </w:rPr>
        <w:t>1</w:t>
      </w:r>
    </w:p>
    <w:p w:rsidRPr="005D7E20" w:rsidR="007951C2" w:rsidP="00FD59B7" w:rsidRDefault="00CC58AF" w14:paraId="4450B127" w14:textId="5A580260">
      <w:pPr>
        <w:pStyle w:val="TOC3"/>
        <w:spacing w:after="0"/>
        <w:jc w:val="both"/>
        <w:rPr>
          <w:rFonts w:eastAsiaTheme="minorEastAsia"/>
          <w:noProof/>
          <w:color w:val="auto"/>
          <w:sz w:val="24"/>
          <w:szCs w:val="24"/>
        </w:rPr>
      </w:pPr>
      <w:hyperlink w:history="1" w:anchor="_Toc60042625">
        <w:r w:rsidRPr="005D7E20" w:rsidR="007951C2">
          <w:rPr>
            <w:rStyle w:val="Hyperlink"/>
            <w:noProof/>
            <w:sz w:val="24"/>
            <w:szCs w:val="24"/>
          </w:rPr>
          <w:t>3.2</w:t>
        </w:r>
        <w:r w:rsidRPr="005D7E20" w:rsidR="007951C2">
          <w:rPr>
            <w:rFonts w:eastAsiaTheme="minorEastAsia"/>
            <w:noProof/>
            <w:color w:val="auto"/>
            <w:sz w:val="24"/>
            <w:szCs w:val="24"/>
          </w:rPr>
          <w:tab/>
        </w:r>
        <w:r w:rsidRPr="005D7E20" w:rsidR="007951C2">
          <w:rPr>
            <w:rStyle w:val="Hyperlink"/>
            <w:noProof/>
            <w:sz w:val="24"/>
            <w:szCs w:val="24"/>
          </w:rPr>
          <w:t>Review of Applications</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_Toc60042625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2</w:t>
        </w:r>
        <w:r w:rsidRPr="005D7E20" w:rsidR="007951C2">
          <w:rPr>
            <w:noProof/>
            <w:webHidden/>
            <w:sz w:val="24"/>
            <w:szCs w:val="24"/>
          </w:rPr>
          <w:fldChar w:fldCharType="end"/>
        </w:r>
      </w:hyperlink>
      <w:r w:rsidR="00F14B2F">
        <w:rPr>
          <w:noProof/>
          <w:sz w:val="24"/>
          <w:szCs w:val="24"/>
        </w:rPr>
        <w:t>1</w:t>
      </w:r>
    </w:p>
    <w:p w:rsidRPr="005D7E20" w:rsidR="007951C2" w:rsidP="00FD59B7" w:rsidRDefault="00CC58AF" w14:paraId="66A90E4A" w14:textId="7D300287">
      <w:pPr>
        <w:pStyle w:val="TOC3"/>
        <w:spacing w:after="0"/>
        <w:jc w:val="both"/>
        <w:rPr>
          <w:rFonts w:eastAsiaTheme="minorEastAsia"/>
          <w:noProof/>
          <w:color w:val="auto"/>
          <w:sz w:val="24"/>
          <w:szCs w:val="24"/>
        </w:rPr>
      </w:pPr>
      <w:hyperlink w:history="1" w:anchor="_Toc60042626">
        <w:r w:rsidRPr="005D7E20" w:rsidR="007951C2">
          <w:rPr>
            <w:rStyle w:val="Hyperlink"/>
            <w:noProof/>
            <w:sz w:val="24"/>
            <w:szCs w:val="24"/>
          </w:rPr>
          <w:t>3.3</w:t>
        </w:r>
        <w:r w:rsidRPr="005D7E20" w:rsidR="007951C2">
          <w:rPr>
            <w:rFonts w:eastAsiaTheme="minorEastAsia"/>
            <w:noProof/>
            <w:color w:val="auto"/>
            <w:sz w:val="24"/>
            <w:szCs w:val="24"/>
          </w:rPr>
          <w:tab/>
        </w:r>
        <w:r w:rsidRPr="005D7E20" w:rsidR="007951C2">
          <w:rPr>
            <w:rStyle w:val="Hyperlink"/>
            <w:noProof/>
            <w:sz w:val="24"/>
            <w:szCs w:val="24"/>
          </w:rPr>
          <w:t>Application Component Checklist</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_Toc60042626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21</w:t>
        </w:r>
        <w:r w:rsidRPr="005D7E20" w:rsidR="007951C2">
          <w:rPr>
            <w:noProof/>
            <w:webHidden/>
            <w:sz w:val="24"/>
            <w:szCs w:val="24"/>
          </w:rPr>
          <w:fldChar w:fldCharType="end"/>
        </w:r>
      </w:hyperlink>
    </w:p>
    <w:p w:rsidRPr="005D7E20" w:rsidR="007951C2" w:rsidP="00FD59B7" w:rsidRDefault="00CC58AF" w14:paraId="7E962703" w14:textId="340D7CB2">
      <w:pPr>
        <w:pStyle w:val="TOC2"/>
        <w:tabs>
          <w:tab w:val="right" w:leader="dot" w:pos="9350"/>
        </w:tabs>
        <w:spacing w:after="0"/>
        <w:jc w:val="both"/>
        <w:rPr>
          <w:rFonts w:eastAsiaTheme="minorEastAsia"/>
          <w:noProof/>
          <w:color w:val="auto"/>
          <w:sz w:val="24"/>
          <w:szCs w:val="24"/>
        </w:rPr>
      </w:pPr>
      <w:hyperlink w:history="1" w:anchor="_Toc60042627">
        <w:r w:rsidRPr="005D7E20" w:rsidR="007951C2">
          <w:rPr>
            <w:rStyle w:val="Hyperlink"/>
            <w:noProof/>
            <w:sz w:val="24"/>
            <w:szCs w:val="24"/>
          </w:rPr>
          <w:t xml:space="preserve">Appendix 1: </w:t>
        </w:r>
        <w:r w:rsidRPr="005D7E20" w:rsidR="00C95198">
          <w:rPr>
            <w:rStyle w:val="Hyperlink"/>
            <w:noProof/>
            <w:sz w:val="24"/>
            <w:szCs w:val="24"/>
          </w:rPr>
          <w:t>Audit Information</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_Toc60042627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2</w:t>
        </w:r>
        <w:r w:rsidRPr="005D7E20" w:rsidR="007951C2">
          <w:rPr>
            <w:noProof/>
            <w:webHidden/>
            <w:sz w:val="24"/>
            <w:szCs w:val="24"/>
          </w:rPr>
          <w:fldChar w:fldCharType="end"/>
        </w:r>
      </w:hyperlink>
      <w:r w:rsidR="00F103CA">
        <w:rPr>
          <w:noProof/>
          <w:sz w:val="24"/>
          <w:szCs w:val="24"/>
        </w:rPr>
        <w:t>3</w:t>
      </w:r>
    </w:p>
    <w:p w:rsidRPr="005D7E20" w:rsidR="007951C2" w:rsidP="00FD59B7" w:rsidRDefault="00CC58AF" w14:paraId="6163A123" w14:textId="36B6DF86">
      <w:pPr>
        <w:pStyle w:val="TOC2"/>
        <w:tabs>
          <w:tab w:val="right" w:leader="dot" w:pos="9350"/>
        </w:tabs>
        <w:spacing w:after="0"/>
        <w:jc w:val="both"/>
        <w:rPr>
          <w:rFonts w:eastAsiaTheme="minorEastAsia"/>
          <w:noProof/>
          <w:color w:val="auto"/>
          <w:sz w:val="24"/>
          <w:szCs w:val="24"/>
        </w:rPr>
      </w:pPr>
      <w:hyperlink w:history="1" w:anchor="_Toc60042628">
        <w:r w:rsidRPr="005D7E20" w:rsidR="007951C2">
          <w:rPr>
            <w:rStyle w:val="Hyperlink"/>
            <w:noProof/>
            <w:sz w:val="24"/>
            <w:szCs w:val="24"/>
          </w:rPr>
          <w:t xml:space="preserve">Appendix </w:t>
        </w:r>
        <w:r w:rsidRPr="005D7E20" w:rsidR="00D762AD">
          <w:rPr>
            <w:rStyle w:val="Hyperlink"/>
            <w:noProof/>
            <w:sz w:val="24"/>
            <w:szCs w:val="24"/>
          </w:rPr>
          <w:t>2</w:t>
        </w:r>
        <w:r w:rsidRPr="005D7E20" w:rsidR="007951C2">
          <w:rPr>
            <w:rStyle w:val="Hyperlink"/>
            <w:noProof/>
            <w:sz w:val="24"/>
            <w:szCs w:val="24"/>
          </w:rPr>
          <w:t xml:space="preserve">: </w:t>
        </w:r>
        <w:r w:rsidRPr="005D7E20" w:rsidR="00D762AD">
          <w:rPr>
            <w:rStyle w:val="Hyperlink"/>
            <w:noProof/>
            <w:sz w:val="24"/>
            <w:szCs w:val="24"/>
          </w:rPr>
          <w:t>State Mandated Goals and Objectives</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_Toc60042628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2</w:t>
        </w:r>
        <w:r w:rsidRPr="005D7E20" w:rsidR="007951C2">
          <w:rPr>
            <w:noProof/>
            <w:webHidden/>
            <w:sz w:val="24"/>
            <w:szCs w:val="24"/>
          </w:rPr>
          <w:fldChar w:fldCharType="end"/>
        </w:r>
      </w:hyperlink>
      <w:r w:rsidR="00F103CA">
        <w:rPr>
          <w:noProof/>
          <w:sz w:val="24"/>
          <w:szCs w:val="24"/>
        </w:rPr>
        <w:t>4</w:t>
      </w:r>
    </w:p>
    <w:p w:rsidRPr="005D7E20" w:rsidR="007951C2" w:rsidP="00031835" w:rsidRDefault="00CC58AF" w14:paraId="169D5A68" w14:textId="35E371BE">
      <w:pPr>
        <w:pStyle w:val="TOC2"/>
        <w:tabs>
          <w:tab w:val="right" w:leader="dot" w:pos="9350"/>
        </w:tabs>
        <w:spacing w:after="0"/>
        <w:jc w:val="both"/>
        <w:rPr>
          <w:rFonts w:eastAsiaTheme="minorEastAsia"/>
          <w:noProof/>
          <w:color w:val="auto"/>
          <w:sz w:val="24"/>
          <w:szCs w:val="24"/>
        </w:rPr>
      </w:pPr>
      <w:hyperlink w:history="1" w:anchor="_Toc60042629">
        <w:r w:rsidRPr="005D7E20" w:rsidR="007951C2">
          <w:rPr>
            <w:rStyle w:val="Hyperlink"/>
            <w:noProof/>
            <w:sz w:val="24"/>
            <w:szCs w:val="24"/>
          </w:rPr>
          <w:t xml:space="preserve">Appendix </w:t>
        </w:r>
        <w:r w:rsidRPr="005D7E20" w:rsidR="00D762AD">
          <w:rPr>
            <w:rStyle w:val="Hyperlink"/>
            <w:noProof/>
            <w:sz w:val="24"/>
            <w:szCs w:val="24"/>
          </w:rPr>
          <w:t>3</w:t>
        </w:r>
        <w:r w:rsidRPr="005D7E20" w:rsidR="007951C2">
          <w:rPr>
            <w:rStyle w:val="Hyperlink"/>
            <w:noProof/>
            <w:sz w:val="24"/>
            <w:szCs w:val="24"/>
          </w:rPr>
          <w:t xml:space="preserve">: </w:t>
        </w:r>
        <w:r w:rsidRPr="005D7E20" w:rsidR="00D762AD">
          <w:rPr>
            <w:rStyle w:val="Hyperlink"/>
            <w:noProof/>
            <w:sz w:val="24"/>
            <w:szCs w:val="24"/>
          </w:rPr>
          <w:t>Budget Development Instructions</w:t>
        </w:r>
        <w:r w:rsidRPr="005D7E20" w:rsidR="007951C2">
          <w:rPr>
            <w:noProof/>
            <w:webHidden/>
            <w:sz w:val="24"/>
            <w:szCs w:val="24"/>
          </w:rPr>
          <w:tab/>
        </w:r>
        <w:r w:rsidRPr="005D7E20" w:rsidR="007951C2">
          <w:rPr>
            <w:noProof/>
            <w:webHidden/>
            <w:sz w:val="24"/>
            <w:szCs w:val="24"/>
          </w:rPr>
          <w:fldChar w:fldCharType="begin"/>
        </w:r>
        <w:r w:rsidRPr="005D7E20" w:rsidR="007951C2">
          <w:rPr>
            <w:noProof/>
            <w:webHidden/>
            <w:sz w:val="24"/>
            <w:szCs w:val="24"/>
          </w:rPr>
          <w:instrText xml:space="preserve"> PAGEREF _Toc60042629 \h </w:instrText>
        </w:r>
        <w:r w:rsidRPr="005D7E20" w:rsidR="007951C2">
          <w:rPr>
            <w:noProof/>
            <w:webHidden/>
            <w:sz w:val="24"/>
            <w:szCs w:val="24"/>
          </w:rPr>
        </w:r>
        <w:r w:rsidRPr="005D7E20" w:rsidR="007951C2">
          <w:rPr>
            <w:noProof/>
            <w:webHidden/>
            <w:sz w:val="24"/>
            <w:szCs w:val="24"/>
          </w:rPr>
          <w:fldChar w:fldCharType="separate"/>
        </w:r>
        <w:r w:rsidRPr="005D7E20" w:rsidR="00375602">
          <w:rPr>
            <w:noProof/>
            <w:webHidden/>
            <w:sz w:val="24"/>
            <w:szCs w:val="24"/>
          </w:rPr>
          <w:t>2</w:t>
        </w:r>
        <w:r w:rsidRPr="005D7E20" w:rsidR="007951C2">
          <w:rPr>
            <w:noProof/>
            <w:webHidden/>
            <w:sz w:val="24"/>
            <w:szCs w:val="24"/>
          </w:rPr>
          <w:fldChar w:fldCharType="end"/>
        </w:r>
      </w:hyperlink>
      <w:r w:rsidR="00F103CA">
        <w:rPr>
          <w:noProof/>
          <w:sz w:val="24"/>
          <w:szCs w:val="24"/>
        </w:rPr>
        <w:t>5</w:t>
      </w:r>
    </w:p>
    <w:p w:rsidRPr="005D7E20" w:rsidR="007951C2" w:rsidP="00FD59B7" w:rsidRDefault="00CC58AF" w14:paraId="2DA1F617" w14:textId="29E7FCA4">
      <w:pPr>
        <w:pStyle w:val="TOC2"/>
        <w:tabs>
          <w:tab w:val="right" w:leader="dot" w:pos="9350"/>
        </w:tabs>
        <w:spacing w:after="0"/>
        <w:jc w:val="both"/>
        <w:rPr>
          <w:rFonts w:eastAsiaTheme="minorEastAsia"/>
          <w:noProof/>
          <w:color w:val="auto"/>
          <w:sz w:val="24"/>
          <w:szCs w:val="24"/>
        </w:rPr>
      </w:pPr>
      <w:hyperlink w:history="1" w:anchor="_Toc60042634">
        <w:r w:rsidRPr="005D7E20" w:rsidR="007951C2">
          <w:rPr>
            <w:rStyle w:val="Hyperlink"/>
            <w:noProof/>
            <w:sz w:val="24"/>
            <w:szCs w:val="24"/>
          </w:rPr>
          <w:t xml:space="preserve">Appendix </w:t>
        </w:r>
        <w:r w:rsidRPr="005D7E20" w:rsidR="00031835">
          <w:rPr>
            <w:rStyle w:val="Hyperlink"/>
            <w:noProof/>
            <w:sz w:val="24"/>
            <w:szCs w:val="24"/>
          </w:rPr>
          <w:t>4</w:t>
        </w:r>
        <w:r w:rsidRPr="005D7E20" w:rsidR="007951C2">
          <w:rPr>
            <w:rStyle w:val="Hyperlink"/>
            <w:noProof/>
            <w:sz w:val="24"/>
            <w:szCs w:val="24"/>
          </w:rPr>
          <w:t>: Electronic Web-Enabled Grants System (EWEG) Tips</w:t>
        </w:r>
        <w:r w:rsidRPr="005D7E20" w:rsidR="007951C2">
          <w:rPr>
            <w:noProof/>
            <w:webHidden/>
            <w:sz w:val="24"/>
            <w:szCs w:val="24"/>
          </w:rPr>
          <w:tab/>
        </w:r>
        <w:r w:rsidRPr="005D7E20" w:rsidR="00031835">
          <w:rPr>
            <w:noProof/>
            <w:webHidden/>
            <w:sz w:val="24"/>
            <w:szCs w:val="24"/>
          </w:rPr>
          <w:t>2</w:t>
        </w:r>
      </w:hyperlink>
      <w:r w:rsidR="00F103CA">
        <w:rPr>
          <w:noProof/>
          <w:sz w:val="24"/>
          <w:szCs w:val="24"/>
        </w:rPr>
        <w:t>6</w:t>
      </w:r>
    </w:p>
    <w:p w:rsidRPr="005D7E20" w:rsidR="00FD59B7" w:rsidP="00FD59B7" w:rsidRDefault="004745E9" w14:paraId="3E02AB77" w14:textId="6E26F124">
      <w:pPr>
        <w:spacing w:after="0"/>
        <w:jc w:val="both"/>
        <w:rPr>
          <w:sz w:val="24"/>
          <w:szCs w:val="24"/>
        </w:rPr>
      </w:pPr>
      <w:r w:rsidRPr="005D7E20">
        <w:rPr>
          <w:sz w:val="24"/>
          <w:szCs w:val="24"/>
        </w:rPr>
        <w:fldChar w:fldCharType="end"/>
      </w:r>
      <w:bookmarkStart w:name="_Toc60042604" w:id="8"/>
    </w:p>
    <w:p w:rsidRPr="005D7E20" w:rsidR="00031835" w:rsidP="00FD59B7" w:rsidRDefault="00031835" w14:paraId="74249923" w14:textId="77777777">
      <w:pPr>
        <w:spacing w:after="0"/>
        <w:jc w:val="both"/>
        <w:rPr>
          <w:sz w:val="24"/>
          <w:szCs w:val="24"/>
        </w:rPr>
      </w:pPr>
    </w:p>
    <w:p w:rsidRPr="005D7E20" w:rsidR="00FD59B7" w:rsidP="00FD59B7" w:rsidRDefault="00FD59B7" w14:paraId="22D25286" w14:textId="77777777">
      <w:pPr>
        <w:spacing w:after="0"/>
        <w:jc w:val="both"/>
        <w:rPr>
          <w:b/>
          <w:sz w:val="24"/>
          <w:szCs w:val="24"/>
        </w:rPr>
      </w:pPr>
    </w:p>
    <w:p w:rsidRPr="005D7E20" w:rsidR="00B47D56" w:rsidP="007F7083" w:rsidRDefault="00336E67" w14:paraId="2D31E44A" w14:textId="2B7837D5">
      <w:pPr>
        <w:pStyle w:val="Heading2"/>
        <w:jc w:val="left"/>
        <w:rPr>
          <w:b w:val="0"/>
          <w:sz w:val="24"/>
          <w:szCs w:val="24"/>
        </w:rPr>
      </w:pPr>
      <w:r w:rsidRPr="005D7E20">
        <w:rPr>
          <w:b w:val="0"/>
          <w:sz w:val="24"/>
          <w:szCs w:val="24"/>
        </w:rPr>
        <w:lastRenderedPageBreak/>
        <w:t>Section 1: Grant Program Information</w:t>
      </w:r>
      <w:bookmarkEnd w:id="8"/>
    </w:p>
    <w:p w:rsidRPr="005D7E20" w:rsidR="00B47D56" w:rsidP="007F7083" w:rsidRDefault="00336E67" w14:paraId="6E0FB4C2" w14:textId="77777777">
      <w:pPr>
        <w:pStyle w:val="Heading2"/>
        <w:jc w:val="left"/>
        <w:rPr>
          <w:b w:val="0"/>
          <w:color w:val="44546A" w:themeColor="text2"/>
          <w:sz w:val="24"/>
          <w:szCs w:val="24"/>
        </w:rPr>
      </w:pPr>
      <w:bookmarkStart w:name="_Toc60042605" w:id="9"/>
      <w:r w:rsidRPr="005D7E20">
        <w:rPr>
          <w:b w:val="0"/>
          <w:color w:val="44546A" w:themeColor="text2"/>
          <w:sz w:val="24"/>
          <w:szCs w:val="24"/>
        </w:rPr>
        <w:t>Description of the Grant Program</w:t>
      </w:r>
      <w:bookmarkEnd w:id="9"/>
    </w:p>
    <w:p w:rsidRPr="005D7E20" w:rsidR="003E354D" w:rsidP="003E354D" w:rsidRDefault="003E354D" w14:paraId="2A18E1F3" w14:textId="1EF305E3">
      <w:pPr>
        <w:spacing w:after="240"/>
        <w:rPr>
          <w:sz w:val="24"/>
          <w:szCs w:val="24"/>
        </w:rPr>
      </w:pPr>
      <w:r w:rsidRPr="005D7E20">
        <w:rPr>
          <w:sz w:val="24"/>
          <w:szCs w:val="24"/>
        </w:rPr>
        <w:t>The Nita M. Lowey 21</w:t>
      </w:r>
      <w:r w:rsidRPr="005D7E20">
        <w:rPr>
          <w:sz w:val="24"/>
          <w:szCs w:val="24"/>
          <w:vertAlign w:val="superscript"/>
        </w:rPr>
        <w:t>st</w:t>
      </w:r>
      <w:r w:rsidRPr="005D7E20">
        <w:rPr>
          <w:sz w:val="24"/>
          <w:szCs w:val="24"/>
        </w:rPr>
        <w:t xml:space="preserve"> Century Community Learning Centers (21</w:t>
      </w:r>
      <w:r w:rsidRPr="005D7E20">
        <w:rPr>
          <w:sz w:val="24"/>
          <w:szCs w:val="24"/>
          <w:vertAlign w:val="superscript"/>
        </w:rPr>
        <w:t>st</w:t>
      </w:r>
      <w:r w:rsidRPr="005D7E20">
        <w:rPr>
          <w:sz w:val="24"/>
          <w:szCs w:val="24"/>
        </w:rPr>
        <w:t xml:space="preserve"> CCLC) Training and Technical Assistance project federally-funded under Title IV, Part B, of the </w:t>
      </w:r>
      <w:r w:rsidRPr="005D7E20">
        <w:rPr>
          <w:i/>
          <w:color w:val="030A13"/>
          <w:sz w:val="24"/>
          <w:szCs w:val="24"/>
          <w:shd w:val="clear" w:color="auto" w:fill="FFFFFF"/>
        </w:rPr>
        <w:t>Every Student Succeeds Act (ESSA)</w:t>
      </w:r>
      <w:r w:rsidRPr="005D7E20">
        <w:rPr>
          <w:sz w:val="24"/>
          <w:szCs w:val="24"/>
        </w:rPr>
        <w:t xml:space="preserve"> will provide $1</w:t>
      </w:r>
      <w:r w:rsidRPr="005D7E20" w:rsidR="00DB2461">
        <w:rPr>
          <w:sz w:val="24"/>
          <w:szCs w:val="24"/>
        </w:rPr>
        <w:t>7</w:t>
      </w:r>
      <w:r w:rsidRPr="005D7E20">
        <w:rPr>
          <w:sz w:val="24"/>
          <w:szCs w:val="24"/>
        </w:rPr>
        <w:t xml:space="preserve">0,000 for a 12-month period to the grantee. The purpose is to provide statewide training and technical assistance to improve the quality of out-of-school time (OST) programming and build the capacity of program staff </w:t>
      </w:r>
      <w:r w:rsidRPr="005D7E20" w:rsidR="00375108">
        <w:rPr>
          <w:sz w:val="24"/>
          <w:szCs w:val="24"/>
        </w:rPr>
        <w:t>of</w:t>
      </w:r>
      <w:r w:rsidRPr="005D7E20">
        <w:rPr>
          <w:sz w:val="24"/>
          <w:szCs w:val="24"/>
        </w:rPr>
        <w:t xml:space="preserve"> approximately 6</w:t>
      </w:r>
      <w:r w:rsidRPr="005D7E20" w:rsidR="0029467A">
        <w:rPr>
          <w:sz w:val="24"/>
          <w:szCs w:val="24"/>
        </w:rPr>
        <w:t>2</w:t>
      </w:r>
      <w:r w:rsidRPr="005D7E20">
        <w:rPr>
          <w:sz w:val="24"/>
          <w:szCs w:val="24"/>
        </w:rPr>
        <w:t xml:space="preserve"> Nita M. Lowey 21st CCLC grantees commencing September 1, 202</w:t>
      </w:r>
      <w:r w:rsidRPr="005D7E20" w:rsidR="0029467A">
        <w:rPr>
          <w:sz w:val="24"/>
          <w:szCs w:val="24"/>
        </w:rPr>
        <w:t>2</w:t>
      </w:r>
      <w:r w:rsidRPr="005D7E20">
        <w:rPr>
          <w:sz w:val="24"/>
          <w:szCs w:val="24"/>
        </w:rPr>
        <w:t>. OST includes before-school, afterschool and summer enrichment programs.</w:t>
      </w:r>
      <w:r w:rsidRPr="005D7E20" w:rsidR="00DD5236">
        <w:rPr>
          <w:sz w:val="24"/>
          <w:szCs w:val="24"/>
        </w:rPr>
        <w:t xml:space="preserve"> </w:t>
      </w:r>
      <w:r w:rsidRPr="005D7E20">
        <w:rPr>
          <w:sz w:val="24"/>
          <w:szCs w:val="24"/>
        </w:rPr>
        <w:t xml:space="preserve">Additionally, to increase the number of quality afterschool programs throughout the state, the grantee will also provide statewide training to other entities in New Jersey eligible to apply for a 21st CCLC grant. </w:t>
      </w:r>
    </w:p>
    <w:p w:rsidRPr="005D7E20" w:rsidR="003E354D" w:rsidP="003E354D" w:rsidRDefault="003E354D" w14:paraId="1378D2D2" w14:textId="6467C40F">
      <w:pPr>
        <w:spacing w:after="240"/>
        <w:rPr>
          <w:sz w:val="24"/>
          <w:szCs w:val="24"/>
        </w:rPr>
      </w:pPr>
      <w:r w:rsidRPr="005D7E20">
        <w:rPr>
          <w:sz w:val="24"/>
          <w:szCs w:val="24"/>
        </w:rPr>
        <w:t xml:space="preserve">The grantee will be required to fulfill the following: </w:t>
      </w:r>
    </w:p>
    <w:p w:rsidRPr="005D7E20" w:rsidR="003E354D" w:rsidP="003E354D" w:rsidRDefault="003E354D" w14:paraId="1D3C72EC"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Design and provide training and technical assistance that helps the 21st CCLC grantees fulfill program requirements and build the capacity of the program staff which in turn will enhance the quality of the program;</w:t>
      </w:r>
    </w:p>
    <w:p w:rsidRPr="005D7E20" w:rsidR="003E354D" w:rsidP="003E354D" w:rsidRDefault="003E354D" w14:paraId="331176CA"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Assist the NJDOE in addressing program quality, sustainability and networking;  </w:t>
      </w:r>
    </w:p>
    <w:p w:rsidRPr="005D7E20" w:rsidR="003E354D" w:rsidP="003E354D" w:rsidRDefault="003E354D" w14:paraId="4006FFEB"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Promote the development, continuity and expansion of quality programming through on-site quality visits; </w:t>
      </w:r>
    </w:p>
    <w:p w:rsidRPr="005D7E20" w:rsidR="003E354D" w:rsidP="003E354D" w:rsidRDefault="003E354D" w14:paraId="6794C0B9"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Facilitate professional learning communities, especially around the following themes: science, technology, engineering and math (STEM), career awareness and exploration, visual and performing arts and civic engagement; </w:t>
      </w:r>
    </w:p>
    <w:p w:rsidRPr="005D7E20" w:rsidR="003E354D" w:rsidP="003E354D" w:rsidRDefault="003E354D" w14:paraId="50B257B1"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lang w:val="en"/>
        </w:rPr>
        <w:t xml:space="preserve">Encourage the development of tangible partnership between </w:t>
      </w:r>
      <w:r w:rsidRPr="005D7E20">
        <w:rPr>
          <w:sz w:val="24"/>
          <w:szCs w:val="24"/>
        </w:rPr>
        <w:t>21st CCLC grantees</w:t>
      </w:r>
      <w:r w:rsidRPr="005D7E20">
        <w:rPr>
          <w:sz w:val="24"/>
          <w:szCs w:val="24"/>
          <w:lang w:val="en"/>
        </w:rPr>
        <w:t xml:space="preserve"> and key stakeholders, including school administrators and staff, parents, and, collaborators;</w:t>
      </w:r>
    </w:p>
    <w:p w:rsidRPr="005D7E20" w:rsidR="003E354D" w:rsidP="003E354D" w:rsidRDefault="003E354D" w14:paraId="64DAFD03"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Collaborate with state-level evaluator, as appropriate;</w:t>
      </w:r>
    </w:p>
    <w:p w:rsidRPr="005D7E20" w:rsidR="003E354D" w:rsidP="003E354D" w:rsidRDefault="003E354D" w14:paraId="40294284"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Assist the 21st CCLC grantees in the implementation of action research to encourage continuous quality improvement; </w:t>
      </w:r>
    </w:p>
    <w:p w:rsidRPr="005D7E20" w:rsidR="003E354D" w:rsidP="003E354D" w:rsidRDefault="003E354D" w14:paraId="09E9A769" w14:textId="0B834B76">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Provide training</w:t>
      </w:r>
      <w:r w:rsidRPr="005D7E20" w:rsidR="00C30FF0">
        <w:rPr>
          <w:sz w:val="24"/>
          <w:szCs w:val="24"/>
        </w:rPr>
        <w:t xml:space="preserve"> sessions</w:t>
      </w:r>
      <w:r w:rsidRPr="005D7E20">
        <w:rPr>
          <w:sz w:val="24"/>
          <w:szCs w:val="24"/>
        </w:rPr>
        <w:t xml:space="preserve"> to other entities in New Jersey eligible to apply for a 21st CCLC grant;  </w:t>
      </w:r>
    </w:p>
    <w:p w:rsidRPr="005D7E20" w:rsidR="003E354D" w:rsidP="003E354D" w:rsidRDefault="003E354D" w14:paraId="63C8185F"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Provide training sessions to 21st CCLC grantees on best practice strategies for intentional planning, aligning with the school day, creating a youth-centered environment, effective management, summer learning, engaging parents and families, and designing program staff professional development;</w:t>
      </w:r>
    </w:p>
    <w:p w:rsidRPr="005D7E20" w:rsidR="003E354D" w:rsidP="003E354D" w:rsidRDefault="003E354D" w14:paraId="0E5BDB51"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Integrate the New Jersey Student Learning Standards (NJSLS) within OST programming in order to improve participant achievement; </w:t>
      </w:r>
    </w:p>
    <w:p w:rsidRPr="005D7E20" w:rsidR="003E354D" w:rsidP="003E354D" w:rsidRDefault="003E354D" w14:paraId="74F96DFE"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Promote the use of a guided-inquiry and project-based approaches to support the development of participants’ 21</w:t>
      </w:r>
      <w:r w:rsidRPr="005D7E20">
        <w:rPr>
          <w:sz w:val="24"/>
          <w:szCs w:val="24"/>
          <w:vertAlign w:val="superscript"/>
        </w:rPr>
        <w:t>st</w:t>
      </w:r>
      <w:r w:rsidRPr="005D7E20">
        <w:rPr>
          <w:sz w:val="24"/>
          <w:szCs w:val="24"/>
        </w:rPr>
        <w:t xml:space="preserve"> century skills;</w:t>
      </w:r>
    </w:p>
    <w:p w:rsidRPr="005D7E20" w:rsidR="003E354D" w:rsidP="003E354D" w:rsidRDefault="003E354D" w14:paraId="1FFD92A0"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Design and plan professional learning experiences that are relevant, interactive and based on current national research; </w:t>
      </w:r>
    </w:p>
    <w:p w:rsidRPr="005D7E20" w:rsidR="003E354D" w:rsidP="003E354D" w:rsidRDefault="003E354D" w14:paraId="5DEEC696"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Provide professional development opportunities to build capacity to engage and meet the needs of English language learners and students with disabilities; and</w:t>
      </w:r>
    </w:p>
    <w:p w:rsidRPr="00174948" w:rsidR="003E354D" w:rsidP="00174948" w:rsidRDefault="003E354D" w14:paraId="5F0BACCA" w14:textId="73ECAE51">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Utilize the New Jersey Quality Standards for Afterschool in developing trainings, workshops, and conferences</w:t>
      </w:r>
      <w:r w:rsidRPr="005D7E20" w:rsidR="0066765C">
        <w:rPr>
          <w:sz w:val="24"/>
          <w:szCs w:val="24"/>
        </w:rPr>
        <w:t>, as applicable</w:t>
      </w:r>
      <w:r w:rsidRPr="005D7E20">
        <w:rPr>
          <w:sz w:val="24"/>
          <w:szCs w:val="24"/>
        </w:rPr>
        <w:t>.</w:t>
      </w:r>
    </w:p>
    <w:p w:rsidRPr="005D7E20" w:rsidR="008C0470" w:rsidP="007F7083" w:rsidRDefault="008C0470" w14:paraId="11A3B5F9" w14:textId="1803DF96">
      <w:pPr>
        <w:pStyle w:val="Heading2"/>
        <w:jc w:val="left"/>
        <w:rPr>
          <w:b w:val="0"/>
          <w:sz w:val="24"/>
          <w:szCs w:val="24"/>
        </w:rPr>
      </w:pPr>
      <w:r w:rsidRPr="005D7E20">
        <w:rPr>
          <w:b w:val="0"/>
          <w:sz w:val="24"/>
          <w:szCs w:val="24"/>
        </w:rPr>
        <w:lastRenderedPageBreak/>
        <w:t xml:space="preserve">Grant Program Period </w:t>
      </w:r>
    </w:p>
    <w:p w:rsidRPr="005D7E20" w:rsidR="003E354D" w:rsidP="003E354D" w:rsidRDefault="00AE27BB" w14:paraId="6F33B3D7" w14:textId="1D7DA53B">
      <w:pPr>
        <w:spacing w:after="160" w:line="259" w:lineRule="auto"/>
        <w:rPr>
          <w:rFonts w:eastAsia="Calibri"/>
          <w:sz w:val="24"/>
          <w:szCs w:val="24"/>
        </w:rPr>
      </w:pPr>
      <w:r w:rsidRPr="005D7E20">
        <w:rPr>
          <w:rFonts w:eastAsia="Calibri"/>
          <w:sz w:val="24"/>
          <w:szCs w:val="24"/>
        </w:rPr>
        <w:t>This NGO represents Year 1 of a five-year grant program project period. Pending availability of funds, t</w:t>
      </w:r>
      <w:r w:rsidRPr="005D7E20" w:rsidR="00086DA3">
        <w:rPr>
          <w:rFonts w:eastAsia="Calibri"/>
          <w:sz w:val="24"/>
          <w:szCs w:val="24"/>
        </w:rPr>
        <w:t>he award will be issued on an annual basis</w:t>
      </w:r>
      <w:r w:rsidRPr="005D7E20" w:rsidR="0018728C">
        <w:rPr>
          <w:rFonts w:eastAsia="Calibri"/>
          <w:sz w:val="24"/>
          <w:szCs w:val="24"/>
        </w:rPr>
        <w:t>. The NJDOE will review program performance through reports, observations, adequate and efficient use of federal funds, and a continuation application to determine continued program funding.</w:t>
      </w:r>
      <w:r w:rsidRPr="005D7E20" w:rsidR="003E354D">
        <w:rPr>
          <w:rFonts w:eastAsia="Calibri"/>
          <w:sz w:val="24"/>
          <w:szCs w:val="24"/>
        </w:rPr>
        <w:t xml:space="preserve"> Based on the availability of federal resources, this grant program project period is as follows: </w:t>
      </w:r>
    </w:p>
    <w:p w:rsidRPr="005D7E20" w:rsidR="003E354D" w:rsidP="00FD56AC" w:rsidRDefault="003E354D" w14:paraId="35615061" w14:textId="3443F63E">
      <w:pPr>
        <w:spacing w:after="0"/>
        <w:rPr>
          <w:rFonts w:eastAsia="Calibri"/>
          <w:sz w:val="24"/>
          <w:szCs w:val="24"/>
        </w:rPr>
      </w:pPr>
      <w:r w:rsidRPr="005D7E20">
        <w:rPr>
          <w:rFonts w:eastAsia="Calibri"/>
          <w:sz w:val="24"/>
          <w:szCs w:val="24"/>
        </w:rPr>
        <w:t xml:space="preserve">Year </w:t>
      </w:r>
      <w:r w:rsidRPr="005D7E20" w:rsidR="00FD56AC">
        <w:rPr>
          <w:rFonts w:eastAsia="Calibri"/>
          <w:sz w:val="24"/>
          <w:szCs w:val="24"/>
        </w:rPr>
        <w:t>1</w:t>
      </w:r>
      <w:r w:rsidRPr="005D7E20">
        <w:rPr>
          <w:rFonts w:eastAsia="Calibri"/>
          <w:sz w:val="24"/>
          <w:szCs w:val="24"/>
        </w:rPr>
        <w:t>: September 1, 202</w:t>
      </w:r>
      <w:r w:rsidRPr="005D7E20" w:rsidR="00FD56AC">
        <w:rPr>
          <w:rFonts w:eastAsia="Calibri"/>
          <w:sz w:val="24"/>
          <w:szCs w:val="24"/>
        </w:rPr>
        <w:t>2</w:t>
      </w:r>
      <w:r w:rsidRPr="005D7E20">
        <w:rPr>
          <w:rFonts w:eastAsia="Calibri"/>
          <w:sz w:val="24"/>
          <w:szCs w:val="24"/>
        </w:rPr>
        <w:t xml:space="preserve"> – August 31, 202</w:t>
      </w:r>
      <w:r w:rsidRPr="005D7E20" w:rsidR="00FD56AC">
        <w:rPr>
          <w:rFonts w:eastAsia="Calibri"/>
          <w:sz w:val="24"/>
          <w:szCs w:val="24"/>
        </w:rPr>
        <w:t>3</w:t>
      </w:r>
    </w:p>
    <w:p w:rsidRPr="005D7E20" w:rsidR="00FD56AC" w:rsidP="00FD56AC" w:rsidRDefault="00FD56AC" w14:paraId="2E4A7BB2" w14:textId="0F8B1F67">
      <w:pPr>
        <w:spacing w:after="0"/>
        <w:rPr>
          <w:rFonts w:eastAsia="Calibri"/>
          <w:sz w:val="24"/>
          <w:szCs w:val="24"/>
        </w:rPr>
      </w:pPr>
      <w:r w:rsidRPr="005D7E20">
        <w:rPr>
          <w:rFonts w:eastAsia="Calibri"/>
          <w:sz w:val="24"/>
          <w:szCs w:val="24"/>
        </w:rPr>
        <w:t>Year 2: September 1, 2023 – August 31, 2024</w:t>
      </w:r>
    </w:p>
    <w:p w:rsidRPr="005D7E20" w:rsidR="00FD56AC" w:rsidP="00FD56AC" w:rsidRDefault="00FD56AC" w14:paraId="674069CA" w14:textId="1EB0F1D2">
      <w:pPr>
        <w:spacing w:after="0"/>
        <w:rPr>
          <w:rFonts w:eastAsia="Calibri"/>
          <w:sz w:val="24"/>
          <w:szCs w:val="24"/>
        </w:rPr>
      </w:pPr>
      <w:r w:rsidRPr="005D7E20">
        <w:rPr>
          <w:rFonts w:eastAsia="Calibri"/>
          <w:sz w:val="24"/>
          <w:szCs w:val="24"/>
        </w:rPr>
        <w:t>Year 3: September 1, 2024 – August 31, 2025</w:t>
      </w:r>
    </w:p>
    <w:p w:rsidRPr="005D7E20" w:rsidR="00FD56AC" w:rsidP="00FD56AC" w:rsidRDefault="00FD56AC" w14:paraId="13DAB3D1" w14:textId="2D6F901A">
      <w:pPr>
        <w:spacing w:after="0"/>
        <w:rPr>
          <w:rFonts w:eastAsia="Calibri"/>
          <w:sz w:val="24"/>
          <w:szCs w:val="24"/>
        </w:rPr>
      </w:pPr>
      <w:r w:rsidRPr="005D7E20">
        <w:rPr>
          <w:rFonts w:eastAsia="Calibri"/>
          <w:sz w:val="24"/>
          <w:szCs w:val="24"/>
        </w:rPr>
        <w:t>Year 4: September 1, 2025 – August 31, 2026</w:t>
      </w:r>
    </w:p>
    <w:p w:rsidRPr="005D7E20" w:rsidR="00FD56AC" w:rsidP="00FD56AC" w:rsidRDefault="00FD56AC" w14:paraId="2BF80133" w14:textId="028530DD">
      <w:pPr>
        <w:spacing w:after="0"/>
        <w:rPr>
          <w:rFonts w:eastAsia="Calibri"/>
          <w:sz w:val="24"/>
          <w:szCs w:val="24"/>
        </w:rPr>
      </w:pPr>
      <w:r w:rsidRPr="005D7E20">
        <w:rPr>
          <w:rFonts w:eastAsia="Calibri"/>
          <w:sz w:val="24"/>
          <w:szCs w:val="24"/>
        </w:rPr>
        <w:t>Year 5: September 1, 2026 – August 31, 2027</w:t>
      </w:r>
    </w:p>
    <w:p w:rsidRPr="005D7E20" w:rsidR="00FD56AC" w:rsidP="00FD56AC" w:rsidRDefault="00FD56AC" w14:paraId="4AB04F79" w14:textId="77777777">
      <w:pPr>
        <w:spacing w:after="0"/>
        <w:rPr>
          <w:rFonts w:eastAsia="Calibri"/>
          <w:sz w:val="24"/>
          <w:szCs w:val="24"/>
        </w:rPr>
      </w:pPr>
    </w:p>
    <w:p w:rsidRPr="005D7E20" w:rsidR="00D85622" w:rsidP="003E354D" w:rsidRDefault="003E354D" w14:paraId="6ADD2BAA" w14:textId="527F4A83">
      <w:pPr>
        <w:rPr>
          <w:sz w:val="24"/>
          <w:szCs w:val="24"/>
        </w:rPr>
      </w:pPr>
      <w:r w:rsidRPr="005D7E20">
        <w:rPr>
          <w:sz w:val="24"/>
          <w:szCs w:val="24"/>
        </w:rPr>
        <w:t>NOTE: The award will be issued on an annual basis contingent on continued program eligibility, program performance and availability of federal funds.</w:t>
      </w:r>
    </w:p>
    <w:p w:rsidRPr="005D7E20" w:rsidR="00B47D56" w:rsidP="00C30FF0" w:rsidRDefault="00336E67" w14:paraId="732236DC" w14:textId="3943E9A1">
      <w:pPr>
        <w:pStyle w:val="Heading3"/>
      </w:pPr>
      <w:bookmarkStart w:name="_Toc60042606" w:id="10"/>
      <w:r w:rsidRPr="005D7E20">
        <w:t>Eligibility to Apply</w:t>
      </w:r>
      <w:bookmarkEnd w:id="10"/>
    </w:p>
    <w:p w:rsidRPr="005D7E20" w:rsidR="004E621B" w:rsidP="004E621B" w:rsidRDefault="004E621B" w14:paraId="5F045158" w14:textId="77777777">
      <w:pPr>
        <w:jc w:val="both"/>
        <w:rPr>
          <w:color w:val="auto"/>
          <w:sz w:val="24"/>
          <w:szCs w:val="24"/>
        </w:rPr>
      </w:pPr>
      <w:bookmarkStart w:name="_Toc60042607" w:id="11"/>
      <w:r w:rsidRPr="005D7E20">
        <w:rPr>
          <w:sz w:val="24"/>
          <w:szCs w:val="24"/>
        </w:rPr>
        <w:t>The 21</w:t>
      </w:r>
      <w:r w:rsidRPr="005D7E20">
        <w:rPr>
          <w:sz w:val="24"/>
          <w:szCs w:val="24"/>
          <w:vertAlign w:val="superscript"/>
        </w:rPr>
        <w:t>st</w:t>
      </w:r>
      <w:r w:rsidRPr="005D7E20">
        <w:rPr>
          <w:sz w:val="24"/>
          <w:szCs w:val="24"/>
        </w:rPr>
        <w:t xml:space="preserve"> CCLC Training and Technical Assistance project is a limited-competitive grant program open to existing New Jersey public or private agencies, non-profit organizations, institutions of higher education and for-profit agencies but limited to those agencies that have a minimum of 10 years of experience providing technical assistance and training to out-of-school time programs, such as afterschool, before-school and summer enrichment programs.  Any agency currently operating a 21</w:t>
      </w:r>
      <w:r w:rsidRPr="005D7E20">
        <w:rPr>
          <w:sz w:val="24"/>
          <w:szCs w:val="24"/>
          <w:vertAlign w:val="superscript"/>
        </w:rPr>
        <w:t>st</w:t>
      </w:r>
      <w:r w:rsidRPr="005D7E20">
        <w:rPr>
          <w:sz w:val="24"/>
          <w:szCs w:val="24"/>
        </w:rPr>
        <w:t xml:space="preserve"> CCLC program is ineligible to apply.  </w:t>
      </w:r>
    </w:p>
    <w:p w:rsidRPr="005D7E20" w:rsidR="00B47D56" w:rsidP="00C30FF0" w:rsidRDefault="00336E67" w14:paraId="3E608608" w14:textId="3A2776D0">
      <w:pPr>
        <w:pStyle w:val="Heading3"/>
      </w:pPr>
      <w:r w:rsidRPr="005D7E20">
        <w:t>Federal Compliance Requirements (</w:t>
      </w:r>
      <w:r w:rsidRPr="005D7E20" w:rsidR="004A02F7">
        <w:t>UEI</w:t>
      </w:r>
      <w:r w:rsidRPr="005D7E20">
        <w:t>, SAM)</w:t>
      </w:r>
      <w:bookmarkEnd w:id="11"/>
    </w:p>
    <w:p w:rsidRPr="005D7E20" w:rsidR="004A02F7" w:rsidP="004A02F7" w:rsidRDefault="004A02F7" w14:paraId="276A34F6" w14:textId="77777777">
      <w:pPr>
        <w:rPr>
          <w:sz w:val="24"/>
          <w:szCs w:val="24"/>
        </w:rPr>
      </w:pPr>
      <w:bookmarkStart w:name="_Toc60042608" w:id="12"/>
      <w:r w:rsidRPr="005D7E20">
        <w:rPr>
          <w:sz w:val="24"/>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rsidRPr="005D7E20" w:rsidR="004A02F7" w:rsidP="004A02F7" w:rsidRDefault="004A02F7" w14:paraId="307E9A3C" w14:textId="77777777">
      <w:pPr>
        <w:numPr>
          <w:ilvl w:val="0"/>
          <w:numId w:val="16"/>
        </w:numPr>
        <w:rPr>
          <w:sz w:val="24"/>
          <w:szCs w:val="24"/>
        </w:rPr>
      </w:pPr>
      <w:r w:rsidRPr="005D7E20">
        <w:rPr>
          <w:sz w:val="24"/>
          <w:szCs w:val="24"/>
        </w:rPr>
        <w:t xml:space="preserve">To register with the SAM database, go to </w:t>
      </w:r>
      <w:hyperlink w:tooltip="www.sam.gov" w:history="1" r:id="rId16">
        <w:r w:rsidRPr="005D7E20">
          <w:rPr>
            <w:rStyle w:val="Hyperlink"/>
            <w:sz w:val="24"/>
            <w:szCs w:val="24"/>
          </w:rPr>
          <w:t>www.sam.gov</w:t>
        </w:r>
      </w:hyperlink>
      <w:r w:rsidRPr="005D7E20">
        <w:rPr>
          <w:sz w:val="24"/>
          <w:szCs w:val="24"/>
        </w:rPr>
        <w:t>.</w:t>
      </w:r>
    </w:p>
    <w:p w:rsidRPr="005D7E20" w:rsidR="004A02F7" w:rsidP="004A02F7" w:rsidRDefault="004A02F7" w14:paraId="1DCA29E9" w14:textId="77777777">
      <w:pPr>
        <w:rPr>
          <w:sz w:val="24"/>
          <w:szCs w:val="24"/>
        </w:rPr>
      </w:pPr>
      <w:bookmarkStart w:name="_Hlk98765638" w:id="13"/>
      <w:r w:rsidRPr="005D7E20">
        <w:rPr>
          <w:sz w:val="24"/>
          <w:szCs w:val="24"/>
        </w:rPr>
        <w:t>Please note that beginning Fiscal Year 2023, all applicants for discretionary grants must complete and submit a System for Award Management (SAM) application in EWEG prior to the applicant being able to create and submit a 21</w:t>
      </w:r>
      <w:r w:rsidRPr="005D7E20">
        <w:rPr>
          <w:sz w:val="24"/>
          <w:szCs w:val="24"/>
          <w:vertAlign w:val="superscript"/>
        </w:rPr>
        <w:t>st</w:t>
      </w:r>
      <w:r w:rsidRPr="005D7E20">
        <w:rPr>
          <w:sz w:val="24"/>
          <w:szCs w:val="24"/>
        </w:rPr>
        <w:t xml:space="preserve"> Century Community Learning Centers grant application in EWEG.</w:t>
      </w:r>
    </w:p>
    <w:bookmarkEnd w:id="13"/>
    <w:p w:rsidRPr="005D7E20" w:rsidR="00F85629" w:rsidP="00F85629" w:rsidRDefault="00F85629" w14:paraId="465697A3" w14:textId="1145CAD6">
      <w:pPr>
        <w:pStyle w:val="Heading4"/>
        <w:rPr>
          <w:b w:val="0"/>
          <w:color w:val="44546A" w:themeColor="text2"/>
          <w:szCs w:val="24"/>
        </w:rPr>
      </w:pPr>
      <w:r w:rsidRPr="005D7E20">
        <w:rPr>
          <w:b w:val="0"/>
          <w:color w:val="44546A" w:themeColor="text2"/>
          <w:szCs w:val="24"/>
        </w:rPr>
        <w:t>FFATA Executive Compensation Disclosure Criteria</w:t>
      </w:r>
    </w:p>
    <w:p w:rsidRPr="005D7E20" w:rsidR="00F85629" w:rsidP="00F85629" w:rsidRDefault="00F85629" w14:paraId="536424AF" w14:textId="6543DC64">
      <w:pPr>
        <w:rPr>
          <w:sz w:val="24"/>
          <w:szCs w:val="24"/>
        </w:rPr>
      </w:pPr>
      <w:r w:rsidRPr="005D7E20">
        <w:rPr>
          <w:sz w:val="24"/>
          <w:szCs w:val="24"/>
        </w:rPr>
        <w:t>In the preceding fiscal year, if the grantee:</w:t>
      </w:r>
    </w:p>
    <w:p w:rsidRPr="005D7E20" w:rsidR="00F85629" w:rsidP="00F85629" w:rsidRDefault="00F85629" w14:paraId="43E034C1" w14:textId="77777777">
      <w:pPr>
        <w:pStyle w:val="ListParagraph"/>
        <w:numPr>
          <w:ilvl w:val="0"/>
          <w:numId w:val="17"/>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Received at least $25 million in annual gross revenues from federal awards; and,</w:t>
      </w:r>
    </w:p>
    <w:p w:rsidRPr="005D7E20" w:rsidR="00F85629" w:rsidP="00F85629" w:rsidRDefault="00F85629" w14:paraId="486AD9EF" w14:textId="310CCA8C">
      <w:pPr>
        <w:pStyle w:val="ListParagraph"/>
        <w:numPr>
          <w:ilvl w:val="0"/>
          <w:numId w:val="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If at least eighty (80) percent of the grantee’s annual gross revenues came from federal awards; </w:t>
      </w:r>
    </w:p>
    <w:p w:rsidRPr="005D7E20" w:rsidR="00F85629" w:rsidP="00F85629" w:rsidRDefault="00F85629" w14:paraId="52C3399F" w14:textId="77777777">
      <w:pPr>
        <w:pStyle w:val="ListParagraph"/>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p>
    <w:p w:rsidRPr="005D7E20" w:rsidR="00F85629" w:rsidP="00F85629" w:rsidRDefault="00F85629" w14:paraId="46379132" w14:textId="26A95A69">
      <w:pPr>
        <w:rPr>
          <w:sz w:val="24"/>
          <w:szCs w:val="24"/>
        </w:rPr>
      </w:pPr>
      <w:r w:rsidRPr="005D7E20">
        <w:rPr>
          <w:sz w:val="24"/>
          <w:szCs w:val="24"/>
        </w:rPr>
        <w:lastRenderedPageBreak/>
        <w:t xml:space="preserve">The </w:t>
      </w:r>
      <w:r w:rsidRPr="005D7E20" w:rsidR="00782B87">
        <w:rPr>
          <w:sz w:val="24"/>
          <w:szCs w:val="24"/>
        </w:rPr>
        <w:t>applicant</w:t>
      </w:r>
      <w:r w:rsidRPr="005D7E20">
        <w:rPr>
          <w:sz w:val="24"/>
          <w:szCs w:val="24"/>
        </w:rPr>
        <w:t xml:space="preserve"> is required to disclose th</w:t>
      </w:r>
      <w:bookmarkStart w:name="_GoBack" w:id="14"/>
      <w:bookmarkEnd w:id="14"/>
      <w:r w:rsidRPr="005D7E20">
        <w:rPr>
          <w:sz w:val="24"/>
          <w:szCs w:val="24"/>
        </w:rPr>
        <w:t xml:space="preserve">e name and total compensation of the five (5) most highly compensated officers of the </w:t>
      </w:r>
      <w:r w:rsidRPr="005D7E20" w:rsidR="000B5053">
        <w:rPr>
          <w:sz w:val="24"/>
          <w:szCs w:val="24"/>
        </w:rPr>
        <w:t>a</w:t>
      </w:r>
      <w:r w:rsidRPr="005D7E20" w:rsidR="00B24AE2">
        <w:rPr>
          <w:sz w:val="24"/>
          <w:szCs w:val="24"/>
        </w:rPr>
        <w:t>gency</w:t>
      </w:r>
      <w:r w:rsidRPr="005D7E20">
        <w:rPr>
          <w:sz w:val="24"/>
          <w:szCs w:val="24"/>
        </w:rPr>
        <w:t xml:space="preserve"> as part of the </w:t>
      </w:r>
      <w:r w:rsidRPr="005D7E20" w:rsidR="000B5053">
        <w:rPr>
          <w:sz w:val="24"/>
          <w:szCs w:val="24"/>
        </w:rPr>
        <w:t>competitive</w:t>
      </w:r>
      <w:r w:rsidRPr="005D7E20">
        <w:rPr>
          <w:sz w:val="24"/>
          <w:szCs w:val="24"/>
        </w:rPr>
        <w:t xml:space="preserve"> grant application.</w:t>
      </w:r>
      <w:r w:rsidRPr="005D7E20" w:rsidR="00400DB1">
        <w:rPr>
          <w:sz w:val="24"/>
          <w:szCs w:val="24"/>
        </w:rPr>
        <w:t xml:space="preserve"> </w:t>
      </w:r>
      <w:r w:rsidRPr="005D7E20">
        <w:rPr>
          <w:sz w:val="24"/>
          <w:szCs w:val="24"/>
        </w:rPr>
        <w:t xml:space="preserve">The term “federal award” includes federal contracts, sub-contracts, grants, and sub-grants.  No award will be made to the </w:t>
      </w:r>
      <w:r w:rsidRPr="005D7E20" w:rsidR="000B5053">
        <w:rPr>
          <w:sz w:val="24"/>
          <w:szCs w:val="24"/>
        </w:rPr>
        <w:t>applicant</w:t>
      </w:r>
      <w:r w:rsidRPr="005D7E20">
        <w:rPr>
          <w:sz w:val="24"/>
          <w:szCs w:val="24"/>
        </w:rPr>
        <w:t xml:space="preserve"> not in compliance with FFATA.</w:t>
      </w:r>
    </w:p>
    <w:p w:rsidRPr="005D7E20" w:rsidR="00B47D56" w:rsidP="00C30FF0" w:rsidRDefault="005E52D6" w14:paraId="2A1DBA74" w14:textId="6E48C5B6">
      <w:pPr>
        <w:pStyle w:val="Heading3"/>
      </w:pPr>
      <w:r w:rsidRPr="005D7E20">
        <w:t>Statutory/Regulatory Source and Funding</w:t>
      </w:r>
      <w:bookmarkEnd w:id="12"/>
      <w:r w:rsidRPr="005D7E20">
        <w:t xml:space="preserve"> </w:t>
      </w:r>
    </w:p>
    <w:p w:rsidRPr="005D7E20" w:rsidR="003662CA" w:rsidP="003662CA" w:rsidRDefault="003662CA" w14:paraId="45E7BD34" w14:textId="3C91FC54">
      <w:pPr>
        <w:rPr>
          <w:sz w:val="24"/>
          <w:szCs w:val="24"/>
        </w:rPr>
      </w:pPr>
      <w:r w:rsidRPr="005D7E20">
        <w:rPr>
          <w:sz w:val="24"/>
          <w:szCs w:val="24"/>
        </w:rPr>
        <w:t xml:space="preserve">The </w:t>
      </w:r>
      <w:r w:rsidRPr="005D7E20" w:rsidR="000B5053">
        <w:rPr>
          <w:sz w:val="24"/>
          <w:szCs w:val="24"/>
        </w:rPr>
        <w:t>applicant</w:t>
      </w:r>
      <w:r w:rsidRPr="005D7E20">
        <w:rPr>
          <w:sz w:val="24"/>
          <w:szCs w:val="24"/>
        </w:rPr>
        <w:t xml:space="preserve">’s project must be designed and implemented in conformance with all applicable state and federal regulations. The 21st CCLC Training and Technical Assistance NGO is 100% federally-funded under Title IV, Part B of </w:t>
      </w:r>
      <w:r w:rsidRPr="005D7E20">
        <w:rPr>
          <w:i/>
          <w:color w:val="030A13"/>
          <w:sz w:val="24"/>
          <w:szCs w:val="24"/>
          <w:shd w:val="clear" w:color="auto" w:fill="FFFFFF"/>
        </w:rPr>
        <w:t>ESSA</w:t>
      </w:r>
      <w:r w:rsidR="00661330">
        <w:rPr>
          <w:i/>
          <w:color w:val="030A13"/>
          <w:sz w:val="24"/>
          <w:szCs w:val="24"/>
          <w:shd w:val="clear" w:color="auto" w:fill="FFFFFF"/>
        </w:rPr>
        <w:t xml:space="preserve"> </w:t>
      </w:r>
      <w:r w:rsidRPr="000A3502" w:rsidR="00661330">
        <w:rPr>
          <w:color w:val="030A13"/>
          <w:sz w:val="24"/>
          <w:szCs w:val="24"/>
          <w:shd w:val="clear" w:color="auto" w:fill="FFFFFF"/>
        </w:rPr>
        <w:t>(CFDA 84.287C</w:t>
      </w:r>
      <w:r w:rsidRPr="000A3502" w:rsidR="000A3502">
        <w:rPr>
          <w:color w:val="030A13"/>
          <w:sz w:val="24"/>
          <w:szCs w:val="24"/>
          <w:shd w:val="clear" w:color="auto" w:fill="FFFFFF"/>
        </w:rPr>
        <w:t>; FAIN</w:t>
      </w:r>
      <w:r w:rsidR="000A3502">
        <w:rPr>
          <w:color w:val="030A13"/>
          <w:sz w:val="24"/>
          <w:szCs w:val="24"/>
          <w:shd w:val="clear" w:color="auto" w:fill="FFFFFF"/>
        </w:rPr>
        <w:t>:</w:t>
      </w:r>
      <w:r w:rsidRPr="000A3502" w:rsidR="000A3502">
        <w:rPr>
          <w:color w:val="030A13"/>
          <w:sz w:val="24"/>
          <w:szCs w:val="24"/>
          <w:shd w:val="clear" w:color="auto" w:fill="FFFFFF"/>
        </w:rPr>
        <w:t xml:space="preserve"> S287C220030</w:t>
      </w:r>
      <w:r w:rsidRPr="000A3502" w:rsidR="00661330">
        <w:rPr>
          <w:color w:val="030A13"/>
          <w:sz w:val="24"/>
          <w:szCs w:val="24"/>
          <w:shd w:val="clear" w:color="auto" w:fill="FFFFFF"/>
        </w:rPr>
        <w:t>)</w:t>
      </w:r>
      <w:r w:rsidRPr="000A3502">
        <w:rPr>
          <w:sz w:val="24"/>
          <w:szCs w:val="24"/>
        </w:rPr>
        <w:t>.</w:t>
      </w:r>
      <w:r w:rsidRPr="005D7E20">
        <w:rPr>
          <w:sz w:val="24"/>
          <w:szCs w:val="24"/>
        </w:rPr>
        <w:t xml:space="preserve"> </w:t>
      </w:r>
      <w:r w:rsidRPr="005D7E20" w:rsidR="00B418CC">
        <w:rPr>
          <w:sz w:val="24"/>
          <w:szCs w:val="24"/>
        </w:rPr>
        <w:t>Pending availability of funds, t</w:t>
      </w:r>
      <w:r w:rsidRPr="005D7E20">
        <w:rPr>
          <w:sz w:val="24"/>
          <w:szCs w:val="24"/>
        </w:rPr>
        <w:t>he NJDOE will provide $1</w:t>
      </w:r>
      <w:r w:rsidRPr="005D7E20" w:rsidR="00B24AE2">
        <w:rPr>
          <w:sz w:val="24"/>
          <w:szCs w:val="24"/>
        </w:rPr>
        <w:t>7</w:t>
      </w:r>
      <w:r w:rsidRPr="005D7E20">
        <w:rPr>
          <w:sz w:val="24"/>
          <w:szCs w:val="24"/>
        </w:rPr>
        <w:t xml:space="preserve">0,000 annually </w:t>
      </w:r>
      <w:r w:rsidRPr="005D7E20" w:rsidR="00B418CC">
        <w:rPr>
          <w:sz w:val="24"/>
          <w:szCs w:val="24"/>
        </w:rPr>
        <w:t xml:space="preserve">in each of the five years of the grant program project period </w:t>
      </w:r>
      <w:r w:rsidRPr="005D7E20">
        <w:rPr>
          <w:sz w:val="24"/>
          <w:szCs w:val="24"/>
        </w:rPr>
        <w:t xml:space="preserve">to the </w:t>
      </w:r>
      <w:r w:rsidRPr="005D7E20" w:rsidR="006C5657">
        <w:rPr>
          <w:sz w:val="24"/>
          <w:szCs w:val="24"/>
        </w:rPr>
        <w:t>grantee</w:t>
      </w:r>
      <w:r w:rsidRPr="005D7E20">
        <w:rPr>
          <w:sz w:val="24"/>
          <w:szCs w:val="24"/>
        </w:rPr>
        <w:t xml:space="preserve"> </w:t>
      </w:r>
      <w:r w:rsidRPr="005D7E20" w:rsidR="00B418CC">
        <w:rPr>
          <w:sz w:val="24"/>
          <w:szCs w:val="24"/>
        </w:rPr>
        <w:t xml:space="preserve">that </w:t>
      </w:r>
      <w:r w:rsidRPr="005D7E20">
        <w:rPr>
          <w:sz w:val="24"/>
          <w:szCs w:val="24"/>
        </w:rPr>
        <w:t>will provide statewide training and technical assistance to improve the quality of approximately 6</w:t>
      </w:r>
      <w:r w:rsidRPr="005D7E20" w:rsidR="00E7076D">
        <w:rPr>
          <w:sz w:val="24"/>
          <w:szCs w:val="24"/>
        </w:rPr>
        <w:t>2</w:t>
      </w:r>
      <w:r w:rsidRPr="005D7E20">
        <w:rPr>
          <w:sz w:val="24"/>
          <w:szCs w:val="24"/>
        </w:rPr>
        <w:t xml:space="preserve"> 21st CCLC grantees commencing September 1, 202</w:t>
      </w:r>
      <w:r w:rsidRPr="005D7E20" w:rsidR="00E7076D">
        <w:rPr>
          <w:sz w:val="24"/>
          <w:szCs w:val="24"/>
        </w:rPr>
        <w:t>2</w:t>
      </w:r>
      <w:r w:rsidRPr="005D7E20">
        <w:rPr>
          <w:sz w:val="24"/>
          <w:szCs w:val="24"/>
        </w:rPr>
        <w:t xml:space="preserve">. </w:t>
      </w:r>
    </w:p>
    <w:p w:rsidRPr="005D7E20" w:rsidR="003662CA" w:rsidP="003662CA" w:rsidRDefault="003662CA" w14:paraId="7F0C8A23" w14:textId="57ACB46D">
      <w:pPr>
        <w:rPr>
          <w:sz w:val="24"/>
          <w:szCs w:val="24"/>
        </w:rPr>
      </w:pPr>
      <w:r w:rsidRPr="005D7E20">
        <w:rPr>
          <w:sz w:val="24"/>
          <w:szCs w:val="24"/>
        </w:rPr>
        <w:t xml:space="preserve">The </w:t>
      </w:r>
      <w:r w:rsidRPr="005D7E20" w:rsidR="00E7076D">
        <w:rPr>
          <w:sz w:val="24"/>
          <w:szCs w:val="24"/>
        </w:rPr>
        <w:t>applicant</w:t>
      </w:r>
      <w:r w:rsidRPr="005D7E20">
        <w:rPr>
          <w:sz w:val="24"/>
          <w:szCs w:val="24"/>
        </w:rPr>
        <w:t xml:space="preserve"> is reminded that the federal funding language and Nita M. Lowey 21st CCLC logo, which will be forward</w:t>
      </w:r>
      <w:r w:rsidRPr="005D7E20" w:rsidR="00FE0B65">
        <w:rPr>
          <w:sz w:val="24"/>
          <w:szCs w:val="24"/>
        </w:rPr>
        <w:t>ed</w:t>
      </w:r>
      <w:r w:rsidRPr="005D7E20">
        <w:rPr>
          <w:sz w:val="24"/>
          <w:szCs w:val="24"/>
        </w:rPr>
        <w:t xml:space="preserve"> to the g</w:t>
      </w:r>
      <w:r w:rsidRPr="005D7E20" w:rsidR="00FE0B65">
        <w:rPr>
          <w:sz w:val="24"/>
          <w:szCs w:val="24"/>
        </w:rPr>
        <w:t>rantee</w:t>
      </w:r>
      <w:r w:rsidRPr="005D7E20">
        <w:rPr>
          <w:sz w:val="24"/>
          <w:szCs w:val="24"/>
        </w:rPr>
        <w:t xml:space="preserve">, must be prominently displayed on all printed and electronic program materials. Additionally, the grantee must ensure that the program is listed on the agency’s website to assist in marketability and recognition of the program. </w:t>
      </w:r>
    </w:p>
    <w:p w:rsidRPr="005D7E20" w:rsidR="00D572B6" w:rsidP="003662CA" w:rsidRDefault="003662CA" w14:paraId="5437C862" w14:textId="2AC967FD">
      <w:pPr>
        <w:spacing w:after="240"/>
        <w:rPr>
          <w:bCs/>
          <w:sz w:val="24"/>
          <w:szCs w:val="24"/>
        </w:rPr>
      </w:pPr>
      <w:r w:rsidRPr="005D7E20">
        <w:rPr>
          <w:bCs/>
          <w:sz w:val="24"/>
          <w:szCs w:val="24"/>
        </w:rPr>
        <w:t>These funds can be used only to supplement and not supplant federal, state or local funds.</w:t>
      </w:r>
      <w:r w:rsidRPr="005D7E20" w:rsidR="00DB58FC">
        <w:rPr>
          <w:bCs/>
          <w:sz w:val="24"/>
          <w:szCs w:val="24"/>
        </w:rPr>
        <w:t xml:space="preserve"> </w:t>
      </w:r>
      <w:r w:rsidRPr="005D7E20">
        <w:rPr>
          <w:sz w:val="24"/>
          <w:szCs w:val="24"/>
        </w:rPr>
        <w:t xml:space="preserve">Failure to demonstrate the aforesaid will result in the reduction of the requested award amount. The final award is subject to the availability of Title IV, Part B funds. </w:t>
      </w:r>
      <w:r w:rsidRPr="005D7E20">
        <w:rPr>
          <w:bCs/>
          <w:sz w:val="24"/>
          <w:szCs w:val="24"/>
        </w:rPr>
        <w:t xml:space="preserve">The </w:t>
      </w:r>
      <w:r w:rsidRPr="005D7E20" w:rsidR="00BA189C">
        <w:rPr>
          <w:bCs/>
          <w:sz w:val="24"/>
          <w:szCs w:val="24"/>
        </w:rPr>
        <w:t>grantee</w:t>
      </w:r>
      <w:r w:rsidRPr="005D7E20">
        <w:rPr>
          <w:bCs/>
          <w:sz w:val="24"/>
          <w:szCs w:val="24"/>
        </w:rPr>
        <w:t xml:space="preserve"> is expected to complete the goal(s) and objectives laid out in the approved grant application, complete implementation activities established in its grant agreement, and make satisfactory progress toward the completion of its approved action plan.  Failure to do so may result in the withdrawal by the NJDOE of the grantee’s eligibility for the continuation of grant funding. The NJDOE will remove ineligible, inappropriate or undocumented costs from funding consideration. </w:t>
      </w:r>
    </w:p>
    <w:p w:rsidRPr="005D7E20" w:rsidR="00B47D56" w:rsidP="00C30FF0" w:rsidRDefault="005E52D6" w14:paraId="6BDA415E" w14:textId="5251AD40">
      <w:pPr>
        <w:pStyle w:val="Heading3"/>
      </w:pPr>
      <w:bookmarkStart w:name="_Toc60042609" w:id="15"/>
      <w:r w:rsidRPr="005D7E20">
        <w:t>Dissemination of This Notice</w:t>
      </w:r>
      <w:bookmarkEnd w:id="15"/>
    </w:p>
    <w:p w:rsidRPr="005D7E20" w:rsidR="00E81306" w:rsidP="00E81306" w:rsidRDefault="00E81306" w14:paraId="0F0A9F2E" w14:textId="5C50D099">
      <w:pPr>
        <w:rPr>
          <w:rStyle w:val="Hyperlink"/>
          <w:sz w:val="24"/>
          <w:szCs w:val="24"/>
        </w:rPr>
      </w:pPr>
      <w:bookmarkStart w:name="_Toc60042610" w:id="16"/>
      <w:r w:rsidRPr="005D7E20">
        <w:rPr>
          <w:sz w:val="24"/>
          <w:szCs w:val="24"/>
        </w:rPr>
        <w:t xml:space="preserve">The Office of Student Support Services will make this notice </w:t>
      </w:r>
      <w:r w:rsidRPr="005D7E20" w:rsidR="006803DD">
        <w:rPr>
          <w:sz w:val="24"/>
          <w:szCs w:val="24"/>
        </w:rPr>
        <w:t>of grant opportunity</w:t>
      </w:r>
      <w:r w:rsidRPr="005D7E20">
        <w:rPr>
          <w:sz w:val="24"/>
          <w:szCs w:val="24"/>
        </w:rPr>
        <w:t xml:space="preserve"> available on the </w:t>
      </w:r>
      <w:r w:rsidRPr="005D7E20">
        <w:rPr>
          <w:sz w:val="24"/>
          <w:szCs w:val="24"/>
        </w:rPr>
        <w:fldChar w:fldCharType="begin"/>
      </w:r>
      <w:r w:rsidRPr="005D7E20" w:rsidR="00C11C6C">
        <w:rPr>
          <w:sz w:val="24"/>
          <w:szCs w:val="24"/>
        </w:rPr>
        <w:instrText>HYPERLINK "https://www.state.nj.us/education/grants/opportunities/index.shtml" \o "NJDOE's website"</w:instrText>
      </w:r>
      <w:r w:rsidRPr="005D7E20">
        <w:rPr>
          <w:sz w:val="24"/>
          <w:szCs w:val="24"/>
        </w:rPr>
        <w:fldChar w:fldCharType="separate"/>
      </w:r>
      <w:r w:rsidRPr="005D7E20">
        <w:rPr>
          <w:rStyle w:val="Hyperlink"/>
          <w:sz w:val="24"/>
          <w:szCs w:val="24"/>
        </w:rPr>
        <w:t xml:space="preserve">NJDOE’s website. </w:t>
      </w:r>
    </w:p>
    <w:p w:rsidRPr="005D7E20" w:rsidR="00B47D56" w:rsidP="00C30FF0" w:rsidRDefault="00E81306" w14:paraId="4D814559" w14:textId="25895379">
      <w:pPr>
        <w:pStyle w:val="Heading3"/>
      </w:pPr>
      <w:r w:rsidRPr="005D7E20">
        <w:fldChar w:fldCharType="end"/>
      </w:r>
      <w:r w:rsidRPr="005D7E20" w:rsidR="005E52D6">
        <w:t>Technical Assistance</w:t>
      </w:r>
      <w:bookmarkEnd w:id="16"/>
    </w:p>
    <w:p w:rsidRPr="005D7E20" w:rsidR="00E81306" w:rsidP="00E81306" w:rsidRDefault="00E81306" w14:paraId="525F71E4" w14:textId="77777777">
      <w:pPr>
        <w:rPr>
          <w:sz w:val="24"/>
          <w:szCs w:val="24"/>
        </w:rPr>
      </w:pPr>
      <w:bookmarkStart w:name="_Toc60042611" w:id="17"/>
      <w:r w:rsidRPr="005D7E20">
        <w:rPr>
          <w:sz w:val="24"/>
          <w:szCs w:val="24"/>
        </w:rPr>
        <w:t xml:space="preserve">Technical assistance will be provided upon request from the grantee. </w:t>
      </w:r>
    </w:p>
    <w:p w:rsidRPr="005D7E20" w:rsidR="009C4493" w:rsidP="00C30FF0" w:rsidRDefault="004876DE" w14:paraId="1A04F345" w14:textId="58F6C7C1">
      <w:pPr>
        <w:pStyle w:val="Heading3"/>
      </w:pPr>
      <w:r w:rsidRPr="005D7E20">
        <w:t>Application Submission</w:t>
      </w:r>
      <w:bookmarkEnd w:id="17"/>
    </w:p>
    <w:p w:rsidRPr="005D7E20" w:rsidR="00E81306" w:rsidP="00E81306" w:rsidRDefault="00E81306" w14:paraId="7D901CD4" w14:textId="067E2785">
      <w:pPr>
        <w:rPr>
          <w:sz w:val="24"/>
          <w:szCs w:val="24"/>
        </w:rPr>
      </w:pPr>
      <w:bookmarkStart w:name="_Toc60042612" w:id="18"/>
      <w:r w:rsidRPr="005D7E20">
        <w:rPr>
          <w:sz w:val="24"/>
          <w:szCs w:val="24"/>
        </w:rPr>
        <w:t xml:space="preserve">The NJDOE administers discretionary grant programs in strict conformance with procedures designed to ensure accountability and integrity in the use of public funds and, therefore, will not accept late applications. </w:t>
      </w:r>
    </w:p>
    <w:p w:rsidRPr="005D7E20" w:rsidR="00E81306" w:rsidP="00E81306" w:rsidRDefault="00E81306" w14:paraId="7B6F056F" w14:textId="66CF2D91">
      <w:pPr>
        <w:rPr>
          <w:sz w:val="24"/>
          <w:szCs w:val="24"/>
        </w:rPr>
      </w:pPr>
      <w:r w:rsidRPr="005D7E20">
        <w:rPr>
          <w:sz w:val="24"/>
          <w:szCs w:val="24"/>
        </w:rPr>
        <w:t xml:space="preserve">The responsibility for a timely submission resides with the </w:t>
      </w:r>
      <w:r w:rsidRPr="005D7E20" w:rsidR="002039FC">
        <w:rPr>
          <w:sz w:val="24"/>
          <w:szCs w:val="24"/>
        </w:rPr>
        <w:t>applicant</w:t>
      </w:r>
      <w:r w:rsidRPr="005D7E20">
        <w:rPr>
          <w:sz w:val="24"/>
          <w:szCs w:val="24"/>
        </w:rPr>
        <w:t xml:space="preserve">. The Application Control Center (ACC) must receive the complete application through the online </w:t>
      </w:r>
      <w:hyperlink w:tooltip="Electronic Web-Enabled Grant (EWEG) system" r:id="rId17">
        <w:r w:rsidRPr="005D7E20">
          <w:rPr>
            <w:rStyle w:val="Hyperlink"/>
            <w:sz w:val="24"/>
            <w:szCs w:val="24"/>
          </w:rPr>
          <w:t xml:space="preserve">Electronic Web-Enabled Grant </w:t>
        </w:r>
        <w:r w:rsidRPr="005D7E20">
          <w:rPr>
            <w:rStyle w:val="Hyperlink"/>
            <w:sz w:val="24"/>
            <w:szCs w:val="24"/>
          </w:rPr>
          <w:lastRenderedPageBreak/>
          <w:t>(EWEG) system</w:t>
        </w:r>
      </w:hyperlink>
      <w:r w:rsidRPr="005D7E20">
        <w:rPr>
          <w:sz w:val="24"/>
          <w:szCs w:val="24"/>
        </w:rPr>
        <w:t xml:space="preserve"> </w:t>
      </w:r>
      <w:r w:rsidRPr="005D7E20">
        <w:rPr>
          <w:caps/>
          <w:sz w:val="24"/>
          <w:szCs w:val="24"/>
        </w:rPr>
        <w:t>no later than 4:00 P.M. on T</w:t>
      </w:r>
      <w:r w:rsidRPr="005D7E20" w:rsidR="00742C72">
        <w:rPr>
          <w:caps/>
          <w:sz w:val="24"/>
          <w:szCs w:val="24"/>
        </w:rPr>
        <w:t>ue</w:t>
      </w:r>
      <w:r w:rsidRPr="005D7E20">
        <w:rPr>
          <w:caps/>
          <w:sz w:val="24"/>
          <w:szCs w:val="24"/>
        </w:rPr>
        <w:t xml:space="preserve">SDAY, </w:t>
      </w:r>
      <w:r w:rsidRPr="005D7E20" w:rsidR="00742C72">
        <w:rPr>
          <w:caps/>
          <w:sz w:val="24"/>
          <w:szCs w:val="24"/>
        </w:rPr>
        <w:t>JUL</w:t>
      </w:r>
      <w:r w:rsidRPr="005D7E20" w:rsidR="00437AE9">
        <w:rPr>
          <w:caps/>
          <w:sz w:val="24"/>
          <w:szCs w:val="24"/>
        </w:rPr>
        <w:t>y 1</w:t>
      </w:r>
      <w:r w:rsidRPr="005D7E20" w:rsidR="00742C72">
        <w:rPr>
          <w:caps/>
          <w:sz w:val="24"/>
          <w:szCs w:val="24"/>
        </w:rPr>
        <w:t>9</w:t>
      </w:r>
      <w:r w:rsidRPr="005D7E20" w:rsidR="00FE32D2">
        <w:rPr>
          <w:caps/>
          <w:sz w:val="24"/>
          <w:szCs w:val="24"/>
        </w:rPr>
        <w:t>, 2022</w:t>
      </w:r>
      <w:r w:rsidRPr="005D7E20">
        <w:rPr>
          <w:sz w:val="24"/>
          <w:szCs w:val="24"/>
        </w:rPr>
        <w:t xml:space="preserve">. Without exception, the ACC will not accept, and the Office of Grants Management cannot evaluate for funding consideration, an application received after this deadline. </w:t>
      </w:r>
    </w:p>
    <w:p w:rsidRPr="005D7E20" w:rsidR="00E81306" w:rsidP="00E81306" w:rsidRDefault="00E81306" w14:paraId="75C17FE4" w14:textId="59744A57">
      <w:pPr>
        <w:rPr>
          <w:sz w:val="24"/>
          <w:szCs w:val="24"/>
        </w:rPr>
      </w:pPr>
      <w:r w:rsidRPr="005D7E20">
        <w:rPr>
          <w:sz w:val="24"/>
          <w:szCs w:val="24"/>
        </w:rPr>
        <w:t xml:space="preserve">Complete applications are those that include all elements listed in </w:t>
      </w:r>
      <w:r w:rsidRPr="005D7E20" w:rsidR="00FE32D2">
        <w:rPr>
          <w:sz w:val="24"/>
          <w:szCs w:val="24"/>
        </w:rPr>
        <w:t>s</w:t>
      </w:r>
      <w:r w:rsidRPr="005D7E20">
        <w:rPr>
          <w:sz w:val="24"/>
          <w:szCs w:val="24"/>
        </w:rPr>
        <w:t>ection 3, Application Component Checklist, of this notice. The application</w:t>
      </w:r>
      <w:r w:rsidRPr="005D7E20" w:rsidR="00FE32D2">
        <w:rPr>
          <w:sz w:val="24"/>
          <w:szCs w:val="24"/>
        </w:rPr>
        <w:t>s</w:t>
      </w:r>
      <w:r w:rsidRPr="005D7E20">
        <w:rPr>
          <w:sz w:val="24"/>
          <w:szCs w:val="24"/>
        </w:rPr>
        <w:t xml:space="preserve"> received by the due date and time will be screened to determine whether they are, in fact, eligible for evaluation. The NJDOE reserves the right to reject any application not in conformance with the requirements of this NGO. </w:t>
      </w:r>
    </w:p>
    <w:p w:rsidRPr="005D7E20" w:rsidR="00E81306" w:rsidP="00E81306" w:rsidRDefault="00E81306" w14:paraId="1B5434DB" w14:textId="1CBB236B">
      <w:pPr>
        <w:rPr>
          <w:sz w:val="24"/>
          <w:szCs w:val="24"/>
        </w:rPr>
      </w:pPr>
      <w:r w:rsidRPr="005D7E20">
        <w:rPr>
          <w:sz w:val="24"/>
          <w:szCs w:val="24"/>
        </w:rPr>
        <w:t xml:space="preserve">Paper copies of the grant application will not be accepted in lieu of the EWEG application system. The </w:t>
      </w:r>
      <w:r w:rsidRPr="005D7E20" w:rsidR="00F831A1">
        <w:rPr>
          <w:sz w:val="24"/>
          <w:szCs w:val="24"/>
        </w:rPr>
        <w:t>applicant</w:t>
      </w:r>
      <w:r w:rsidRPr="005D7E20">
        <w:rPr>
          <w:sz w:val="24"/>
          <w:szCs w:val="24"/>
        </w:rPr>
        <w:t xml:space="preserve"> is advised to plan appropriately to allow time to address any technical challenges that may occur. Additionally, the </w:t>
      </w:r>
      <w:r w:rsidRPr="005D7E20" w:rsidR="00F831A1">
        <w:rPr>
          <w:sz w:val="24"/>
          <w:szCs w:val="24"/>
        </w:rPr>
        <w:t>applicant</w:t>
      </w:r>
      <w:r w:rsidRPr="005D7E20">
        <w:rPr>
          <w:sz w:val="24"/>
          <w:szCs w:val="24"/>
        </w:rPr>
        <w:t xml:space="preserve"> should run a consistency check at least 24 hours before the due date to determine any errors that might prevent submission of the application. </w:t>
      </w:r>
      <w:r w:rsidRPr="005D7E20">
        <w:rPr>
          <w:bCs/>
          <w:sz w:val="24"/>
          <w:szCs w:val="24"/>
        </w:rPr>
        <w:t xml:space="preserve">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Please note that the submit button in the EWEG system will disappear as of 4:00 PM on the due date. </w:t>
      </w:r>
      <w:r w:rsidRPr="005D7E20">
        <w:rPr>
          <w:sz w:val="24"/>
          <w:szCs w:val="24"/>
        </w:rPr>
        <w:t xml:space="preserve">The </w:t>
      </w:r>
      <w:r w:rsidRPr="005D7E20" w:rsidR="00F831A1">
        <w:rPr>
          <w:sz w:val="24"/>
          <w:szCs w:val="24"/>
        </w:rPr>
        <w:t>applicant</w:t>
      </w:r>
      <w:r w:rsidRPr="005D7E20">
        <w:rPr>
          <w:sz w:val="24"/>
          <w:szCs w:val="24"/>
        </w:rPr>
        <w:t xml:space="preserve"> is advised not to wait until the due date to submit the application online as the system may be slower than normal due to increased usage. Applications submitted by FAX cannot be accepted under any circumstances. </w:t>
      </w:r>
    </w:p>
    <w:p w:rsidRPr="005D7E20" w:rsidR="00B47D56" w:rsidP="00C30FF0" w:rsidRDefault="004876DE" w14:paraId="1EAF605A" w14:textId="5769F52A">
      <w:pPr>
        <w:pStyle w:val="Heading3"/>
      </w:pPr>
      <w:r w:rsidRPr="005D7E20">
        <w:t>Reporting Requirements</w:t>
      </w:r>
      <w:bookmarkEnd w:id="18"/>
    </w:p>
    <w:p w:rsidRPr="005D7E20" w:rsidR="003755FB" w:rsidP="00FD59B7" w:rsidRDefault="003755FB" w14:paraId="3AF5F864" w14:textId="370D24F1">
      <w:pPr>
        <w:rPr>
          <w:sz w:val="24"/>
          <w:szCs w:val="24"/>
        </w:rPr>
      </w:pPr>
      <w:r w:rsidRPr="005D7E20">
        <w:rPr>
          <w:sz w:val="24"/>
          <w:szCs w:val="24"/>
        </w:rPr>
        <w:t xml:space="preserve">The grant recipient is required to submit quarterly program and fiscal progress reports. For additional information regarding post-award reporting requirements, please review the </w:t>
      </w:r>
      <w:hyperlink w:tooltip="https://www.state.nj.us/education/grants/discretionary/apps/" w:history="1" r:id="rId18">
        <w:r w:rsidRPr="005D7E20" w:rsidR="008143A4">
          <w:rPr>
            <w:rStyle w:val="Hyperlink"/>
            <w:sz w:val="24"/>
            <w:szCs w:val="24"/>
          </w:rPr>
          <w:t>Pre-Award Manual for Discretionary Grants</w:t>
        </w:r>
      </w:hyperlink>
      <w:r w:rsidRPr="005D7E20">
        <w:rPr>
          <w:sz w:val="24"/>
          <w:szCs w:val="24"/>
        </w:rPr>
        <w:t>. All reports will be submitted through the online EWEG system. Program and fiscal reports for this program will be due through EWEG as follows:</w:t>
      </w:r>
    </w:p>
    <w:tbl>
      <w:tblPr>
        <w:tblStyle w:val="TableGrid"/>
        <w:tblW w:w="0" w:type="auto"/>
        <w:tblLook w:val="04A0" w:firstRow="1" w:lastRow="0" w:firstColumn="1" w:lastColumn="0" w:noHBand="0" w:noVBand="1"/>
        <w:tblCaption w:val="Table"/>
        <w:tblDescription w:val="This table provides the due dates for program reporting. There are 3 title columns and four rows of data. "/>
      </w:tblPr>
      <w:tblGrid>
        <w:gridCol w:w="2695"/>
        <w:gridCol w:w="4500"/>
        <w:gridCol w:w="2155"/>
      </w:tblGrid>
      <w:tr w:rsidRPr="005D7E20" w:rsidR="003755FB" w:rsidTr="000F6B66" w14:paraId="5CAC1543" w14:textId="77777777">
        <w:trPr>
          <w:cantSplit/>
          <w:tblHeader/>
        </w:trPr>
        <w:tc>
          <w:tcPr>
            <w:tcW w:w="2695" w:type="dxa"/>
          </w:tcPr>
          <w:p w:rsidRPr="005D7E20" w:rsidR="003755FB" w:rsidP="000F6B66" w:rsidRDefault="003755FB" w14:paraId="0946DA77" w14:textId="77777777">
            <w:pPr>
              <w:rPr>
                <w:sz w:val="24"/>
                <w:szCs w:val="24"/>
              </w:rPr>
            </w:pPr>
            <w:bookmarkStart w:name="_Hlk22804050" w:id="19"/>
            <w:r w:rsidRPr="005D7E20">
              <w:rPr>
                <w:sz w:val="24"/>
                <w:szCs w:val="24"/>
              </w:rPr>
              <w:t>Program/Fiscal Report</w:t>
            </w:r>
          </w:p>
        </w:tc>
        <w:tc>
          <w:tcPr>
            <w:tcW w:w="4500" w:type="dxa"/>
          </w:tcPr>
          <w:p w:rsidRPr="005D7E20" w:rsidR="003755FB" w:rsidP="000F6B66" w:rsidRDefault="003755FB" w14:paraId="7E37BB4D" w14:textId="77777777">
            <w:pPr>
              <w:rPr>
                <w:sz w:val="24"/>
                <w:szCs w:val="24"/>
              </w:rPr>
            </w:pPr>
            <w:r w:rsidRPr="005D7E20">
              <w:rPr>
                <w:sz w:val="24"/>
                <w:szCs w:val="24"/>
              </w:rPr>
              <w:t>Quarterly Reporting Period</w:t>
            </w:r>
          </w:p>
        </w:tc>
        <w:tc>
          <w:tcPr>
            <w:tcW w:w="2155" w:type="dxa"/>
          </w:tcPr>
          <w:p w:rsidRPr="005D7E20" w:rsidR="003755FB" w:rsidP="000F6B66" w:rsidRDefault="003755FB" w14:paraId="3B198264" w14:textId="77777777">
            <w:pPr>
              <w:rPr>
                <w:sz w:val="24"/>
                <w:szCs w:val="24"/>
              </w:rPr>
            </w:pPr>
            <w:r w:rsidRPr="005D7E20">
              <w:rPr>
                <w:sz w:val="24"/>
                <w:szCs w:val="24"/>
              </w:rPr>
              <w:t>Due Date</w:t>
            </w:r>
          </w:p>
        </w:tc>
      </w:tr>
      <w:tr w:rsidRPr="005D7E20" w:rsidR="003755FB" w:rsidTr="000F6B66" w14:paraId="68E803E5" w14:textId="77777777">
        <w:trPr>
          <w:cantSplit/>
          <w:tblHeader/>
        </w:trPr>
        <w:tc>
          <w:tcPr>
            <w:tcW w:w="2695" w:type="dxa"/>
          </w:tcPr>
          <w:p w:rsidRPr="005D7E20" w:rsidR="003755FB" w:rsidP="000F6B66" w:rsidRDefault="003755FB" w14:paraId="50B88A80" w14:textId="77777777">
            <w:pPr>
              <w:rPr>
                <w:sz w:val="24"/>
                <w:szCs w:val="24"/>
              </w:rPr>
            </w:pPr>
            <w:r w:rsidRPr="005D7E20">
              <w:rPr>
                <w:sz w:val="24"/>
                <w:szCs w:val="24"/>
              </w:rPr>
              <w:t>1</w:t>
            </w:r>
            <w:r w:rsidRPr="005D7E20">
              <w:rPr>
                <w:sz w:val="24"/>
                <w:szCs w:val="24"/>
                <w:vertAlign w:val="superscript"/>
              </w:rPr>
              <w:t>st</w:t>
            </w:r>
            <w:r w:rsidRPr="005D7E20">
              <w:rPr>
                <w:sz w:val="24"/>
                <w:szCs w:val="24"/>
              </w:rPr>
              <w:t xml:space="preserve"> Quarter</w:t>
            </w:r>
          </w:p>
        </w:tc>
        <w:tc>
          <w:tcPr>
            <w:tcW w:w="4500" w:type="dxa"/>
          </w:tcPr>
          <w:p w:rsidRPr="005D7E20" w:rsidR="003755FB" w:rsidP="000F6B66" w:rsidRDefault="003755FB" w14:paraId="52A61E33" w14:textId="1D03E7A2">
            <w:pPr>
              <w:rPr>
                <w:sz w:val="24"/>
                <w:szCs w:val="24"/>
              </w:rPr>
            </w:pPr>
            <w:r w:rsidRPr="005D7E20">
              <w:rPr>
                <w:sz w:val="24"/>
                <w:szCs w:val="24"/>
              </w:rPr>
              <w:t>September 1, 202</w:t>
            </w:r>
            <w:r w:rsidRPr="005D7E20" w:rsidR="00F831A1">
              <w:rPr>
                <w:sz w:val="24"/>
                <w:szCs w:val="24"/>
              </w:rPr>
              <w:t>2</w:t>
            </w:r>
            <w:r w:rsidRPr="005D7E20">
              <w:rPr>
                <w:sz w:val="24"/>
                <w:szCs w:val="24"/>
              </w:rPr>
              <w:t xml:space="preserve"> – December 31, 202</w:t>
            </w:r>
            <w:r w:rsidRPr="005D7E20" w:rsidR="00F831A1">
              <w:rPr>
                <w:sz w:val="24"/>
                <w:szCs w:val="24"/>
              </w:rPr>
              <w:t>2</w:t>
            </w:r>
          </w:p>
        </w:tc>
        <w:tc>
          <w:tcPr>
            <w:tcW w:w="2155" w:type="dxa"/>
          </w:tcPr>
          <w:p w:rsidRPr="005D7E20" w:rsidR="003755FB" w:rsidP="000F6B66" w:rsidRDefault="003755FB" w14:paraId="49E1723A" w14:textId="7CDADE73">
            <w:pPr>
              <w:rPr>
                <w:sz w:val="24"/>
                <w:szCs w:val="24"/>
              </w:rPr>
            </w:pPr>
            <w:r w:rsidRPr="005D7E20">
              <w:rPr>
                <w:sz w:val="24"/>
                <w:szCs w:val="24"/>
              </w:rPr>
              <w:t xml:space="preserve">January </w:t>
            </w:r>
            <w:r w:rsidRPr="005D7E20" w:rsidR="00F831A1">
              <w:rPr>
                <w:sz w:val="24"/>
                <w:szCs w:val="24"/>
              </w:rPr>
              <w:t>31</w:t>
            </w:r>
            <w:r w:rsidRPr="005D7E20">
              <w:rPr>
                <w:sz w:val="24"/>
                <w:szCs w:val="24"/>
              </w:rPr>
              <w:t>, 202</w:t>
            </w:r>
            <w:r w:rsidRPr="005D7E20" w:rsidR="004F01AA">
              <w:rPr>
                <w:sz w:val="24"/>
                <w:szCs w:val="24"/>
              </w:rPr>
              <w:t>3</w:t>
            </w:r>
          </w:p>
        </w:tc>
      </w:tr>
      <w:tr w:rsidRPr="005D7E20" w:rsidR="003755FB" w:rsidTr="000F6B66" w14:paraId="308541B9" w14:textId="77777777">
        <w:trPr>
          <w:cantSplit/>
          <w:tblHeader/>
        </w:trPr>
        <w:tc>
          <w:tcPr>
            <w:tcW w:w="2695" w:type="dxa"/>
          </w:tcPr>
          <w:p w:rsidRPr="005D7E20" w:rsidR="003755FB" w:rsidP="000F6B66" w:rsidRDefault="003755FB" w14:paraId="27EA4674" w14:textId="77777777">
            <w:pPr>
              <w:rPr>
                <w:sz w:val="24"/>
                <w:szCs w:val="24"/>
              </w:rPr>
            </w:pPr>
            <w:r w:rsidRPr="005D7E20">
              <w:rPr>
                <w:sz w:val="24"/>
                <w:szCs w:val="24"/>
              </w:rPr>
              <w:t>Interim</w:t>
            </w:r>
          </w:p>
        </w:tc>
        <w:tc>
          <w:tcPr>
            <w:tcW w:w="4500" w:type="dxa"/>
          </w:tcPr>
          <w:p w:rsidRPr="005D7E20" w:rsidR="003755FB" w:rsidP="000F6B66" w:rsidRDefault="003755FB" w14:paraId="619D96F2" w14:textId="098CC1A1">
            <w:pPr>
              <w:rPr>
                <w:sz w:val="24"/>
                <w:szCs w:val="24"/>
              </w:rPr>
            </w:pPr>
            <w:r w:rsidRPr="005D7E20">
              <w:rPr>
                <w:sz w:val="24"/>
                <w:szCs w:val="24"/>
              </w:rPr>
              <w:t>September 1, 202</w:t>
            </w:r>
            <w:r w:rsidRPr="005D7E20" w:rsidR="004F01AA">
              <w:rPr>
                <w:sz w:val="24"/>
                <w:szCs w:val="24"/>
              </w:rPr>
              <w:t>2</w:t>
            </w:r>
            <w:r w:rsidRPr="005D7E20">
              <w:rPr>
                <w:sz w:val="24"/>
                <w:szCs w:val="24"/>
              </w:rPr>
              <w:t xml:space="preserve"> – March 31, 202</w:t>
            </w:r>
            <w:r w:rsidRPr="005D7E20" w:rsidR="004F01AA">
              <w:rPr>
                <w:sz w:val="24"/>
                <w:szCs w:val="24"/>
              </w:rPr>
              <w:t>3</w:t>
            </w:r>
          </w:p>
        </w:tc>
        <w:tc>
          <w:tcPr>
            <w:tcW w:w="2155" w:type="dxa"/>
          </w:tcPr>
          <w:p w:rsidRPr="005D7E20" w:rsidR="003755FB" w:rsidP="000F6B66" w:rsidRDefault="003755FB" w14:paraId="75B4B4B4" w14:textId="559AAB49">
            <w:pPr>
              <w:rPr>
                <w:sz w:val="24"/>
                <w:szCs w:val="24"/>
              </w:rPr>
            </w:pPr>
            <w:r w:rsidRPr="005D7E20">
              <w:rPr>
                <w:sz w:val="24"/>
                <w:szCs w:val="24"/>
              </w:rPr>
              <w:t>April 30, 202</w:t>
            </w:r>
            <w:r w:rsidRPr="005D7E20" w:rsidR="004F01AA">
              <w:rPr>
                <w:sz w:val="24"/>
                <w:szCs w:val="24"/>
              </w:rPr>
              <w:t>3</w:t>
            </w:r>
          </w:p>
        </w:tc>
      </w:tr>
      <w:tr w:rsidRPr="005D7E20" w:rsidR="003755FB" w:rsidTr="000F6B66" w14:paraId="067151BC" w14:textId="77777777">
        <w:trPr>
          <w:cantSplit/>
          <w:tblHeader/>
        </w:trPr>
        <w:tc>
          <w:tcPr>
            <w:tcW w:w="2695" w:type="dxa"/>
          </w:tcPr>
          <w:p w:rsidRPr="005D7E20" w:rsidR="003755FB" w:rsidP="000F6B66" w:rsidRDefault="003755FB" w14:paraId="03371214" w14:textId="77777777">
            <w:pPr>
              <w:rPr>
                <w:sz w:val="24"/>
                <w:szCs w:val="24"/>
              </w:rPr>
            </w:pPr>
            <w:r w:rsidRPr="005D7E20">
              <w:rPr>
                <w:sz w:val="24"/>
                <w:szCs w:val="24"/>
              </w:rPr>
              <w:t>3</w:t>
            </w:r>
            <w:r w:rsidRPr="005D7E20">
              <w:rPr>
                <w:sz w:val="24"/>
                <w:szCs w:val="24"/>
                <w:vertAlign w:val="superscript"/>
              </w:rPr>
              <w:t>rd</w:t>
            </w:r>
            <w:r w:rsidRPr="005D7E20">
              <w:rPr>
                <w:sz w:val="24"/>
                <w:szCs w:val="24"/>
              </w:rPr>
              <w:t xml:space="preserve"> Quarter</w:t>
            </w:r>
          </w:p>
        </w:tc>
        <w:tc>
          <w:tcPr>
            <w:tcW w:w="4500" w:type="dxa"/>
          </w:tcPr>
          <w:p w:rsidRPr="005D7E20" w:rsidR="003755FB" w:rsidP="000F6B66" w:rsidRDefault="003755FB" w14:paraId="72BD41C2" w14:textId="6D286813">
            <w:pPr>
              <w:rPr>
                <w:sz w:val="24"/>
                <w:szCs w:val="24"/>
              </w:rPr>
            </w:pPr>
            <w:r w:rsidRPr="005D7E20">
              <w:rPr>
                <w:sz w:val="24"/>
                <w:szCs w:val="24"/>
              </w:rPr>
              <w:t>September 1, 202</w:t>
            </w:r>
            <w:r w:rsidRPr="005D7E20" w:rsidR="004F01AA">
              <w:rPr>
                <w:sz w:val="24"/>
                <w:szCs w:val="24"/>
              </w:rPr>
              <w:t>2</w:t>
            </w:r>
            <w:r w:rsidRPr="005D7E20">
              <w:rPr>
                <w:sz w:val="24"/>
                <w:szCs w:val="24"/>
              </w:rPr>
              <w:t xml:space="preserve"> – June 30, 202</w:t>
            </w:r>
            <w:r w:rsidRPr="005D7E20" w:rsidR="004F01AA">
              <w:rPr>
                <w:sz w:val="24"/>
                <w:szCs w:val="24"/>
              </w:rPr>
              <w:t>3</w:t>
            </w:r>
          </w:p>
        </w:tc>
        <w:tc>
          <w:tcPr>
            <w:tcW w:w="2155" w:type="dxa"/>
          </w:tcPr>
          <w:p w:rsidRPr="005D7E20" w:rsidR="003755FB" w:rsidP="000F6B66" w:rsidRDefault="003755FB" w14:paraId="6190AE08" w14:textId="5001FFE0">
            <w:pPr>
              <w:rPr>
                <w:sz w:val="24"/>
                <w:szCs w:val="24"/>
              </w:rPr>
            </w:pPr>
            <w:r w:rsidRPr="005D7E20">
              <w:rPr>
                <w:sz w:val="24"/>
                <w:szCs w:val="24"/>
              </w:rPr>
              <w:t>July 3</w:t>
            </w:r>
            <w:r w:rsidRPr="005D7E20" w:rsidR="004F01AA">
              <w:rPr>
                <w:sz w:val="24"/>
                <w:szCs w:val="24"/>
              </w:rPr>
              <w:t>1</w:t>
            </w:r>
            <w:r w:rsidRPr="005D7E20">
              <w:rPr>
                <w:sz w:val="24"/>
                <w:szCs w:val="24"/>
              </w:rPr>
              <w:t>, 202</w:t>
            </w:r>
            <w:r w:rsidRPr="005D7E20" w:rsidR="004F01AA">
              <w:rPr>
                <w:sz w:val="24"/>
                <w:szCs w:val="24"/>
              </w:rPr>
              <w:t>3</w:t>
            </w:r>
          </w:p>
        </w:tc>
      </w:tr>
      <w:tr w:rsidRPr="005D7E20" w:rsidR="003755FB" w:rsidTr="000F6B66" w14:paraId="41AEE76E" w14:textId="77777777">
        <w:trPr>
          <w:cantSplit/>
          <w:tblHeader/>
        </w:trPr>
        <w:tc>
          <w:tcPr>
            <w:tcW w:w="2695" w:type="dxa"/>
          </w:tcPr>
          <w:p w:rsidRPr="005D7E20" w:rsidR="003755FB" w:rsidP="000F6B66" w:rsidRDefault="003755FB" w14:paraId="44595132" w14:textId="77777777">
            <w:pPr>
              <w:rPr>
                <w:sz w:val="24"/>
                <w:szCs w:val="24"/>
              </w:rPr>
            </w:pPr>
            <w:r w:rsidRPr="005D7E20">
              <w:rPr>
                <w:sz w:val="24"/>
                <w:szCs w:val="24"/>
              </w:rPr>
              <w:t>Final</w:t>
            </w:r>
          </w:p>
        </w:tc>
        <w:tc>
          <w:tcPr>
            <w:tcW w:w="4500" w:type="dxa"/>
          </w:tcPr>
          <w:p w:rsidRPr="005D7E20" w:rsidR="003755FB" w:rsidP="000F6B66" w:rsidRDefault="003755FB" w14:paraId="318CB1F9" w14:textId="07D1E5C9">
            <w:pPr>
              <w:rPr>
                <w:sz w:val="24"/>
                <w:szCs w:val="24"/>
              </w:rPr>
            </w:pPr>
            <w:r w:rsidRPr="005D7E20">
              <w:rPr>
                <w:sz w:val="24"/>
                <w:szCs w:val="24"/>
              </w:rPr>
              <w:t>September 1, 202</w:t>
            </w:r>
            <w:r w:rsidRPr="005D7E20" w:rsidR="004F01AA">
              <w:rPr>
                <w:sz w:val="24"/>
                <w:szCs w:val="24"/>
              </w:rPr>
              <w:t>2</w:t>
            </w:r>
            <w:r w:rsidRPr="005D7E20">
              <w:rPr>
                <w:sz w:val="24"/>
                <w:szCs w:val="24"/>
              </w:rPr>
              <w:t xml:space="preserve"> – August 31, 202</w:t>
            </w:r>
            <w:r w:rsidRPr="005D7E20" w:rsidR="004F01AA">
              <w:rPr>
                <w:sz w:val="24"/>
                <w:szCs w:val="24"/>
              </w:rPr>
              <w:t>3</w:t>
            </w:r>
          </w:p>
        </w:tc>
        <w:tc>
          <w:tcPr>
            <w:tcW w:w="2155" w:type="dxa"/>
          </w:tcPr>
          <w:p w:rsidRPr="005D7E20" w:rsidR="003755FB" w:rsidP="000F6B66" w:rsidRDefault="003755FB" w14:paraId="7D9469E1" w14:textId="52542199">
            <w:pPr>
              <w:rPr>
                <w:sz w:val="24"/>
                <w:szCs w:val="24"/>
              </w:rPr>
            </w:pPr>
            <w:r w:rsidRPr="005D7E20">
              <w:rPr>
                <w:sz w:val="24"/>
                <w:szCs w:val="24"/>
              </w:rPr>
              <w:t xml:space="preserve">October </w:t>
            </w:r>
            <w:r w:rsidRPr="005D7E20" w:rsidR="004F01AA">
              <w:rPr>
                <w:sz w:val="24"/>
                <w:szCs w:val="24"/>
              </w:rPr>
              <w:t>31</w:t>
            </w:r>
            <w:r w:rsidRPr="005D7E20">
              <w:rPr>
                <w:sz w:val="24"/>
                <w:szCs w:val="24"/>
              </w:rPr>
              <w:t>, 202</w:t>
            </w:r>
            <w:r w:rsidRPr="005D7E20" w:rsidR="004F01AA">
              <w:rPr>
                <w:sz w:val="24"/>
                <w:szCs w:val="24"/>
              </w:rPr>
              <w:t>3</w:t>
            </w:r>
          </w:p>
        </w:tc>
      </w:tr>
      <w:bookmarkEnd w:id="19"/>
    </w:tbl>
    <w:p w:rsidRPr="005D7E20" w:rsidR="00D63372" w:rsidP="003755FB" w:rsidRDefault="00D63372" w14:paraId="0A150DEB" w14:textId="77777777">
      <w:pPr>
        <w:rPr>
          <w:sz w:val="24"/>
          <w:szCs w:val="24"/>
        </w:rPr>
      </w:pPr>
    </w:p>
    <w:p w:rsidRPr="005D7E20" w:rsidR="003B381E" w:rsidP="003755FB" w:rsidRDefault="003755FB" w14:paraId="1A58CBD8" w14:textId="74A2CA14">
      <w:pPr>
        <w:rPr>
          <w:bCs/>
          <w:sz w:val="24"/>
          <w:szCs w:val="24"/>
        </w:rPr>
      </w:pPr>
      <w:r w:rsidRPr="005D7E20">
        <w:rPr>
          <w:sz w:val="24"/>
          <w:szCs w:val="24"/>
        </w:rPr>
        <w:t xml:space="preserve">The grantee will be required to submit the above reports through the online EWEG system at </w:t>
      </w:r>
      <w:hyperlink w:tooltip="http://homeroom.state.nj.us/" w:history="1" r:id="rId19">
        <w:r w:rsidRPr="005D7E20">
          <w:rPr>
            <w:rStyle w:val="Hyperlink"/>
            <w:sz w:val="24"/>
            <w:szCs w:val="24"/>
          </w:rPr>
          <w:t>http://homeroom.state.nj.us</w:t>
        </w:r>
      </w:hyperlink>
      <w:r w:rsidRPr="005D7E20">
        <w:rPr>
          <w:sz w:val="24"/>
          <w:szCs w:val="24"/>
        </w:rPr>
        <w:t xml:space="preserve"> on the dates specified above. Accompanying the program report, grantees are required to submit a narrative summary of activities conducted during the reporting period. This summary may be submitted as an upload within EWEG. The final program and fiscal report must include a final evaluation report of the overall effectiveness of the training and technical assistance activities. Accompanying each quarterly report is a narrative summary of activities conducted during the </w:t>
      </w:r>
      <w:r w:rsidRPr="005D7E20">
        <w:rPr>
          <w:sz w:val="24"/>
          <w:szCs w:val="24"/>
        </w:rPr>
        <w:lastRenderedPageBreak/>
        <w:t>reporting period.</w:t>
      </w:r>
      <w:r w:rsidRPr="005D7E20">
        <w:rPr>
          <w:bCs/>
          <w:sz w:val="24"/>
          <w:szCs w:val="24"/>
        </w:rPr>
        <w:t xml:space="preserve"> NJDOE reserves the right to request additional reports throughout the year if necessary. After the final report is reviewed and approved, at all four levels in EWEG, a payment will be issued, if funds were due to the agency.</w:t>
      </w:r>
    </w:p>
    <w:p w:rsidRPr="005D7E20" w:rsidR="00B47D56" w:rsidP="00C30FF0" w:rsidRDefault="0051410D" w14:paraId="7E4FA5DE" w14:textId="29036D36">
      <w:pPr>
        <w:pStyle w:val="Heading3"/>
      </w:pPr>
      <w:bookmarkStart w:name="_Toc60042614" w:id="20"/>
      <w:r w:rsidRPr="005D7E20">
        <w:t>Assessment of Statewide Program Results</w:t>
      </w:r>
      <w:bookmarkEnd w:id="20"/>
    </w:p>
    <w:p w:rsidRPr="005D7E20" w:rsidR="003755FB" w:rsidP="003755FB" w:rsidRDefault="003755FB" w14:paraId="30388A15" w14:textId="34CDF2A0">
      <w:pPr>
        <w:pStyle w:val="UMText"/>
        <w:rPr>
          <w:rFonts w:ascii="Times New Roman" w:hAnsi="Times New Roman"/>
          <w:szCs w:val="24"/>
        </w:rPr>
      </w:pPr>
      <w:bookmarkStart w:name="_Toc60042615" w:id="21"/>
      <w:r w:rsidRPr="005D7E20">
        <w:rPr>
          <w:rFonts w:ascii="Times New Roman" w:hAnsi="Times New Roman"/>
          <w:szCs w:val="24"/>
        </w:rPr>
        <w:t xml:space="preserve">The NJDOE will utilize all available data to assess the effectiveness of the grantee. Data must include, but is not limited to, participant evaluations, follow-up surveys, quarterly reports and deliverables outlined in this 21st CCLC Training and Technical Assistance NGO. The evaluation of this project will be based on the extent to which the grantee: </w:t>
      </w:r>
    </w:p>
    <w:p w:rsidRPr="005D7E20" w:rsidR="003755FB" w:rsidP="003755FB" w:rsidRDefault="003755FB" w14:paraId="04160EBD" w14:textId="77777777">
      <w:pPr>
        <w:pStyle w:val="UMText"/>
        <w:numPr>
          <w:ilvl w:val="0"/>
          <w:numId w:val="35"/>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rPr>
          <w:rFonts w:ascii="Times New Roman" w:hAnsi="Times New Roman"/>
          <w:szCs w:val="24"/>
        </w:rPr>
      </w:pPr>
      <w:r w:rsidRPr="005D7E20">
        <w:rPr>
          <w:rFonts w:ascii="Times New Roman" w:hAnsi="Times New Roman"/>
          <w:szCs w:val="24"/>
        </w:rPr>
        <w:t>Fulfills the requirements detailed in this NGO, including deliverables, timelines and quarterly reporting;</w:t>
      </w:r>
    </w:p>
    <w:p w:rsidRPr="005D7E20" w:rsidR="003755FB" w:rsidP="003755FB" w:rsidRDefault="003755FB" w14:paraId="5D402A98" w14:textId="77777777">
      <w:pPr>
        <w:pStyle w:val="UMText"/>
        <w:numPr>
          <w:ilvl w:val="0"/>
          <w:numId w:val="35"/>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rPr>
          <w:rFonts w:ascii="Times New Roman" w:hAnsi="Times New Roman"/>
          <w:szCs w:val="24"/>
        </w:rPr>
      </w:pPr>
      <w:r w:rsidRPr="005D7E20">
        <w:rPr>
          <w:rFonts w:ascii="Times New Roman" w:hAnsi="Times New Roman"/>
          <w:szCs w:val="24"/>
        </w:rPr>
        <w:t xml:space="preserve">Provides trainings that are appropriate and effective using the results of the participant evaluation forms, follow-up surveys, and other appropriate methods of data collection; and </w:t>
      </w:r>
    </w:p>
    <w:p w:rsidRPr="005D7E20" w:rsidR="003755FB" w:rsidP="003755FB" w:rsidRDefault="003755FB" w14:paraId="32235041" w14:textId="09546C01">
      <w:pPr>
        <w:pStyle w:val="UMText"/>
        <w:numPr>
          <w:ilvl w:val="0"/>
          <w:numId w:val="35"/>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rPr>
          <w:rFonts w:ascii="Times New Roman" w:hAnsi="Times New Roman"/>
          <w:szCs w:val="24"/>
        </w:rPr>
      </w:pPr>
      <w:r w:rsidRPr="005D7E20">
        <w:rPr>
          <w:rFonts w:ascii="Times New Roman" w:hAnsi="Times New Roman"/>
          <w:szCs w:val="24"/>
        </w:rPr>
        <w:t xml:space="preserve">Attains the goals, objectives and indicators described in </w:t>
      </w:r>
      <w:r w:rsidRPr="005D7E20" w:rsidR="00F53FEB">
        <w:rPr>
          <w:rFonts w:ascii="Times New Roman" w:hAnsi="Times New Roman"/>
          <w:szCs w:val="24"/>
        </w:rPr>
        <w:t>s</w:t>
      </w:r>
      <w:r w:rsidRPr="005D7E20">
        <w:rPr>
          <w:rFonts w:ascii="Times New Roman" w:hAnsi="Times New Roman"/>
          <w:szCs w:val="24"/>
        </w:rPr>
        <w:t>ection 2.</w:t>
      </w:r>
    </w:p>
    <w:p w:rsidRPr="005D7E20" w:rsidR="003755FB" w:rsidP="003755FB" w:rsidRDefault="003755FB" w14:paraId="6A1FD17D" w14:textId="2C3087FB">
      <w:pPr>
        <w:pStyle w:val="UMText"/>
        <w:rPr>
          <w:rFonts w:ascii="Times New Roman" w:hAnsi="Times New Roman"/>
          <w:szCs w:val="24"/>
        </w:rPr>
      </w:pPr>
      <w:r w:rsidRPr="005D7E20">
        <w:rPr>
          <w:rFonts w:ascii="Times New Roman" w:hAnsi="Times New Roman"/>
          <w:szCs w:val="24"/>
        </w:rPr>
        <w:t xml:space="preserve">Annually, the grantee must also evaluate the overall effectiveness of the training and technical assistance activities. Federal legislation requires that the local evaluation is based on the factors included in the </w:t>
      </w:r>
      <w:r w:rsidRPr="005D7E20">
        <w:rPr>
          <w:rFonts w:ascii="Times New Roman" w:hAnsi="Times New Roman"/>
          <w:bCs/>
          <w:i/>
          <w:color w:val="000000"/>
          <w:szCs w:val="24"/>
        </w:rPr>
        <w:t>Measures of Effectiveness</w:t>
      </w:r>
      <w:r w:rsidRPr="005D7E20">
        <w:rPr>
          <w:rFonts w:ascii="Times New Roman" w:hAnsi="Times New Roman"/>
          <w:bCs/>
          <w:color w:val="000000"/>
          <w:szCs w:val="24"/>
        </w:rPr>
        <w:t xml:space="preserve"> </w:t>
      </w:r>
      <w:r w:rsidRPr="005D7E20">
        <w:rPr>
          <w:rFonts w:ascii="Times New Roman" w:hAnsi="Times New Roman"/>
          <w:color w:val="000000"/>
          <w:szCs w:val="24"/>
        </w:rPr>
        <w:t xml:space="preserve">pursuant to Title IV, Part B, Sec.4205 (b)(1). For this NGO, the </w:t>
      </w:r>
      <w:r w:rsidRPr="005D7E20">
        <w:rPr>
          <w:rFonts w:ascii="Times New Roman" w:hAnsi="Times New Roman"/>
          <w:bCs/>
          <w:i/>
          <w:color w:val="000000"/>
          <w:szCs w:val="24"/>
        </w:rPr>
        <w:t xml:space="preserve">Measures of Effectiveness </w:t>
      </w:r>
      <w:r w:rsidRPr="005D7E20">
        <w:rPr>
          <w:rFonts w:ascii="Times New Roman" w:hAnsi="Times New Roman"/>
          <w:bCs/>
          <w:color w:val="000000"/>
          <w:szCs w:val="24"/>
        </w:rPr>
        <w:t>are defined as follows</w:t>
      </w:r>
      <w:r w:rsidRPr="005D7E20">
        <w:rPr>
          <w:rFonts w:ascii="Times New Roman" w:hAnsi="Times New Roman"/>
          <w:szCs w:val="24"/>
        </w:rPr>
        <w:t>:</w:t>
      </w:r>
    </w:p>
    <w:p w:rsidRPr="005D7E20" w:rsidR="003755FB" w:rsidP="003755FB" w:rsidRDefault="003755FB" w14:paraId="61B49EA5" w14:textId="77777777">
      <w:pPr>
        <w:pStyle w:val="ListParagraph"/>
        <w:numPr>
          <w:ilvl w:val="0"/>
          <w:numId w:val="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An assessment of objective data; </w:t>
      </w:r>
    </w:p>
    <w:p w:rsidRPr="005D7E20" w:rsidR="003755FB" w:rsidP="003755FB" w:rsidRDefault="003755FB" w14:paraId="693711E8" w14:textId="77777777">
      <w:pPr>
        <w:pStyle w:val="ListParagraph"/>
        <w:numPr>
          <w:ilvl w:val="0"/>
          <w:numId w:val="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An established set of performance measures aimed at ensuring the availability of high-quality opportunities; and</w:t>
      </w:r>
    </w:p>
    <w:p w:rsidRPr="005D7E20" w:rsidR="003755FB" w:rsidP="003755FB" w:rsidRDefault="003755FB" w14:paraId="013083B4" w14:textId="48058766">
      <w:pPr>
        <w:pStyle w:val="ListParagraph"/>
        <w:numPr>
          <w:ilvl w:val="0"/>
          <w:numId w:val="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Based upon evidence-based research that the training will help program staff understand the challenging State academic standards.</w:t>
      </w:r>
    </w:p>
    <w:p w:rsidRPr="005D7E20" w:rsidR="003755FB" w:rsidP="003755FB" w:rsidRDefault="003755FB" w14:paraId="3D393DCD" w14:textId="439DE9E5">
      <w:pPr>
        <w:pStyle w:val="UMText"/>
        <w:spacing w:after="240"/>
        <w:rPr>
          <w:rFonts w:ascii="Times New Roman" w:hAnsi="Times New Roman"/>
          <w:szCs w:val="24"/>
        </w:rPr>
      </w:pPr>
      <w:r w:rsidRPr="005D7E20">
        <w:rPr>
          <w:rFonts w:ascii="Times New Roman" w:hAnsi="Times New Roman"/>
          <w:szCs w:val="24"/>
        </w:rPr>
        <w:t xml:space="preserve">Additionally, the results of the evaluation must be used to refine, improve, and strengthen the training and technical assistance plan. NJDOE reserves the right to request returned funds if the report is deemed insufficient and unsatisfactory. </w:t>
      </w:r>
    </w:p>
    <w:p w:rsidRPr="005D7E20" w:rsidR="002561BC" w:rsidP="00C30FF0" w:rsidRDefault="0051410D" w14:paraId="2A88E071" w14:textId="715C4CE9">
      <w:pPr>
        <w:pStyle w:val="Heading3"/>
      </w:pPr>
      <w:r w:rsidRPr="005D7E20">
        <w:t>Reimbursement Requests</w:t>
      </w:r>
      <w:bookmarkEnd w:id="21"/>
      <w:r w:rsidRPr="005D7E20">
        <w:t xml:space="preserve"> </w:t>
      </w:r>
    </w:p>
    <w:p w:rsidRPr="005D7E20" w:rsidR="003755FB" w:rsidP="003755FB" w:rsidRDefault="003755FB" w14:paraId="03685957" w14:textId="49C5E3BE">
      <w:pPr>
        <w:rPr>
          <w:sz w:val="24"/>
          <w:szCs w:val="24"/>
        </w:rPr>
      </w:pPr>
      <w:bookmarkStart w:name="_Section_2:_" w:id="22"/>
      <w:bookmarkEnd w:id="22"/>
      <w:r w:rsidRPr="005D7E20">
        <w:rPr>
          <w:sz w:val="24"/>
          <w:szCs w:val="24"/>
        </w:rPr>
        <w:t xml:space="preserve">Payment of grant funds is made through a reimbursement system. Reimbursement requests for any grant funds the local project has expended are made through the EWEG system. Reimbursement requests may begin once the application has been marked “Final Approved” in the EWEG system, and the grantee has accepted the award by clicking on the “Accept Award” button on the Application Select page and completed the Grant Acceptance Certificate information. Payments cannot be processed until the award has been accepted in EWEG. </w:t>
      </w:r>
    </w:p>
    <w:p w:rsidRPr="005D7E20" w:rsidR="003755FB" w:rsidP="003755FB" w:rsidRDefault="003755FB" w14:paraId="63C6F98A" w14:textId="0D3BF531">
      <w:pPr>
        <w:rPr>
          <w:sz w:val="24"/>
          <w:szCs w:val="24"/>
        </w:rPr>
      </w:pPr>
      <w:r w:rsidRPr="005D7E20">
        <w:rPr>
          <w:sz w:val="24"/>
          <w:szCs w:val="24"/>
        </w:rPr>
        <w:t>This grant program is federally funded. Federal funds have an expiration date after which grant funds, even appropriately spent, cannot be reimbursed. It is the responsibility of the awarded agency to avoid forfeiting grant funds by creating and submitting reimbursement request and report by the requested deadlines. The date to submit the last reimbursement request is August 1</w:t>
      </w:r>
      <w:r w:rsidRPr="005D7E20" w:rsidR="0074171F">
        <w:rPr>
          <w:sz w:val="24"/>
          <w:szCs w:val="24"/>
        </w:rPr>
        <w:t>2</w:t>
      </w:r>
      <w:r w:rsidRPr="005D7E20">
        <w:rPr>
          <w:sz w:val="24"/>
          <w:szCs w:val="24"/>
        </w:rPr>
        <w:t>, 202</w:t>
      </w:r>
      <w:r w:rsidRPr="005D7E20" w:rsidR="0074171F">
        <w:rPr>
          <w:sz w:val="24"/>
          <w:szCs w:val="24"/>
        </w:rPr>
        <w:t>3</w:t>
      </w:r>
      <w:r w:rsidRPr="005D7E20">
        <w:rPr>
          <w:sz w:val="24"/>
          <w:szCs w:val="24"/>
        </w:rPr>
        <w:t>. If approved, the last reimbursement request should be paid by end of September or early October. Please keep in mind that the EWEG system cannot process both Reimbursement Requests and Final Reports simultaneously.</w:t>
      </w:r>
      <w:r w:rsidRPr="005D7E20" w:rsidR="00922A93">
        <w:rPr>
          <w:sz w:val="24"/>
          <w:szCs w:val="24"/>
        </w:rPr>
        <w:t xml:space="preserve"> The last Reimbursement Request must be submitted prior to the Final Report.</w:t>
      </w:r>
    </w:p>
    <w:p w:rsidRPr="005D7E20" w:rsidR="003755FB" w:rsidP="003755FB" w:rsidRDefault="003755FB" w14:paraId="7797CA2C" w14:textId="4ED9BA37">
      <w:pPr>
        <w:rPr>
          <w:sz w:val="24"/>
          <w:szCs w:val="24"/>
        </w:rPr>
      </w:pPr>
      <w:r w:rsidRPr="005D7E20">
        <w:rPr>
          <w:sz w:val="24"/>
          <w:szCs w:val="24"/>
        </w:rPr>
        <w:lastRenderedPageBreak/>
        <w:t>Only one (1) reimbursement request may be submitted per month. In order to receive a reimbursement at the beginning of the following month, applicants, if awarded, must submit a monthly request no later than the 15th of the month. The requests may include funds that will be expended through the last calendar day of the month in which reimbursement is requested. If the grantees’ request is approved by the NJDOE program officer, the grantee should receive payment approximately the 10th of the following month.</w:t>
      </w:r>
    </w:p>
    <w:p w:rsidRPr="005D7E20" w:rsidR="003755FB" w:rsidP="003755FB" w:rsidRDefault="003755FB" w14:paraId="06C9CCE9" w14:textId="086C0257">
      <w:pPr>
        <w:pStyle w:val="Heading4"/>
        <w:rPr>
          <w:b w:val="0"/>
          <w:color w:val="44546A" w:themeColor="text2"/>
          <w:szCs w:val="24"/>
        </w:rPr>
      </w:pPr>
      <w:r w:rsidRPr="005D7E20">
        <w:rPr>
          <w:b w:val="0"/>
          <w:color w:val="44546A" w:themeColor="text2"/>
          <w:szCs w:val="24"/>
        </w:rPr>
        <w:t>Electronic Payments</w:t>
      </w:r>
    </w:p>
    <w:p w:rsidRPr="005D7E20" w:rsidR="003755FB" w:rsidP="003755FB" w:rsidRDefault="003755FB" w14:paraId="12911569" w14:textId="00792F7B">
      <w:pPr>
        <w:rPr>
          <w:bCs/>
          <w:sz w:val="24"/>
          <w:szCs w:val="24"/>
        </w:rPr>
      </w:pPr>
      <w:r w:rsidRPr="005D7E20">
        <w:rPr>
          <w:sz w:val="24"/>
          <w:szCs w:val="24"/>
        </w:rPr>
        <w:t xml:space="preserve">In order to receive electronic payments from the State of New Jersey, the New Jersey Department of Treasury requires the grantee to submit the </w:t>
      </w:r>
      <w:r w:rsidRPr="005D7E20">
        <w:rPr>
          <w:i/>
          <w:sz w:val="24"/>
          <w:szCs w:val="24"/>
        </w:rPr>
        <w:t>Electronic Payment Authorization for Automatic Deposits (ACH Credits) form</w:t>
      </w:r>
      <w:r w:rsidRPr="005D7E20">
        <w:rPr>
          <w:sz w:val="24"/>
          <w:szCs w:val="24"/>
        </w:rPr>
        <w:t xml:space="preserve"> and the </w:t>
      </w:r>
      <w:r w:rsidRPr="005D7E20">
        <w:rPr>
          <w:i/>
          <w:sz w:val="24"/>
          <w:szCs w:val="24"/>
        </w:rPr>
        <w:t>W-9/Vendor Questionnaire</w:t>
      </w:r>
      <w:r w:rsidRPr="005D7E20">
        <w:rPr>
          <w:bCs/>
          <w:i/>
          <w:sz w:val="24"/>
          <w:szCs w:val="24"/>
        </w:rPr>
        <w:t xml:space="preserve"> form</w:t>
      </w:r>
      <w:r w:rsidRPr="005D7E20">
        <w:rPr>
          <w:bCs/>
          <w:sz w:val="24"/>
          <w:szCs w:val="24"/>
        </w:rPr>
        <w:t xml:space="preserve"> directly to the Department of Treasury.  These forms can be found on the </w:t>
      </w:r>
      <w:hyperlink w:tooltip="Department of Treasury website" w:history="1" r:id="rId20">
        <w:r w:rsidRPr="005D7E20">
          <w:rPr>
            <w:rStyle w:val="Hyperlink"/>
            <w:bCs/>
            <w:sz w:val="24"/>
            <w:szCs w:val="24"/>
          </w:rPr>
          <w:t>Department of Treasury website</w:t>
        </w:r>
      </w:hyperlink>
      <w:r w:rsidRPr="005D7E20">
        <w:rPr>
          <w:bCs/>
          <w:sz w:val="24"/>
          <w:szCs w:val="24"/>
        </w:rPr>
        <w:t>. P</w:t>
      </w:r>
      <w:r w:rsidRPr="005D7E20">
        <w:rPr>
          <w:sz w:val="24"/>
          <w:szCs w:val="24"/>
        </w:rPr>
        <w:t xml:space="preserve">lease contact vendor control at (609) 633-8183 or via email to </w:t>
      </w:r>
      <w:hyperlink w:history="1" r:id="rId21">
        <w:r w:rsidRPr="005D7E20">
          <w:rPr>
            <w:rStyle w:val="Hyperlink"/>
            <w:sz w:val="24"/>
            <w:szCs w:val="24"/>
          </w:rPr>
          <w:t>AAIUNIT@treas.nj.gov</w:t>
        </w:r>
      </w:hyperlink>
      <w:r w:rsidRPr="005D7E20">
        <w:rPr>
          <w:sz w:val="24"/>
          <w:szCs w:val="24"/>
        </w:rPr>
        <w:t xml:space="preserve"> or contact the </w:t>
      </w:r>
      <w:r w:rsidRPr="005D7E20">
        <w:rPr>
          <w:bCs/>
          <w:sz w:val="24"/>
          <w:szCs w:val="24"/>
        </w:rPr>
        <w:t xml:space="preserve">Office of Management and Budget at </w:t>
      </w:r>
      <w:r w:rsidRPr="005D7E20">
        <w:rPr>
          <w:sz w:val="24"/>
          <w:szCs w:val="24"/>
        </w:rPr>
        <w:t xml:space="preserve">609-292-1865 with any questions regarding these forms. Forms must be submitted to Treasury concurrently with the EWEG application; however, please DO NOT submit these forms with this NGO. </w:t>
      </w:r>
    </w:p>
    <w:p w:rsidRPr="005D7E20" w:rsidR="0074171F" w:rsidP="003755FB" w:rsidRDefault="003755FB" w14:paraId="04AF224C" w14:textId="575F77BF">
      <w:pPr>
        <w:rPr>
          <w:i/>
          <w:iCs/>
          <w:sz w:val="24"/>
          <w:szCs w:val="24"/>
        </w:rPr>
      </w:pPr>
      <w:r w:rsidRPr="005D7E20">
        <w:rPr>
          <w:sz w:val="24"/>
          <w:szCs w:val="24"/>
        </w:rPr>
        <w:t>NOTE: The NJDOE will not approve any reimbursement request(s), if the grantee has any outstanding report(s), including but not limited to the quarterly reports and surveys.</w:t>
      </w:r>
      <w:r w:rsidRPr="005D7E20">
        <w:rPr>
          <w:i/>
          <w:iCs/>
          <w:sz w:val="24"/>
          <w:szCs w:val="24"/>
        </w:rPr>
        <w:t xml:space="preserve"> </w:t>
      </w:r>
    </w:p>
    <w:p w:rsidRPr="005D7E20" w:rsidR="00D63372" w:rsidP="003755FB" w:rsidRDefault="00D63372" w14:paraId="418B719C" w14:textId="3E8F9B27">
      <w:pPr>
        <w:rPr>
          <w:iCs/>
          <w:color w:val="44546A" w:themeColor="text2"/>
          <w:sz w:val="24"/>
          <w:szCs w:val="24"/>
        </w:rPr>
      </w:pPr>
      <w:r w:rsidRPr="005D7E20">
        <w:rPr>
          <w:iCs/>
          <w:color w:val="44546A" w:themeColor="text2"/>
          <w:sz w:val="24"/>
          <w:szCs w:val="24"/>
        </w:rPr>
        <w:t>Audit Reports</w:t>
      </w:r>
    </w:p>
    <w:p w:rsidRPr="005D7E20" w:rsidR="00D63372" w:rsidP="00D63372" w:rsidRDefault="00D63372" w14:paraId="3BC09F5F" w14:textId="4F5673FB">
      <w:pPr>
        <w:rPr>
          <w:sz w:val="24"/>
          <w:szCs w:val="24"/>
        </w:rPr>
      </w:pPr>
      <w:bookmarkStart w:name="_Hlk946972" w:id="23"/>
      <w:r w:rsidRPr="005D7E20">
        <w:rPr>
          <w:sz w:val="24"/>
          <w:szCs w:val="24"/>
        </w:rPr>
        <w:t>Recipients of specific federal and/or state grant funds are required to have an annual audit performed in accordance with the Single Audit Act, Uniform Administrative Requirements, Cost Principles, and Audit Requirements for Federal Awards, Subpart F and State Circular 15-08-OMB.</w:t>
      </w:r>
      <w:r w:rsidRPr="005D7E20" w:rsidR="00457495">
        <w:rPr>
          <w:sz w:val="24"/>
          <w:szCs w:val="24"/>
        </w:rPr>
        <w:t xml:space="preserve"> </w:t>
      </w:r>
      <w:r w:rsidRPr="005D7E20">
        <w:rPr>
          <w:sz w:val="24"/>
          <w:szCs w:val="24"/>
        </w:rPr>
        <w:t xml:space="preserve">The Training and Technical Assistance grant program is subject to this requirement. The State of New Jersey policy regarding grant recipients is as follows: </w:t>
      </w:r>
    </w:p>
    <w:p w:rsidRPr="005D7E20" w:rsidR="00D63372" w:rsidP="00D63372" w:rsidRDefault="00D63372" w14:paraId="3A98B194" w14:textId="41B24AE2">
      <w:pPr>
        <w:rPr>
          <w:sz w:val="24"/>
          <w:szCs w:val="24"/>
        </w:rPr>
      </w:pPr>
      <w:r w:rsidRPr="005D7E20">
        <w:rPr>
          <w:sz w:val="24"/>
          <w:szCs w:val="24"/>
        </w:rPr>
        <w:t>1. Recipients that expend $750,000 or more in federal and/or state funds within their fiscal year must have an annual organization-wide audit performed in accordance with the Uniform Administrative Requirements, Cost Principles, and Audit Requirements for Federal Awards for any fiscal year period beginning after December 26, 2014.</w:t>
      </w:r>
    </w:p>
    <w:p w:rsidRPr="005D7E20" w:rsidR="00D63372" w:rsidP="00D63372" w:rsidRDefault="00D63372" w14:paraId="0EE13F67" w14:textId="5C0708B0">
      <w:pPr>
        <w:spacing w:after="240"/>
        <w:rPr>
          <w:sz w:val="24"/>
          <w:szCs w:val="24"/>
        </w:rPr>
      </w:pPr>
      <w:r w:rsidRPr="005D7E20">
        <w:rPr>
          <w:sz w:val="24"/>
          <w:szCs w:val="24"/>
        </w:rPr>
        <w:t xml:space="preserve">2. Recipients that expend less than $750,000 in federal and/or state funds within their fiscal year, but expend $100,000 or more in state and/or federal funds </w:t>
      </w:r>
      <w:bookmarkStart w:name="_Hlk534636060" w:id="24"/>
      <w:r w:rsidRPr="005D7E20">
        <w:rPr>
          <w:sz w:val="24"/>
          <w:szCs w:val="24"/>
        </w:rPr>
        <w:t xml:space="preserve">must have either a financial statement audit performed in accordance with Government Accounting Standards or a program-specific audit </w:t>
      </w:r>
      <w:bookmarkEnd w:id="24"/>
      <w:r w:rsidRPr="005D7E20">
        <w:rPr>
          <w:sz w:val="24"/>
          <w:szCs w:val="24"/>
        </w:rPr>
        <w:t>performed in accordance with the Act, Amendments, Subpart F-Audit Requirements of the Uniform Administrative Requirements, Cost Principles and Audit Requirements for Federal Awards. Although Subpart F-Audit Requirements allows specific provisions for biennial audits; State policy continues to require all audits to be performed on an annual basis.</w:t>
      </w:r>
    </w:p>
    <w:p w:rsidRPr="005D7E20" w:rsidR="00D63372" w:rsidP="00D63372" w:rsidRDefault="00D63372" w14:paraId="1F045A85" w14:textId="6FEF9657">
      <w:pPr>
        <w:spacing w:after="240"/>
        <w:rPr>
          <w:sz w:val="24"/>
          <w:szCs w:val="24"/>
        </w:rPr>
      </w:pPr>
      <w:r w:rsidRPr="005D7E20">
        <w:rPr>
          <w:sz w:val="24"/>
          <w:szCs w:val="24"/>
        </w:rPr>
        <w:t xml:space="preserve">3. Audit reports for recipients requiring an annual organization-wide audit as indicated in No. 1 above, must include the auditor’s comments on internal controls over state grants and state aid, compliance with </w:t>
      </w:r>
      <w:r w:rsidRPr="005D7E20">
        <w:rPr>
          <w:sz w:val="24"/>
          <w:szCs w:val="24"/>
        </w:rPr>
        <w:lastRenderedPageBreak/>
        <w:t xml:space="preserve">material terms and conditions of state grant agreements, state aid programs, and applicable laws and regulations and the system review report (peer review). </w:t>
      </w:r>
    </w:p>
    <w:p w:rsidRPr="005D7E20" w:rsidR="00D63372" w:rsidP="00D63372" w:rsidRDefault="00D63372" w14:paraId="046C688F" w14:textId="55678A6E">
      <w:pPr>
        <w:rPr>
          <w:sz w:val="24"/>
          <w:szCs w:val="24"/>
        </w:rPr>
      </w:pPr>
      <w:r w:rsidRPr="005D7E20">
        <w:rPr>
          <w:sz w:val="24"/>
          <w:szCs w:val="24"/>
        </w:rPr>
        <w:t>4. Non-LEA recipients of this grant must complete the Audit Information Form (Appendix 1) and submit with this NGO.</w:t>
      </w:r>
    </w:p>
    <w:p w:rsidRPr="005D7E20" w:rsidR="00D63372" w:rsidP="00D63372" w:rsidRDefault="00D63372" w14:paraId="23C17014" w14:textId="5CA4DEAB">
      <w:pPr>
        <w:rPr>
          <w:sz w:val="24"/>
          <w:szCs w:val="24"/>
        </w:rPr>
      </w:pPr>
      <w:r w:rsidRPr="005D7E20">
        <w:rPr>
          <w:sz w:val="24"/>
          <w:szCs w:val="24"/>
        </w:rPr>
        <w:t xml:space="preserve">5. Audit reports for recipients requiring either a financial statement audit performed, or a program-specific audit as indicated in No. 2 must include a Schedule of Expenditures of Federal and State Awards and the system review report (peer review). </w:t>
      </w:r>
      <w:bookmarkStart w:name="_Hlk260691" w:id="25"/>
      <w:r w:rsidRPr="005D7E20">
        <w:rPr>
          <w:sz w:val="24"/>
          <w:szCs w:val="24"/>
        </w:rPr>
        <w:t xml:space="preserve">Applicants are required to submit a Schedule of Expenditures and the peer review with this application. </w:t>
      </w:r>
      <w:bookmarkEnd w:id="25"/>
      <w:r w:rsidRPr="005D7E20">
        <w:rPr>
          <w:sz w:val="24"/>
          <w:szCs w:val="24"/>
        </w:rPr>
        <w:t>A sample is provided in Appendix 1.</w:t>
      </w:r>
    </w:p>
    <w:p w:rsidRPr="005D7E20" w:rsidR="00D63372" w:rsidP="00D63372" w:rsidRDefault="00D63372" w14:paraId="4EF5789F" w14:textId="59B45CF0">
      <w:pPr>
        <w:spacing w:after="240"/>
        <w:rPr>
          <w:sz w:val="24"/>
          <w:szCs w:val="24"/>
        </w:rPr>
      </w:pPr>
      <w:r w:rsidRPr="005D7E20">
        <w:rPr>
          <w:sz w:val="24"/>
          <w:szCs w:val="24"/>
        </w:rPr>
        <w:t xml:space="preserve">6. Audit reports are the responsibility of the grant recipient. The financial statements may be prepared by the business administrator, or other financial personnel, however, the statements must be certified by an independent auditor. </w:t>
      </w:r>
    </w:p>
    <w:p w:rsidRPr="005D7E20" w:rsidR="00D63372" w:rsidP="00D63372" w:rsidRDefault="00D63372" w14:paraId="3A213EEF" w14:textId="775E52C1">
      <w:pPr>
        <w:spacing w:after="240"/>
        <w:rPr>
          <w:sz w:val="24"/>
          <w:szCs w:val="24"/>
        </w:rPr>
      </w:pPr>
      <w:r w:rsidRPr="005D7E20">
        <w:rPr>
          <w:sz w:val="24"/>
          <w:szCs w:val="24"/>
        </w:rPr>
        <w:t>7. Failure to comply with these audit requirements could jeopardize your eligibility for future grant funding. Consult your business administrator and independent auditor regarding these requirements. Any agency that has not had an audit done for each year it has received more than $500,000 (prior to December 26, 2014) or more than $750,000 (after December 26, 2014) in federal or state funds will be out of compliance with federal regulations.</w:t>
      </w:r>
    </w:p>
    <w:p w:rsidRPr="005D7E20" w:rsidR="00D63372" w:rsidP="00D63372" w:rsidRDefault="00D63372" w14:paraId="28782221" w14:textId="77777777">
      <w:pPr>
        <w:pStyle w:val="Heading4"/>
        <w:rPr>
          <w:b w:val="0"/>
          <w:color w:val="44546A" w:themeColor="text2"/>
          <w:szCs w:val="24"/>
        </w:rPr>
      </w:pPr>
      <w:r w:rsidRPr="005D7E20">
        <w:rPr>
          <w:b w:val="0"/>
          <w:color w:val="44546A" w:themeColor="text2"/>
          <w:szCs w:val="24"/>
        </w:rPr>
        <w:t>Audit Due Dates</w:t>
      </w:r>
    </w:p>
    <w:p w:rsidRPr="005D7E20" w:rsidR="00FD59B7" w:rsidP="00D63372" w:rsidRDefault="00D63372" w14:paraId="2768C23E" w14:textId="7899A1B5">
      <w:pPr>
        <w:rPr>
          <w:sz w:val="24"/>
          <w:szCs w:val="24"/>
        </w:rPr>
      </w:pPr>
      <w:r w:rsidRPr="005D7E20">
        <w:rPr>
          <w:sz w:val="24"/>
          <w:szCs w:val="24"/>
        </w:rPr>
        <w:t>For grantees with a fiscal year ending June 30</w:t>
      </w:r>
      <w:r w:rsidRPr="005D7E20">
        <w:rPr>
          <w:sz w:val="24"/>
          <w:szCs w:val="24"/>
          <w:vertAlign w:val="superscript"/>
        </w:rPr>
        <w:t>th</w:t>
      </w:r>
      <w:r w:rsidRPr="005D7E20">
        <w:rPr>
          <w:sz w:val="24"/>
          <w:szCs w:val="24"/>
        </w:rPr>
        <w:t>, the audit report is due annually in March. For those grantees with a fiscal year ending December 31</w:t>
      </w:r>
      <w:r w:rsidRPr="005D7E20">
        <w:rPr>
          <w:sz w:val="24"/>
          <w:szCs w:val="24"/>
          <w:vertAlign w:val="superscript"/>
        </w:rPr>
        <w:t>st</w:t>
      </w:r>
      <w:r w:rsidRPr="005D7E20">
        <w:rPr>
          <w:sz w:val="24"/>
          <w:szCs w:val="24"/>
        </w:rPr>
        <w:t xml:space="preserve"> the audit report is due annually in September.</w:t>
      </w:r>
    </w:p>
    <w:p w:rsidRPr="005D7E20" w:rsidR="00B47D56" w:rsidP="00E9300A" w:rsidRDefault="0051410D" w14:paraId="46490958" w14:textId="56E56586">
      <w:pPr>
        <w:pStyle w:val="Heading2"/>
        <w:jc w:val="left"/>
        <w:rPr>
          <w:b w:val="0"/>
          <w:sz w:val="24"/>
          <w:szCs w:val="24"/>
        </w:rPr>
      </w:pPr>
      <w:bookmarkStart w:name="_Toc60042616" w:id="26"/>
      <w:bookmarkEnd w:id="23"/>
      <w:r w:rsidRPr="005D7E20">
        <w:rPr>
          <w:b w:val="0"/>
          <w:sz w:val="24"/>
          <w:szCs w:val="24"/>
        </w:rPr>
        <w:t>Section 2: Project Guidelines</w:t>
      </w:r>
      <w:bookmarkEnd w:id="26"/>
    </w:p>
    <w:p w:rsidRPr="005D7E20" w:rsidR="003104CB" w:rsidP="00E9300A" w:rsidRDefault="003104CB" w14:paraId="71F2EEE9" w14:textId="77777777">
      <w:pPr>
        <w:pStyle w:val="ListParagraph"/>
        <w:keepNext/>
        <w:keepLines/>
        <w:numPr>
          <w:ilvl w:val="0"/>
          <w:numId w:val="4"/>
        </w:numPr>
        <w:spacing w:before="120" w:after="120" w:line="240" w:lineRule="auto"/>
        <w:contextualSpacing w:val="0"/>
        <w:outlineLvl w:val="2"/>
        <w:rPr>
          <w:rFonts w:eastAsia="SimSun"/>
          <w:b/>
          <w:i/>
          <w:vanish/>
          <w:sz w:val="24"/>
          <w:szCs w:val="24"/>
        </w:rPr>
      </w:pPr>
      <w:bookmarkStart w:name="_Toc57797101" w:id="27"/>
      <w:bookmarkStart w:name="_Toc57797188" w:id="28"/>
      <w:bookmarkStart w:name="_Toc59111168" w:id="29"/>
      <w:bookmarkStart w:name="_Toc60042617" w:id="30"/>
      <w:bookmarkEnd w:id="27"/>
      <w:bookmarkEnd w:id="28"/>
      <w:bookmarkEnd w:id="29"/>
      <w:bookmarkEnd w:id="30"/>
    </w:p>
    <w:p w:rsidRPr="005D7E20" w:rsidR="002C5D9F" w:rsidP="00C30FF0" w:rsidRDefault="002C5D9F" w14:paraId="76730D00" w14:textId="59EF7256">
      <w:pPr>
        <w:pStyle w:val="Heading3"/>
      </w:pPr>
      <w:bookmarkStart w:name="_Toc60042618" w:id="31"/>
      <w:r w:rsidRPr="005D7E20">
        <w:t xml:space="preserve">Project </w:t>
      </w:r>
      <w:r w:rsidRPr="005D7E20" w:rsidR="00197F65">
        <w:t>Design Considerations</w:t>
      </w:r>
      <w:bookmarkEnd w:id="31"/>
    </w:p>
    <w:p w:rsidRPr="005D7E20" w:rsidR="00203414" w:rsidP="00203414" w:rsidRDefault="00203414" w14:paraId="2C4D6D33" w14:textId="14610F6A">
      <w:pPr>
        <w:rPr>
          <w:sz w:val="24"/>
          <w:szCs w:val="24"/>
        </w:rPr>
      </w:pPr>
      <w:r w:rsidRPr="005D7E20">
        <w:rPr>
          <w:sz w:val="24"/>
          <w:szCs w:val="24"/>
        </w:rPr>
        <w:t xml:space="preserve">The intent of this section is to provide the </w:t>
      </w:r>
      <w:r w:rsidRPr="005D7E20" w:rsidR="00072800">
        <w:rPr>
          <w:sz w:val="24"/>
          <w:szCs w:val="24"/>
        </w:rPr>
        <w:t>applicant</w:t>
      </w:r>
      <w:r w:rsidRPr="005D7E20">
        <w:rPr>
          <w:sz w:val="24"/>
          <w:szCs w:val="24"/>
        </w:rPr>
        <w:t xml:space="preserve"> with the framework within which it will plan, design, and develop its proposed project to meet the purpose of this grant program. Before preparing applications, </w:t>
      </w:r>
      <w:r w:rsidRPr="005D7E20" w:rsidR="00072800">
        <w:rPr>
          <w:sz w:val="24"/>
          <w:szCs w:val="24"/>
        </w:rPr>
        <w:t>applicants</w:t>
      </w:r>
      <w:r w:rsidRPr="005D7E20">
        <w:rPr>
          <w:sz w:val="24"/>
          <w:szCs w:val="24"/>
        </w:rPr>
        <w:t xml:space="preserve"> are advised to review </w:t>
      </w:r>
      <w:r w:rsidRPr="005D7E20" w:rsidR="00072800">
        <w:rPr>
          <w:sz w:val="24"/>
          <w:szCs w:val="24"/>
        </w:rPr>
        <w:t>s</w:t>
      </w:r>
      <w:r w:rsidRPr="005D7E20">
        <w:rPr>
          <w:sz w:val="24"/>
          <w:szCs w:val="24"/>
        </w:rPr>
        <w:t xml:space="preserve">ection 1, Description of the Grant Program, of this NGO to ensure a full understanding of the state’s vision and purpose for offering the program. Additionally, the information contained in </w:t>
      </w:r>
      <w:r w:rsidRPr="005D7E20" w:rsidR="00072800">
        <w:rPr>
          <w:sz w:val="24"/>
          <w:szCs w:val="24"/>
        </w:rPr>
        <w:t>s</w:t>
      </w:r>
      <w:r w:rsidRPr="005D7E20">
        <w:rPr>
          <w:sz w:val="24"/>
          <w:szCs w:val="24"/>
        </w:rPr>
        <w:t xml:space="preserve">ection 2 will complete the </w:t>
      </w:r>
      <w:r w:rsidRPr="005D7E20" w:rsidR="00072800">
        <w:rPr>
          <w:sz w:val="24"/>
          <w:szCs w:val="24"/>
        </w:rPr>
        <w:t>applicant</w:t>
      </w:r>
      <w:r w:rsidRPr="005D7E20">
        <w:rPr>
          <w:sz w:val="24"/>
          <w:szCs w:val="24"/>
        </w:rPr>
        <w:t xml:space="preserve">’s understanding of the specific considerations and requirements that are to be considered and/or addressed in their project. When submitting an application, the agency must use the EWEG online application system located </w:t>
      </w:r>
      <w:hyperlink w:tooltip="EWEG Application" w:history="1" r:id="rId22">
        <w:r w:rsidRPr="005D7E20">
          <w:rPr>
            <w:rStyle w:val="Hyperlink"/>
            <w:sz w:val="24"/>
            <w:szCs w:val="24"/>
          </w:rPr>
          <w:t>here</w:t>
        </w:r>
      </w:hyperlink>
      <w:r w:rsidRPr="005D7E20">
        <w:rPr>
          <w:sz w:val="24"/>
          <w:szCs w:val="24"/>
        </w:rPr>
        <w:t xml:space="preserve">. Please refer to </w:t>
      </w:r>
      <w:r w:rsidRPr="005D7E20" w:rsidR="005501ED">
        <w:rPr>
          <w:sz w:val="24"/>
          <w:szCs w:val="24"/>
        </w:rPr>
        <w:t>s</w:t>
      </w:r>
      <w:r w:rsidRPr="005D7E20">
        <w:rPr>
          <w:sz w:val="24"/>
          <w:szCs w:val="24"/>
        </w:rPr>
        <w:t xml:space="preserve">ection 1 for further details. </w:t>
      </w:r>
    </w:p>
    <w:p w:rsidR="00BE548A" w:rsidP="00BE548A" w:rsidRDefault="00BE548A" w14:paraId="29F68178" w14:textId="12E06BB7">
      <w:pPr>
        <w:rPr>
          <w:sz w:val="24"/>
          <w:szCs w:val="24"/>
        </w:rPr>
      </w:pPr>
      <w:r w:rsidRPr="005D7E20">
        <w:rPr>
          <w:sz w:val="24"/>
          <w:szCs w:val="24"/>
        </w:rPr>
        <w:t xml:space="preserve">The </w:t>
      </w:r>
      <w:r w:rsidRPr="005D7E20" w:rsidR="005501ED">
        <w:rPr>
          <w:sz w:val="24"/>
          <w:szCs w:val="24"/>
        </w:rPr>
        <w:t>applicant</w:t>
      </w:r>
      <w:r w:rsidRPr="005D7E20">
        <w:rPr>
          <w:sz w:val="24"/>
          <w:szCs w:val="24"/>
        </w:rPr>
        <w:t xml:space="preserve"> is expected to conform to the general scope of the program design </w:t>
      </w:r>
      <w:r w:rsidRPr="005D7E20" w:rsidR="000C759B">
        <w:rPr>
          <w:sz w:val="24"/>
          <w:szCs w:val="24"/>
        </w:rPr>
        <w:t>included in the application</w:t>
      </w:r>
      <w:r w:rsidRPr="005D7E20">
        <w:rPr>
          <w:sz w:val="24"/>
          <w:szCs w:val="24"/>
        </w:rPr>
        <w:t xml:space="preserve">.  </w:t>
      </w:r>
      <w:r w:rsidRPr="005D7E20" w:rsidR="00CC5DD7">
        <w:rPr>
          <w:sz w:val="24"/>
          <w:szCs w:val="24"/>
        </w:rPr>
        <w:t>Throughout the duration of the program</w:t>
      </w:r>
      <w:r w:rsidRPr="005D7E20">
        <w:rPr>
          <w:sz w:val="24"/>
          <w:szCs w:val="24"/>
        </w:rPr>
        <w:t>, the</w:t>
      </w:r>
      <w:r w:rsidRPr="005D7E20" w:rsidR="000C759B">
        <w:rPr>
          <w:sz w:val="24"/>
          <w:szCs w:val="24"/>
        </w:rPr>
        <w:t xml:space="preserve"> applicant</w:t>
      </w:r>
      <w:r w:rsidRPr="005D7E20">
        <w:rPr>
          <w:sz w:val="24"/>
          <w:szCs w:val="24"/>
        </w:rPr>
        <w:t xml:space="preserve"> </w:t>
      </w:r>
      <w:r w:rsidRPr="005D7E20" w:rsidR="00CC5DD7">
        <w:rPr>
          <w:sz w:val="24"/>
          <w:szCs w:val="24"/>
        </w:rPr>
        <w:t xml:space="preserve">will be expected to </w:t>
      </w:r>
      <w:r w:rsidRPr="005D7E20">
        <w:rPr>
          <w:sz w:val="24"/>
          <w:szCs w:val="24"/>
        </w:rPr>
        <w:t>consider implementing program design modifications for the purpose of ensuring continuous program improvement, as supported by the following:</w:t>
      </w:r>
    </w:p>
    <w:p w:rsidRPr="005D7E20" w:rsidR="00D93F82" w:rsidP="00BE548A" w:rsidRDefault="00D93F82" w14:paraId="4690F477" w14:textId="77777777">
      <w:pPr>
        <w:rPr>
          <w:sz w:val="24"/>
          <w:szCs w:val="24"/>
        </w:rPr>
      </w:pPr>
    </w:p>
    <w:p w:rsidRPr="005D7E20" w:rsidR="00BE548A" w:rsidP="00BE548A" w:rsidRDefault="00BE548A" w14:paraId="34C04024" w14:textId="09091780">
      <w:pPr>
        <w:numPr>
          <w:ilvl w:val="0"/>
          <w:numId w:val="36"/>
        </w:numPr>
        <w:spacing w:after="0" w:line="240" w:lineRule="auto"/>
        <w:rPr>
          <w:sz w:val="24"/>
          <w:szCs w:val="24"/>
        </w:rPr>
      </w:pPr>
      <w:r w:rsidRPr="005D7E20">
        <w:rPr>
          <w:sz w:val="24"/>
          <w:szCs w:val="24"/>
        </w:rPr>
        <w:lastRenderedPageBreak/>
        <w:t>Program implementation experiences (successes, challenges, etc.);</w:t>
      </w:r>
    </w:p>
    <w:p w:rsidRPr="005D7E20" w:rsidR="00BE548A" w:rsidP="00BE548A" w:rsidRDefault="00BE548A" w14:paraId="4E69660A" w14:textId="77777777">
      <w:pPr>
        <w:numPr>
          <w:ilvl w:val="0"/>
          <w:numId w:val="36"/>
        </w:numPr>
        <w:spacing w:after="0" w:line="240" w:lineRule="auto"/>
        <w:rPr>
          <w:sz w:val="24"/>
          <w:szCs w:val="24"/>
        </w:rPr>
      </w:pPr>
      <w:r w:rsidRPr="005D7E20">
        <w:rPr>
          <w:sz w:val="24"/>
          <w:szCs w:val="24"/>
        </w:rPr>
        <w:t xml:space="preserve">Program evaluation reports and outcome data; </w:t>
      </w:r>
    </w:p>
    <w:p w:rsidRPr="005D7E20" w:rsidR="00BE548A" w:rsidP="00BE548A" w:rsidRDefault="00BE548A" w14:paraId="3C7C79FB" w14:textId="77777777">
      <w:pPr>
        <w:numPr>
          <w:ilvl w:val="0"/>
          <w:numId w:val="36"/>
        </w:numPr>
        <w:spacing w:after="0" w:line="240" w:lineRule="auto"/>
        <w:rPr>
          <w:sz w:val="24"/>
          <w:szCs w:val="24"/>
        </w:rPr>
      </w:pPr>
      <w:r w:rsidRPr="005D7E20">
        <w:rPr>
          <w:sz w:val="24"/>
          <w:szCs w:val="24"/>
        </w:rPr>
        <w:t>Training surveys;</w:t>
      </w:r>
    </w:p>
    <w:p w:rsidRPr="005D7E20" w:rsidR="00BE548A" w:rsidP="00BE548A" w:rsidRDefault="00BE548A" w14:paraId="0E605EB0" w14:textId="77777777">
      <w:pPr>
        <w:numPr>
          <w:ilvl w:val="0"/>
          <w:numId w:val="36"/>
        </w:numPr>
        <w:spacing w:after="0" w:line="240" w:lineRule="auto"/>
        <w:rPr>
          <w:sz w:val="24"/>
          <w:szCs w:val="24"/>
        </w:rPr>
      </w:pPr>
      <w:r w:rsidRPr="005D7E20">
        <w:rPr>
          <w:sz w:val="24"/>
          <w:szCs w:val="24"/>
        </w:rPr>
        <w:t xml:space="preserve">Focus group data; </w:t>
      </w:r>
    </w:p>
    <w:p w:rsidRPr="005D7E20" w:rsidR="00BE548A" w:rsidP="00BE548A" w:rsidRDefault="00BE548A" w14:paraId="221D4AE0" w14:textId="77777777">
      <w:pPr>
        <w:numPr>
          <w:ilvl w:val="0"/>
          <w:numId w:val="36"/>
        </w:numPr>
        <w:spacing w:after="0" w:line="240" w:lineRule="auto"/>
        <w:rPr>
          <w:sz w:val="24"/>
          <w:szCs w:val="24"/>
        </w:rPr>
      </w:pPr>
      <w:r w:rsidRPr="005D7E20">
        <w:rPr>
          <w:sz w:val="24"/>
          <w:szCs w:val="24"/>
        </w:rPr>
        <w:t xml:space="preserve">Advisory board recommendations; </w:t>
      </w:r>
    </w:p>
    <w:p w:rsidRPr="005D7E20" w:rsidR="00BE548A" w:rsidP="00BE548A" w:rsidRDefault="00BE548A" w14:paraId="58CE2B0C" w14:textId="77777777">
      <w:pPr>
        <w:numPr>
          <w:ilvl w:val="0"/>
          <w:numId w:val="36"/>
        </w:numPr>
        <w:spacing w:after="0" w:line="240" w:lineRule="auto"/>
        <w:rPr>
          <w:sz w:val="24"/>
          <w:szCs w:val="24"/>
        </w:rPr>
      </w:pPr>
      <w:r w:rsidRPr="005D7E20">
        <w:rPr>
          <w:sz w:val="24"/>
          <w:szCs w:val="24"/>
        </w:rPr>
        <w:t xml:space="preserve">Child care licensing standards; </w:t>
      </w:r>
    </w:p>
    <w:p w:rsidRPr="005D7E20" w:rsidR="00BE548A" w:rsidP="00BE548A" w:rsidRDefault="00BE548A" w14:paraId="7856439F" w14:textId="77777777">
      <w:pPr>
        <w:numPr>
          <w:ilvl w:val="0"/>
          <w:numId w:val="36"/>
        </w:numPr>
        <w:spacing w:after="0" w:line="240" w:lineRule="auto"/>
        <w:rPr>
          <w:sz w:val="24"/>
          <w:szCs w:val="24"/>
        </w:rPr>
      </w:pPr>
      <w:r w:rsidRPr="005D7E20">
        <w:rPr>
          <w:sz w:val="24"/>
          <w:szCs w:val="24"/>
        </w:rPr>
        <w:t>New Jersey Student Learning Standards;</w:t>
      </w:r>
    </w:p>
    <w:p w:rsidRPr="005D7E20" w:rsidR="00BE548A" w:rsidP="00BE548A" w:rsidRDefault="00BE548A" w14:paraId="206D29EB" w14:textId="77777777">
      <w:pPr>
        <w:numPr>
          <w:ilvl w:val="0"/>
          <w:numId w:val="36"/>
        </w:numPr>
        <w:spacing w:after="0" w:line="240" w:lineRule="auto"/>
        <w:rPr>
          <w:sz w:val="24"/>
          <w:szCs w:val="24"/>
        </w:rPr>
      </w:pPr>
      <w:r w:rsidRPr="005D7E20">
        <w:rPr>
          <w:sz w:val="24"/>
          <w:szCs w:val="24"/>
        </w:rPr>
        <w:t xml:space="preserve">NJ Quality Standards for Afterschool; </w:t>
      </w:r>
    </w:p>
    <w:p w:rsidRPr="005D7E20" w:rsidR="00BE548A" w:rsidP="00BE548A" w:rsidRDefault="00BE548A" w14:paraId="16EDD94A" w14:textId="77777777">
      <w:pPr>
        <w:numPr>
          <w:ilvl w:val="0"/>
          <w:numId w:val="36"/>
        </w:numPr>
        <w:spacing w:after="0" w:line="240" w:lineRule="auto"/>
        <w:rPr>
          <w:sz w:val="24"/>
          <w:szCs w:val="24"/>
        </w:rPr>
      </w:pPr>
      <w:r w:rsidRPr="005D7E20">
        <w:rPr>
          <w:sz w:val="24"/>
          <w:szCs w:val="24"/>
        </w:rPr>
        <w:t xml:space="preserve">NJDOE recommendations; </w:t>
      </w:r>
    </w:p>
    <w:p w:rsidRPr="005D7E20" w:rsidR="00BE548A" w:rsidP="00BE548A" w:rsidRDefault="00BE548A" w14:paraId="3DB5B936" w14:textId="77777777">
      <w:pPr>
        <w:numPr>
          <w:ilvl w:val="0"/>
          <w:numId w:val="36"/>
        </w:numPr>
        <w:spacing w:after="0" w:line="240" w:lineRule="auto"/>
        <w:rPr>
          <w:sz w:val="24"/>
          <w:szCs w:val="24"/>
        </w:rPr>
      </w:pPr>
      <w:r w:rsidRPr="005D7E20">
        <w:rPr>
          <w:sz w:val="24"/>
          <w:szCs w:val="24"/>
        </w:rPr>
        <w:t>National best practice standards; and</w:t>
      </w:r>
    </w:p>
    <w:p w:rsidRPr="005D7E20" w:rsidR="00031835" w:rsidP="000F6B66" w:rsidRDefault="00BE548A" w14:paraId="6F107FAD" w14:textId="77777777">
      <w:pPr>
        <w:numPr>
          <w:ilvl w:val="0"/>
          <w:numId w:val="36"/>
        </w:numPr>
        <w:spacing w:after="0" w:line="240" w:lineRule="auto"/>
        <w:rPr>
          <w:sz w:val="24"/>
          <w:szCs w:val="24"/>
        </w:rPr>
      </w:pPr>
      <w:r w:rsidRPr="005D7E20">
        <w:rPr>
          <w:sz w:val="24"/>
          <w:szCs w:val="24"/>
        </w:rPr>
        <w:t>Partner and/or collaborator consultations</w:t>
      </w:r>
    </w:p>
    <w:p w:rsidRPr="005D7E20" w:rsidR="00031835" w:rsidP="00031835" w:rsidRDefault="00031835" w14:paraId="3C82DAD1" w14:textId="77777777">
      <w:pPr>
        <w:spacing w:after="0" w:line="240" w:lineRule="auto"/>
        <w:rPr>
          <w:sz w:val="24"/>
          <w:szCs w:val="24"/>
        </w:rPr>
      </w:pPr>
    </w:p>
    <w:p w:rsidRPr="005D7E20" w:rsidR="00031835" w:rsidP="00031835" w:rsidRDefault="00BE548A" w14:paraId="6B36D888" w14:textId="40EAA776">
      <w:pPr>
        <w:spacing w:after="0" w:line="240" w:lineRule="auto"/>
        <w:rPr>
          <w:sz w:val="24"/>
          <w:szCs w:val="24"/>
        </w:rPr>
      </w:pPr>
      <w:r w:rsidRPr="005D7E20">
        <w:rPr>
          <w:sz w:val="24"/>
          <w:szCs w:val="24"/>
        </w:rPr>
        <w:t xml:space="preserve">Considerable thought and planning between the </w:t>
      </w:r>
      <w:r w:rsidRPr="005D7E20" w:rsidR="0068431C">
        <w:rPr>
          <w:sz w:val="24"/>
          <w:szCs w:val="24"/>
        </w:rPr>
        <w:t>applicant</w:t>
      </w:r>
      <w:r w:rsidRPr="005D7E20">
        <w:rPr>
          <w:sz w:val="24"/>
          <w:szCs w:val="24"/>
        </w:rPr>
        <w:t xml:space="preserve"> agency and its partners, if applicable, must occur to ensure a correlation between the NJDOE’s purpose (presented in </w:t>
      </w:r>
      <w:r w:rsidRPr="005D7E20" w:rsidR="0068431C">
        <w:rPr>
          <w:sz w:val="24"/>
          <w:szCs w:val="24"/>
        </w:rPr>
        <w:t>s</w:t>
      </w:r>
      <w:r w:rsidRPr="005D7E20">
        <w:rPr>
          <w:sz w:val="24"/>
          <w:szCs w:val="24"/>
        </w:rPr>
        <w:t xml:space="preserve">ection 1) and the </w:t>
      </w:r>
      <w:r w:rsidRPr="005D7E20" w:rsidR="0068431C">
        <w:rPr>
          <w:sz w:val="24"/>
          <w:szCs w:val="24"/>
        </w:rPr>
        <w:t>applicant</w:t>
      </w:r>
      <w:r w:rsidRPr="005D7E20">
        <w:rPr>
          <w:sz w:val="24"/>
          <w:szCs w:val="24"/>
        </w:rPr>
        <w:t xml:space="preserve">’s design of this training and technical assistance project. By collaborating and coordinating the resources of schools, other state agencies, community centers, corporations, churches and/or other community groups, 21st CCLC programs expand the benefits available to participants and allow for more efficient use of resources. </w:t>
      </w:r>
    </w:p>
    <w:p w:rsidRPr="005D7E20" w:rsidR="00031835" w:rsidP="00031835" w:rsidRDefault="00031835" w14:paraId="4FCED9EA" w14:textId="77777777">
      <w:pPr>
        <w:spacing w:after="0" w:line="240" w:lineRule="auto"/>
        <w:rPr>
          <w:sz w:val="24"/>
          <w:szCs w:val="24"/>
        </w:rPr>
      </w:pPr>
    </w:p>
    <w:p w:rsidRPr="005D7E20" w:rsidR="00BE548A" w:rsidP="00BE548A" w:rsidRDefault="00BE548A" w14:paraId="386F8964" w14:textId="1CB9A499">
      <w:pPr>
        <w:spacing w:after="240"/>
        <w:rPr>
          <w:sz w:val="24"/>
          <w:szCs w:val="24"/>
        </w:rPr>
      </w:pPr>
      <w:r w:rsidRPr="005D7E20">
        <w:rPr>
          <w:sz w:val="24"/>
          <w:szCs w:val="24"/>
        </w:rPr>
        <w:t xml:space="preserve">It is the intention of this NGO to enhance staff capacity through professional development for both school day and OST staff on relevant topics. As stated previously, professional development is a strategy to ensure intentional collaboration and linkage to the school day. Providing joint professional development equips staff with skills necessary to implement a quality OST program that supports youth learning, engages staff, and encourages new ideas and creativity.  </w:t>
      </w:r>
    </w:p>
    <w:p w:rsidRPr="00F11099" w:rsidR="00197F65" w:rsidP="00F11099" w:rsidRDefault="00C30FF0" w14:paraId="37A31BC0" w14:textId="1FE281B7">
      <w:pPr>
        <w:pStyle w:val="Heading3"/>
      </w:pPr>
      <w:r w:rsidRPr="00F11099">
        <w:rPr>
          <w:rStyle w:val="Heading4Char"/>
          <w:b w:val="0"/>
          <w:bCs w:val="0"/>
          <w:color w:val="44546A" w:themeColor="text2"/>
          <w:szCs w:val="24"/>
        </w:rPr>
        <w:t>Project Requirements</w:t>
      </w:r>
    </w:p>
    <w:p w:rsidRPr="005D7E20" w:rsidR="00BE548A" w:rsidP="00BE548A" w:rsidRDefault="00BE548A" w14:paraId="76AA155F" w14:textId="77654EF9">
      <w:pPr>
        <w:rPr>
          <w:sz w:val="24"/>
          <w:szCs w:val="24"/>
        </w:rPr>
      </w:pPr>
      <w:r w:rsidRPr="005D7E20">
        <w:rPr>
          <w:sz w:val="24"/>
          <w:szCs w:val="24"/>
        </w:rPr>
        <w:t xml:space="preserve">The </w:t>
      </w:r>
      <w:r w:rsidRPr="005D7E20" w:rsidR="002E5E83">
        <w:rPr>
          <w:sz w:val="24"/>
          <w:szCs w:val="24"/>
        </w:rPr>
        <w:t>grantee</w:t>
      </w:r>
      <w:r w:rsidRPr="005D7E20">
        <w:rPr>
          <w:sz w:val="24"/>
          <w:szCs w:val="24"/>
        </w:rPr>
        <w:t xml:space="preserve"> may use the funds to provide a broad array of training and technical assistance, approved by the NJDOE, to 21st CCLC programs and other eligible entities that advance the academic achievement, social, behavioral, and physical development of the programs’ participants. To maintain consistency with the regulations set forth by the United States Department of Education (USDE) and the NJDOE’s belief that there are diverse and multiple paths for youth achievement, the NJDOE has established minimum program requirements that must be addressed by the </w:t>
      </w:r>
      <w:r w:rsidRPr="005D7E20" w:rsidR="00C03398">
        <w:rPr>
          <w:sz w:val="24"/>
          <w:szCs w:val="24"/>
        </w:rPr>
        <w:t>applicant</w:t>
      </w:r>
      <w:r w:rsidRPr="005D7E20">
        <w:rPr>
          <w:sz w:val="24"/>
          <w:szCs w:val="24"/>
        </w:rPr>
        <w:t>. The requirements are broken into the following sections: Project Description; Goals, Objectives, Indicators and Evaluation;</w:t>
      </w:r>
      <w:r w:rsidRPr="005D7E20" w:rsidR="009B2C2E">
        <w:rPr>
          <w:sz w:val="24"/>
          <w:szCs w:val="24"/>
        </w:rPr>
        <w:t xml:space="preserve"> Organizational Commitment and Capacity;</w:t>
      </w:r>
      <w:r w:rsidRPr="005D7E20">
        <w:rPr>
          <w:sz w:val="24"/>
          <w:szCs w:val="24"/>
        </w:rPr>
        <w:t xml:space="preserve"> and </w:t>
      </w:r>
      <w:r w:rsidRPr="005D7E20" w:rsidR="009B2C2E">
        <w:rPr>
          <w:sz w:val="24"/>
          <w:szCs w:val="24"/>
        </w:rPr>
        <w:t xml:space="preserve">the </w:t>
      </w:r>
      <w:r w:rsidRPr="005D7E20">
        <w:rPr>
          <w:sz w:val="24"/>
          <w:szCs w:val="24"/>
        </w:rPr>
        <w:t xml:space="preserve">Project Activity Plan. </w:t>
      </w:r>
    </w:p>
    <w:p w:rsidRPr="005D7E20" w:rsidR="009F6769" w:rsidP="00F11099" w:rsidRDefault="009F6769" w14:paraId="3DD45840" w14:textId="532D0C42">
      <w:pPr>
        <w:pStyle w:val="Heading3"/>
        <w:rPr>
          <w:b/>
        </w:rPr>
      </w:pPr>
      <w:bookmarkStart w:name="_Toc60042620" w:id="32"/>
      <w:r w:rsidRPr="005D7E20">
        <w:rPr>
          <w:rStyle w:val="Heading4Char"/>
          <w:b w:val="0"/>
          <w:color w:val="44546A" w:themeColor="text2"/>
          <w:szCs w:val="24"/>
        </w:rPr>
        <w:t>Project Description</w:t>
      </w:r>
    </w:p>
    <w:p w:rsidRPr="005D7E20" w:rsidR="00BE548A" w:rsidP="00BE548A" w:rsidRDefault="00BE548A" w14:paraId="4CC7CFD1" w14:textId="3EEB9077">
      <w:pPr>
        <w:pStyle w:val="Default"/>
        <w:spacing w:before="240"/>
      </w:pPr>
      <w:r w:rsidRPr="005D7E20">
        <w:t xml:space="preserve">In this section the </w:t>
      </w:r>
      <w:r w:rsidRPr="005D7E20" w:rsidR="00D01DF2">
        <w:t>applicant</w:t>
      </w:r>
      <w:r w:rsidRPr="005D7E20">
        <w:t xml:space="preserve"> should provide a detailed description of the </w:t>
      </w:r>
      <w:r w:rsidRPr="005D7E20" w:rsidR="00574447">
        <w:t xml:space="preserve">full 5-year </w:t>
      </w:r>
      <w:r w:rsidRPr="005D7E20">
        <w:t xml:space="preserve">proposed 21st CCLC Training and Technical Assistance project, including how the project will be implemented, managed and staffed. The NJDOE intends to provide training and technical assistance that both assists the 21st CCLC grantees in fulfilling program requirements and builds the capacity of the program staff. In addition to training and technical assistance sessions, the </w:t>
      </w:r>
      <w:r w:rsidRPr="005D7E20" w:rsidR="00D01DF2">
        <w:t>applicant</w:t>
      </w:r>
      <w:r w:rsidRPr="005D7E20">
        <w:t xml:space="preserve"> will assist the NJDOE in addressing program quality, sustainability and networking. The grantee will work with the NJDOE to:  </w:t>
      </w:r>
    </w:p>
    <w:p w:rsidRPr="005D7E20" w:rsidR="00BE548A" w:rsidP="00BE548A" w:rsidRDefault="00BE548A" w14:paraId="287C5A45" w14:textId="77777777">
      <w:pPr>
        <w:pStyle w:val="Default"/>
        <w:numPr>
          <w:ilvl w:val="0"/>
          <w:numId w:val="42"/>
        </w:numPr>
        <w:spacing w:before="240"/>
      </w:pPr>
      <w:r w:rsidRPr="005D7E20">
        <w:lastRenderedPageBreak/>
        <w:t>Develop and conduct capacity building training and technical assistance to 21st CCLC program staff and other eligible entities within New Jersey;</w:t>
      </w:r>
    </w:p>
    <w:p w:rsidRPr="005D7E20" w:rsidR="00BE548A" w:rsidP="00BE548A" w:rsidRDefault="00BE548A" w14:paraId="459FDEA2" w14:textId="77777777">
      <w:pPr>
        <w:pStyle w:val="ListParagraph"/>
        <w:numPr>
          <w:ilvl w:val="0"/>
          <w:numId w:val="4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Ensure the implementation of quality programming;</w:t>
      </w:r>
    </w:p>
    <w:p w:rsidRPr="005D7E20" w:rsidR="00BE548A" w:rsidP="00BE548A" w:rsidRDefault="00BE548A" w14:paraId="212CD754" w14:textId="77777777">
      <w:pPr>
        <w:pStyle w:val="ListParagraph"/>
        <w:numPr>
          <w:ilvl w:val="0"/>
          <w:numId w:val="4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Assist the NJDOE in supporting the sustainability of practices that enhance or improve students’ academic performance;  </w:t>
      </w:r>
    </w:p>
    <w:p w:rsidRPr="005D7E20" w:rsidR="00BE548A" w:rsidP="00BE548A" w:rsidRDefault="00BE548A" w14:paraId="504D6943" w14:textId="77777777">
      <w:pPr>
        <w:pStyle w:val="ListParagraph"/>
        <w:numPr>
          <w:ilvl w:val="0"/>
          <w:numId w:val="4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Facilitate networking opportunities for OST program providers throughout New Jersey; and</w:t>
      </w:r>
    </w:p>
    <w:p w:rsidRPr="005D7E20" w:rsidR="00BE548A" w:rsidP="00BE548A" w:rsidRDefault="00BE548A" w14:paraId="65DBF5FF" w14:textId="6DA5415A">
      <w:pPr>
        <w:pStyle w:val="ListParagraph"/>
        <w:numPr>
          <w:ilvl w:val="0"/>
          <w:numId w:val="4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Provide targeted technical assistance based on areas of improvement noted in state-level evaluation reports.</w:t>
      </w:r>
    </w:p>
    <w:p w:rsidRPr="005D7E20" w:rsidR="00D01DF2" w:rsidP="00D01DF2" w:rsidRDefault="00D01DF2" w14:paraId="77C90F68" w14:textId="77777777">
      <w:pPr>
        <w:pStyle w:val="ListParagraph"/>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p>
    <w:p w:rsidRPr="005D7E20" w:rsidR="00BE548A" w:rsidP="00BE548A" w:rsidRDefault="00BE548A" w14:paraId="3BB5E819" w14:textId="6626496E">
      <w:pPr>
        <w:rPr>
          <w:sz w:val="24"/>
          <w:szCs w:val="24"/>
        </w:rPr>
      </w:pPr>
      <w:r w:rsidRPr="005D7E20">
        <w:rPr>
          <w:sz w:val="24"/>
          <w:szCs w:val="24"/>
        </w:rPr>
        <w:t>Additionally, the grantee agrees to:</w:t>
      </w:r>
    </w:p>
    <w:p w:rsidRPr="005D7E20" w:rsidR="00BE548A" w:rsidP="00BE548A" w:rsidRDefault="00BE548A" w14:paraId="4C95E1D2" w14:textId="77777777">
      <w:pPr>
        <w:pStyle w:val="ListParagraph"/>
        <w:numPr>
          <w:ilvl w:val="0"/>
          <w:numId w:val="40"/>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Develop all training content in collaboration with the NJDOE;</w:t>
      </w:r>
    </w:p>
    <w:p w:rsidRPr="005D7E20" w:rsidR="00BE548A" w:rsidP="00BE548A" w:rsidRDefault="00BE548A" w14:paraId="2D050DDB" w14:textId="77777777">
      <w:pPr>
        <w:pStyle w:val="ListParagraph"/>
        <w:numPr>
          <w:ilvl w:val="0"/>
          <w:numId w:val="40"/>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Utilize the New Jersey Quality Standards for Afterschool (NJQSA) as a guiding document for quality; </w:t>
      </w:r>
    </w:p>
    <w:p w:rsidRPr="005D7E20" w:rsidR="00BE548A" w:rsidP="00BE548A" w:rsidRDefault="00BE548A" w14:paraId="35F158DC" w14:textId="77777777">
      <w:pPr>
        <w:pStyle w:val="ListParagraph"/>
        <w:numPr>
          <w:ilvl w:val="0"/>
          <w:numId w:val="40"/>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Meet with NJDOE staff on a monthly basis; </w:t>
      </w:r>
    </w:p>
    <w:p w:rsidRPr="005D7E20" w:rsidR="00BE548A" w:rsidP="00BE548A" w:rsidRDefault="00BE548A" w14:paraId="06EAC2A6" w14:textId="39B08094">
      <w:pPr>
        <w:pStyle w:val="ListParagraph"/>
        <w:numPr>
          <w:ilvl w:val="0"/>
          <w:numId w:val="40"/>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Conduct planning meetings with the NJDOE staff at least </w:t>
      </w:r>
      <w:r w:rsidRPr="005D7E20" w:rsidR="00392805">
        <w:rPr>
          <w:sz w:val="24"/>
          <w:szCs w:val="24"/>
        </w:rPr>
        <w:t>eight</w:t>
      </w:r>
      <w:r w:rsidRPr="005D7E20">
        <w:rPr>
          <w:sz w:val="24"/>
          <w:szCs w:val="24"/>
        </w:rPr>
        <w:t xml:space="preserve"> weeks prior to the project director meetings and </w:t>
      </w:r>
      <w:r w:rsidRPr="005D7E20" w:rsidR="00392805">
        <w:rPr>
          <w:sz w:val="24"/>
          <w:szCs w:val="24"/>
        </w:rPr>
        <w:t>six</w:t>
      </w:r>
      <w:r w:rsidRPr="005D7E20">
        <w:rPr>
          <w:sz w:val="24"/>
          <w:szCs w:val="24"/>
        </w:rPr>
        <w:t xml:space="preserve"> months prior to any conference date;</w:t>
      </w:r>
    </w:p>
    <w:p w:rsidRPr="005D7E20" w:rsidR="00BE548A" w:rsidP="00BE548A" w:rsidRDefault="00BE548A" w14:paraId="7739FBCB" w14:textId="77777777">
      <w:pPr>
        <w:pStyle w:val="ListParagraph"/>
        <w:numPr>
          <w:ilvl w:val="0"/>
          <w:numId w:val="40"/>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Utilize presenters with a documented expertise in the subject matter of the training or workshop they will provide;</w:t>
      </w:r>
    </w:p>
    <w:p w:rsidRPr="005D7E20" w:rsidR="00BE548A" w:rsidP="00BE548A" w:rsidRDefault="00BE548A" w14:paraId="067DA25F" w14:textId="0BC7FD3A">
      <w:pPr>
        <w:pStyle w:val="ListParagraph"/>
        <w:numPr>
          <w:ilvl w:val="0"/>
          <w:numId w:val="40"/>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Advertise all trainings, workshops and conferences a minimum of </w:t>
      </w:r>
      <w:r w:rsidRPr="005D7E20" w:rsidR="00392805">
        <w:rPr>
          <w:sz w:val="24"/>
          <w:szCs w:val="24"/>
        </w:rPr>
        <w:t>eight</w:t>
      </w:r>
      <w:r w:rsidRPr="005D7E20">
        <w:rPr>
          <w:sz w:val="24"/>
          <w:szCs w:val="24"/>
        </w:rPr>
        <w:t xml:space="preserve"> weeks before the actual date of the training; </w:t>
      </w:r>
    </w:p>
    <w:p w:rsidRPr="005D7E20" w:rsidR="00BE548A" w:rsidP="00BE548A" w:rsidRDefault="00BE548A" w14:paraId="1CCAC14C" w14:textId="77777777">
      <w:pPr>
        <w:pStyle w:val="ListParagraph"/>
        <w:numPr>
          <w:ilvl w:val="0"/>
          <w:numId w:val="40"/>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Secure meeting locations;</w:t>
      </w:r>
    </w:p>
    <w:p w:rsidRPr="005D7E20" w:rsidR="00BE548A" w:rsidP="00BE548A" w:rsidRDefault="00BE548A" w14:paraId="29664F96" w14:textId="77777777">
      <w:pPr>
        <w:pStyle w:val="ListParagraph"/>
        <w:numPr>
          <w:ilvl w:val="0"/>
          <w:numId w:val="40"/>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Maintain the capacity for on-line registration; and</w:t>
      </w:r>
    </w:p>
    <w:p w:rsidRPr="005D7E20" w:rsidR="00BE548A" w:rsidP="00BE548A" w:rsidRDefault="00BE548A" w14:paraId="2CE37E06" w14:textId="41C3A974">
      <w:pPr>
        <w:pStyle w:val="ListParagraph"/>
        <w:numPr>
          <w:ilvl w:val="0"/>
          <w:numId w:val="40"/>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Include technical assistance at all trainings for the development of a plan to turnkey the information to program staff. </w:t>
      </w:r>
    </w:p>
    <w:p w:rsidRPr="005D7E20" w:rsidR="00392805" w:rsidP="00392805" w:rsidRDefault="00392805" w14:paraId="0A489658" w14:textId="77777777">
      <w:pPr>
        <w:pStyle w:val="ListParagraph"/>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p>
    <w:p w:rsidRPr="005D7E20" w:rsidR="00BE548A" w:rsidP="00BE548A" w:rsidRDefault="00BE548A" w14:paraId="2E666A72" w14:textId="5F4C1423">
      <w:pPr>
        <w:rPr>
          <w:sz w:val="24"/>
          <w:szCs w:val="24"/>
        </w:rPr>
      </w:pPr>
      <w:r w:rsidRPr="005D7E20">
        <w:rPr>
          <w:sz w:val="24"/>
          <w:szCs w:val="24"/>
        </w:rPr>
        <w:t xml:space="preserve">The </w:t>
      </w:r>
      <w:r w:rsidRPr="005D7E20" w:rsidR="00392805">
        <w:rPr>
          <w:sz w:val="24"/>
          <w:szCs w:val="24"/>
        </w:rPr>
        <w:t>applicant</w:t>
      </w:r>
      <w:r w:rsidRPr="005D7E20">
        <w:rPr>
          <w:sz w:val="24"/>
          <w:szCs w:val="24"/>
        </w:rPr>
        <w:t xml:space="preserve"> must address the following tasks within the Project Description section: </w:t>
      </w:r>
    </w:p>
    <w:p w:rsidRPr="005D7E20" w:rsidR="00BE548A" w:rsidP="00BE548A" w:rsidRDefault="00BE548A" w14:paraId="4B4D7714" w14:textId="1FCC8B5C">
      <w:pPr>
        <w:pStyle w:val="Heading4"/>
        <w:rPr>
          <w:szCs w:val="24"/>
        </w:rPr>
      </w:pPr>
      <w:r w:rsidRPr="005D7E20">
        <w:rPr>
          <w:b w:val="0"/>
          <w:szCs w:val="24"/>
        </w:rPr>
        <w:t>A.</w:t>
      </w:r>
      <w:r w:rsidRPr="005D7E20">
        <w:rPr>
          <w:szCs w:val="24"/>
        </w:rPr>
        <w:t xml:space="preserve"> </w:t>
      </w:r>
      <w:r w:rsidRPr="005D7E20">
        <w:rPr>
          <w:b w:val="0"/>
          <w:szCs w:val="24"/>
        </w:rPr>
        <w:t xml:space="preserve">Develop and conduct capacity building training and technical assistance for the </w:t>
      </w:r>
      <w:r w:rsidRPr="005D7E20" w:rsidR="00392805">
        <w:rPr>
          <w:b w:val="0"/>
          <w:szCs w:val="24"/>
        </w:rPr>
        <w:t>21</w:t>
      </w:r>
      <w:r w:rsidRPr="005D7E20" w:rsidR="00392805">
        <w:rPr>
          <w:b w:val="0"/>
          <w:szCs w:val="24"/>
          <w:vertAlign w:val="superscript"/>
        </w:rPr>
        <w:t>st</w:t>
      </w:r>
      <w:r w:rsidRPr="005D7E20" w:rsidR="00392805">
        <w:rPr>
          <w:b w:val="0"/>
          <w:szCs w:val="24"/>
        </w:rPr>
        <w:t xml:space="preserve"> CCLC </w:t>
      </w:r>
      <w:r w:rsidRPr="005D7E20">
        <w:rPr>
          <w:b w:val="0"/>
          <w:szCs w:val="24"/>
        </w:rPr>
        <w:t>grantees.</w:t>
      </w:r>
      <w:r w:rsidRPr="005D7E20">
        <w:rPr>
          <w:szCs w:val="24"/>
        </w:rPr>
        <w:t xml:space="preserve"> </w:t>
      </w:r>
    </w:p>
    <w:p w:rsidRPr="005D7E20" w:rsidR="00BE548A" w:rsidP="00BE548A" w:rsidRDefault="00BE548A" w14:paraId="66178610" w14:textId="2E1F5F83">
      <w:pPr>
        <w:rPr>
          <w:sz w:val="24"/>
          <w:szCs w:val="24"/>
        </w:rPr>
      </w:pPr>
      <w:r w:rsidRPr="005D7E20">
        <w:rPr>
          <w:sz w:val="24"/>
          <w:szCs w:val="24"/>
        </w:rPr>
        <w:t xml:space="preserve">As the national perspective of afterschool focuses on quality, it is imperative that the NJDOE provides training and technical assistance that not only helps the grantees to achieve program requirements, but also builds the capacity of the program staff which in turn will impact the quality of the program. The </w:t>
      </w:r>
      <w:r w:rsidRPr="005D7E20" w:rsidR="007F7274">
        <w:rPr>
          <w:sz w:val="24"/>
          <w:szCs w:val="24"/>
        </w:rPr>
        <w:t>grantee</w:t>
      </w:r>
      <w:r w:rsidRPr="005D7E20">
        <w:rPr>
          <w:sz w:val="24"/>
          <w:szCs w:val="24"/>
        </w:rPr>
        <w:t xml:space="preserve"> must use presenters with documented expertise in the subject matter of the training or workshop they will provide. Additionally, all trainings, workshops and conferences must be advertised a minimum of eight weeks before the actual date of the training.</w:t>
      </w:r>
    </w:p>
    <w:p w:rsidRPr="005D7E20" w:rsidR="00BE548A" w:rsidP="00BE548A" w:rsidRDefault="00BE548A" w14:paraId="34B1E2DB" w14:textId="2EA15465">
      <w:pPr>
        <w:rPr>
          <w:sz w:val="24"/>
          <w:szCs w:val="24"/>
        </w:rPr>
      </w:pPr>
      <w:r w:rsidRPr="005D7E20">
        <w:rPr>
          <w:sz w:val="24"/>
          <w:szCs w:val="24"/>
        </w:rPr>
        <w:t xml:space="preserve">The </w:t>
      </w:r>
      <w:r w:rsidRPr="005D7E20" w:rsidR="00ED04FC">
        <w:rPr>
          <w:sz w:val="24"/>
          <w:szCs w:val="24"/>
        </w:rPr>
        <w:t>applicant</w:t>
      </w:r>
      <w:r w:rsidRPr="005D7E20">
        <w:rPr>
          <w:sz w:val="24"/>
          <w:szCs w:val="24"/>
        </w:rPr>
        <w:t xml:space="preserve"> must describe the types of trainings and technical assistance to be provided that will build the capacity of </w:t>
      </w:r>
      <w:r w:rsidRPr="005D7E20" w:rsidR="00ED04FC">
        <w:rPr>
          <w:sz w:val="24"/>
          <w:szCs w:val="24"/>
        </w:rPr>
        <w:t>21</w:t>
      </w:r>
      <w:r w:rsidRPr="005D7E20" w:rsidR="00ED04FC">
        <w:rPr>
          <w:sz w:val="24"/>
          <w:szCs w:val="24"/>
          <w:vertAlign w:val="superscript"/>
        </w:rPr>
        <w:t>st</w:t>
      </w:r>
      <w:r w:rsidRPr="005D7E20" w:rsidR="00ED04FC">
        <w:rPr>
          <w:sz w:val="24"/>
          <w:szCs w:val="24"/>
        </w:rPr>
        <w:t xml:space="preserve"> CCLC </w:t>
      </w:r>
      <w:r w:rsidRPr="005D7E20">
        <w:rPr>
          <w:sz w:val="24"/>
          <w:szCs w:val="24"/>
        </w:rPr>
        <w:t xml:space="preserve">grantee staff and other OST time providers. Additionally, at a minimum, the </w:t>
      </w:r>
      <w:r w:rsidRPr="005D7E20" w:rsidR="00C64D95">
        <w:rPr>
          <w:sz w:val="24"/>
          <w:szCs w:val="24"/>
        </w:rPr>
        <w:t xml:space="preserve">grantee </w:t>
      </w:r>
      <w:r w:rsidRPr="005D7E20">
        <w:rPr>
          <w:sz w:val="24"/>
          <w:szCs w:val="24"/>
        </w:rPr>
        <w:t>must: facilitate quarterly project director meetings, conduct a minimum of 15 quality enhancing site visits utilizing the NJQSA</w:t>
      </w:r>
      <w:r w:rsidRPr="005D7E20">
        <w:rPr>
          <w:i/>
          <w:sz w:val="24"/>
          <w:szCs w:val="24"/>
        </w:rPr>
        <w:t xml:space="preserve"> </w:t>
      </w:r>
      <w:r w:rsidRPr="005D7E20">
        <w:rPr>
          <w:sz w:val="24"/>
          <w:szCs w:val="24"/>
        </w:rPr>
        <w:t>self-assessment tool and support each of the four (4) themes: STEM, Career Awareness &amp; Exploration, Civic Engagement, or Visual and Performing Arts.</w:t>
      </w:r>
    </w:p>
    <w:p w:rsidRPr="005D7E20" w:rsidR="00BE548A" w:rsidP="00BE548A" w:rsidRDefault="00BE548A" w14:paraId="135A6E93" w14:textId="5F07D539">
      <w:pPr>
        <w:rPr>
          <w:b/>
          <w:sz w:val="24"/>
          <w:szCs w:val="24"/>
        </w:rPr>
      </w:pPr>
      <w:r w:rsidRPr="005D7E20">
        <w:rPr>
          <w:sz w:val="24"/>
          <w:szCs w:val="24"/>
        </w:rPr>
        <w:t>B.</w:t>
      </w:r>
      <w:r w:rsidRPr="005D7E20">
        <w:rPr>
          <w:b/>
          <w:sz w:val="24"/>
          <w:szCs w:val="24"/>
        </w:rPr>
        <w:t xml:space="preserve">  </w:t>
      </w:r>
      <w:r w:rsidRPr="005D7E20">
        <w:rPr>
          <w:rStyle w:val="Heading4Char"/>
          <w:b w:val="0"/>
          <w:szCs w:val="24"/>
        </w:rPr>
        <w:t>Assist the NJDOE in ensuring the implementation of quality programs.</w:t>
      </w:r>
    </w:p>
    <w:p w:rsidRPr="005D7E20" w:rsidR="00BE548A" w:rsidP="00BE548A" w:rsidRDefault="00BE548A" w14:paraId="27A3E222" w14:textId="4A8BC818">
      <w:pPr>
        <w:rPr>
          <w:sz w:val="24"/>
          <w:szCs w:val="24"/>
        </w:rPr>
      </w:pPr>
      <w:r w:rsidRPr="005D7E20">
        <w:rPr>
          <w:sz w:val="24"/>
          <w:szCs w:val="24"/>
        </w:rPr>
        <w:lastRenderedPageBreak/>
        <w:t>Quality OST programs provide a unique environment where children and youth can develop a range of skills needed to support their full involvement in their communities. Researchers have found that effective programs combine academic, enrichment, cultural, and recreational activities to guide learning and engage youth.</w:t>
      </w:r>
    </w:p>
    <w:p w:rsidRPr="005D7E20" w:rsidR="00BE548A" w:rsidP="00BE548A" w:rsidRDefault="00BE548A" w14:paraId="5526FEDA" w14:textId="7640C09D">
      <w:pPr>
        <w:spacing w:after="240"/>
        <w:rPr>
          <w:sz w:val="24"/>
          <w:szCs w:val="24"/>
        </w:rPr>
      </w:pPr>
      <w:r w:rsidRPr="005D7E20">
        <w:rPr>
          <w:sz w:val="24"/>
          <w:szCs w:val="24"/>
        </w:rPr>
        <w:t xml:space="preserve">The </w:t>
      </w:r>
      <w:r w:rsidRPr="005D7E20" w:rsidR="00C64D95">
        <w:rPr>
          <w:sz w:val="24"/>
          <w:szCs w:val="24"/>
        </w:rPr>
        <w:t xml:space="preserve">applicant </w:t>
      </w:r>
      <w:r w:rsidRPr="005D7E20">
        <w:rPr>
          <w:sz w:val="24"/>
          <w:szCs w:val="24"/>
        </w:rPr>
        <w:t>must describe how it plans to integrate nationally recognized strategies in its proposed training and technical assistance plan that are intended to increase the quality of the 21</w:t>
      </w:r>
      <w:r w:rsidRPr="005D7E20">
        <w:rPr>
          <w:sz w:val="24"/>
          <w:szCs w:val="24"/>
          <w:vertAlign w:val="superscript"/>
        </w:rPr>
        <w:t>st</w:t>
      </w:r>
      <w:r w:rsidRPr="005D7E20">
        <w:rPr>
          <w:sz w:val="24"/>
          <w:szCs w:val="24"/>
        </w:rPr>
        <w:t xml:space="preserve"> CCLC. Additionally, the </w:t>
      </w:r>
      <w:r w:rsidRPr="005D7E20" w:rsidR="00C64D95">
        <w:rPr>
          <w:sz w:val="24"/>
          <w:szCs w:val="24"/>
        </w:rPr>
        <w:t>applicant</w:t>
      </w:r>
      <w:r w:rsidRPr="005D7E20">
        <w:rPr>
          <w:sz w:val="24"/>
          <w:szCs w:val="24"/>
        </w:rPr>
        <w:t xml:space="preserve"> must support its plan by reinforcing the use of the following strategies:  </w:t>
      </w:r>
    </w:p>
    <w:p w:rsidRPr="005D7E20" w:rsidR="00BE548A" w:rsidP="00BE548A" w:rsidRDefault="00CC58AF" w14:paraId="540BDC7E" w14:textId="4F12EFA4">
      <w:pPr>
        <w:pStyle w:val="ListParagraph"/>
        <w:numPr>
          <w:ilvl w:val="0"/>
          <w:numId w:val="3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hyperlink w:tooltip="You 4 Youth" w:history="1" r:id="rId23">
        <w:r w:rsidRPr="005D7E20" w:rsidR="00BE548A">
          <w:rPr>
            <w:rStyle w:val="Hyperlink"/>
            <w:sz w:val="24"/>
            <w:szCs w:val="24"/>
          </w:rPr>
          <w:t>You 4 Youth</w:t>
        </w:r>
      </w:hyperlink>
      <w:r w:rsidRPr="005D7E20" w:rsidR="00BE548A">
        <w:rPr>
          <w:sz w:val="24"/>
          <w:szCs w:val="24"/>
        </w:rPr>
        <w:t xml:space="preserve"> professional development portal, developed by USDE specifically for 21st CCLC programs nationwide. The website includes free webinars and trainings.; and</w:t>
      </w:r>
    </w:p>
    <w:p w:rsidRPr="005D7E20" w:rsidR="00BE548A" w:rsidP="00BE548A" w:rsidRDefault="00BE548A" w14:paraId="6616ABCE" w14:textId="77777777">
      <w:pPr>
        <w:pStyle w:val="ListParagraph"/>
        <w:rPr>
          <w:sz w:val="24"/>
          <w:szCs w:val="24"/>
        </w:rPr>
      </w:pPr>
    </w:p>
    <w:p w:rsidRPr="005D7E20" w:rsidR="00BE548A" w:rsidP="00BE548A" w:rsidRDefault="00CC58AF" w14:paraId="75E73A04" w14:textId="4A1364A5">
      <w:pPr>
        <w:pStyle w:val="ListParagraph"/>
        <w:numPr>
          <w:ilvl w:val="0"/>
          <w:numId w:val="39"/>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ind w:left="360"/>
        <w:rPr>
          <w:sz w:val="24"/>
          <w:szCs w:val="24"/>
        </w:rPr>
      </w:pPr>
      <w:hyperlink w:tooltip="21st Century Afterschool Science Project (21st CASP)" w:history="1" r:id="rId24">
        <w:r w:rsidRPr="005D7E20" w:rsidR="00BE548A">
          <w:rPr>
            <w:rStyle w:val="Hyperlink"/>
            <w:sz w:val="24"/>
            <w:szCs w:val="24"/>
          </w:rPr>
          <w:t>21</w:t>
        </w:r>
        <w:r w:rsidRPr="005D7E20" w:rsidR="00BE548A">
          <w:rPr>
            <w:rStyle w:val="Hyperlink"/>
            <w:sz w:val="24"/>
            <w:szCs w:val="24"/>
            <w:vertAlign w:val="superscript"/>
          </w:rPr>
          <w:t>st</w:t>
        </w:r>
        <w:r w:rsidRPr="005D7E20" w:rsidR="00BE548A">
          <w:rPr>
            <w:rStyle w:val="Hyperlink"/>
            <w:sz w:val="24"/>
            <w:szCs w:val="24"/>
          </w:rPr>
          <w:t xml:space="preserve"> Century Afterschool Science Project (21</w:t>
        </w:r>
        <w:r w:rsidRPr="005D7E20" w:rsidR="00BE548A">
          <w:rPr>
            <w:rStyle w:val="Hyperlink"/>
            <w:sz w:val="24"/>
            <w:szCs w:val="24"/>
            <w:vertAlign w:val="superscript"/>
          </w:rPr>
          <w:t>st</w:t>
        </w:r>
        <w:r w:rsidRPr="005D7E20" w:rsidR="00BE548A">
          <w:rPr>
            <w:rStyle w:val="Hyperlink"/>
            <w:sz w:val="24"/>
            <w:szCs w:val="24"/>
          </w:rPr>
          <w:t xml:space="preserve"> CASP)</w:t>
        </w:r>
      </w:hyperlink>
      <w:r w:rsidRPr="005D7E20" w:rsidR="00BE548A">
        <w:rPr>
          <w:sz w:val="24"/>
          <w:szCs w:val="24"/>
        </w:rPr>
        <w:t xml:space="preserve">, </w:t>
      </w:r>
      <w:r w:rsidRPr="005D7E20" w:rsidR="00BE548A">
        <w:rPr>
          <w:sz w:val="24"/>
          <w:szCs w:val="24"/>
          <w:lang w:val="en"/>
        </w:rPr>
        <w:t xml:space="preserve">a federally-funded project supported by the NJDOE. </w:t>
      </w:r>
      <w:r w:rsidRPr="005D7E20" w:rsidR="00BE548A">
        <w:rPr>
          <w:sz w:val="24"/>
          <w:szCs w:val="24"/>
        </w:rPr>
        <w:t>Materials for the training are available online for free.</w:t>
      </w:r>
    </w:p>
    <w:p w:rsidRPr="005D7E20" w:rsidR="00BE548A" w:rsidP="00BE548A" w:rsidRDefault="00BE548A" w14:paraId="6508E980" w14:textId="77777777">
      <w:pPr>
        <w:pStyle w:val="ListParagraph"/>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ind w:left="360"/>
        <w:rPr>
          <w:sz w:val="24"/>
          <w:szCs w:val="24"/>
        </w:rPr>
      </w:pPr>
    </w:p>
    <w:p w:rsidRPr="005D7E20" w:rsidR="00BE548A" w:rsidP="00BE548A" w:rsidRDefault="00BE548A" w14:paraId="03926D8B" w14:textId="21F2D25B">
      <w:pPr>
        <w:rPr>
          <w:b/>
          <w:bCs/>
          <w:sz w:val="24"/>
          <w:szCs w:val="24"/>
        </w:rPr>
      </w:pPr>
      <w:r w:rsidRPr="005D7E20">
        <w:rPr>
          <w:sz w:val="24"/>
          <w:szCs w:val="24"/>
        </w:rPr>
        <w:t xml:space="preserve">C. </w:t>
      </w:r>
      <w:r w:rsidRPr="005D7E20">
        <w:rPr>
          <w:rStyle w:val="Heading4Char"/>
          <w:b w:val="0"/>
          <w:szCs w:val="24"/>
        </w:rPr>
        <w:t>Facilitate networking opportunities for out-of-school time program providers throughout New Jersey.</w:t>
      </w:r>
    </w:p>
    <w:p w:rsidRPr="005D7E20" w:rsidR="00BE548A" w:rsidP="00BE548A" w:rsidRDefault="00BE548A" w14:paraId="2953FF3B" w14:textId="49830657">
      <w:pPr>
        <w:rPr>
          <w:sz w:val="24"/>
          <w:szCs w:val="24"/>
        </w:rPr>
      </w:pPr>
      <w:r w:rsidRPr="005D7E20">
        <w:rPr>
          <w:sz w:val="24"/>
          <w:szCs w:val="24"/>
        </w:rPr>
        <w:t>Partnering and collaborating with local organizations to expand the benefits available to participants of any OST program allows for more efficient use of resources. The</w:t>
      </w:r>
      <w:r w:rsidRPr="005D7E20" w:rsidR="00C64D95">
        <w:rPr>
          <w:sz w:val="24"/>
          <w:szCs w:val="24"/>
        </w:rPr>
        <w:t xml:space="preserve"> </w:t>
      </w:r>
      <w:r w:rsidRPr="005D7E20" w:rsidR="00851FFC">
        <w:rPr>
          <w:sz w:val="24"/>
          <w:szCs w:val="24"/>
        </w:rPr>
        <w:t>grantee</w:t>
      </w:r>
      <w:r w:rsidRPr="005D7E20">
        <w:rPr>
          <w:sz w:val="24"/>
          <w:szCs w:val="24"/>
        </w:rPr>
        <w:t xml:space="preserve"> must design and support opportunities for engaging other eligible entities throughout the year that enhance the capacity of front-line staff to provide quality programming. At a minimum, the grantee must:</w:t>
      </w:r>
    </w:p>
    <w:p w:rsidRPr="005D7E20" w:rsidR="00BE548A" w:rsidP="00BE548A" w:rsidRDefault="00BE548A" w14:paraId="167333FB" w14:textId="19409C7F">
      <w:pPr>
        <w:rPr>
          <w:sz w:val="24"/>
          <w:szCs w:val="24"/>
        </w:rPr>
      </w:pPr>
      <w:r w:rsidRPr="005D7E20">
        <w:rPr>
          <w:sz w:val="24"/>
          <w:szCs w:val="24"/>
        </w:rPr>
        <w:t xml:space="preserve">Coordinate the </w:t>
      </w:r>
      <w:bookmarkStart w:name="OLE_LINK1" w:id="33"/>
      <w:bookmarkStart w:name="OLE_LINK2" w:id="34"/>
      <w:r w:rsidRPr="005D7E20">
        <w:rPr>
          <w:sz w:val="24"/>
          <w:szCs w:val="24"/>
        </w:rPr>
        <w:t xml:space="preserve">Soaring Beyond Expectations: An Afterschool </w:t>
      </w:r>
      <w:bookmarkEnd w:id="33"/>
      <w:bookmarkEnd w:id="34"/>
      <w:r w:rsidRPr="005D7E20">
        <w:rPr>
          <w:sz w:val="24"/>
          <w:szCs w:val="24"/>
        </w:rPr>
        <w:t>Celebration for</w:t>
      </w:r>
      <w:r w:rsidRPr="005D7E20" w:rsidR="004A237D">
        <w:rPr>
          <w:sz w:val="24"/>
          <w:szCs w:val="24"/>
        </w:rPr>
        <w:t xml:space="preserve"> approximately</w:t>
      </w:r>
      <w:r w:rsidRPr="005D7E20">
        <w:rPr>
          <w:sz w:val="24"/>
          <w:szCs w:val="24"/>
        </w:rPr>
        <w:t xml:space="preserve"> 150 attendees.  </w:t>
      </w:r>
    </w:p>
    <w:p w:rsidRPr="005D7E20" w:rsidR="00BE548A" w:rsidP="00BE548A" w:rsidRDefault="00BE548A" w14:paraId="5C9DEAD7" w14:textId="4297053B">
      <w:pPr>
        <w:pStyle w:val="ListParagraph"/>
        <w:numPr>
          <w:ilvl w:val="0"/>
          <w:numId w:val="37"/>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240" w:line="240" w:lineRule="auto"/>
        <w:rPr>
          <w:sz w:val="24"/>
          <w:szCs w:val="24"/>
        </w:rPr>
      </w:pPr>
      <w:r w:rsidRPr="005D7E20">
        <w:rPr>
          <w:sz w:val="24"/>
          <w:szCs w:val="24"/>
        </w:rPr>
        <w:t xml:space="preserve">Assist 21st CCLC grantees in fulfilling its requirement to create at least one </w:t>
      </w:r>
      <w:r w:rsidRPr="005D7E20">
        <w:rPr>
          <w:iCs/>
          <w:sz w:val="24"/>
          <w:szCs w:val="24"/>
        </w:rPr>
        <w:t>NJ Celebrates Afterschool</w:t>
      </w:r>
      <w:r w:rsidRPr="005D7E20">
        <w:rPr>
          <w:sz w:val="24"/>
          <w:szCs w:val="24"/>
        </w:rPr>
        <w:t xml:space="preserve"> event annually. </w:t>
      </w:r>
      <w:r w:rsidRPr="005D7E20">
        <w:rPr>
          <w:iCs/>
          <w:sz w:val="24"/>
          <w:szCs w:val="24"/>
        </w:rPr>
        <w:t>NJ Celebrates Afterschool</w:t>
      </w:r>
      <w:r w:rsidRPr="005D7E20">
        <w:rPr>
          <w:sz w:val="24"/>
          <w:szCs w:val="24"/>
        </w:rPr>
        <w:t xml:space="preserve"> events are open houses with fun and educational activities for parents, children and local community leaders to build ongoing community support.  </w:t>
      </w:r>
    </w:p>
    <w:p w:rsidRPr="005D7E20" w:rsidR="00BE548A" w:rsidP="00BE548A" w:rsidRDefault="00BE548A" w14:paraId="107B8994" w14:textId="7A21372B">
      <w:pPr>
        <w:spacing w:after="240"/>
        <w:rPr>
          <w:b/>
          <w:bCs/>
          <w:sz w:val="24"/>
          <w:szCs w:val="24"/>
        </w:rPr>
      </w:pPr>
      <w:r w:rsidRPr="005D7E20">
        <w:rPr>
          <w:sz w:val="24"/>
          <w:szCs w:val="24"/>
        </w:rPr>
        <w:t xml:space="preserve">D.  </w:t>
      </w:r>
      <w:r w:rsidRPr="005D7E20">
        <w:rPr>
          <w:rStyle w:val="Heading4Char"/>
          <w:b w:val="0"/>
          <w:szCs w:val="24"/>
        </w:rPr>
        <w:t>Use data-driven strategies for enhancing trainings and technical assistance.</w:t>
      </w:r>
    </w:p>
    <w:p w:rsidRPr="005D7E20" w:rsidR="00BE548A" w:rsidP="00BE548A" w:rsidRDefault="00BE548A" w14:paraId="016DBD23" w14:textId="646D667B">
      <w:pPr>
        <w:rPr>
          <w:sz w:val="24"/>
          <w:szCs w:val="24"/>
        </w:rPr>
      </w:pPr>
      <w:r w:rsidRPr="005D7E20">
        <w:rPr>
          <w:sz w:val="24"/>
          <w:szCs w:val="24"/>
        </w:rPr>
        <w:t xml:space="preserve">The </w:t>
      </w:r>
      <w:r w:rsidRPr="005D7E20" w:rsidR="00F93267">
        <w:rPr>
          <w:sz w:val="24"/>
          <w:szCs w:val="24"/>
        </w:rPr>
        <w:t xml:space="preserve">applicant </w:t>
      </w:r>
      <w:r w:rsidRPr="005D7E20">
        <w:rPr>
          <w:sz w:val="24"/>
          <w:szCs w:val="24"/>
        </w:rPr>
        <w:t xml:space="preserve">must address its plan for determining the effectiveness of the provided trainings and technical assistance. The </w:t>
      </w:r>
      <w:r w:rsidRPr="005D7E20" w:rsidR="00F93267">
        <w:rPr>
          <w:sz w:val="24"/>
          <w:szCs w:val="24"/>
        </w:rPr>
        <w:t>applicant</w:t>
      </w:r>
      <w:r w:rsidRPr="005D7E20">
        <w:rPr>
          <w:sz w:val="24"/>
          <w:szCs w:val="24"/>
        </w:rPr>
        <w:t xml:space="preserve"> must ensure that</w:t>
      </w:r>
      <w:r w:rsidRPr="005D7E20">
        <w:rPr>
          <w:iCs/>
          <w:sz w:val="24"/>
          <w:szCs w:val="24"/>
        </w:rPr>
        <w:t xml:space="preserve"> the training and technical assistance plan is based on the areas of improvement identified through the results of training survey responses collected in </w:t>
      </w:r>
      <w:r w:rsidRPr="005D7E20">
        <w:rPr>
          <w:sz w:val="24"/>
          <w:szCs w:val="24"/>
        </w:rPr>
        <w:t xml:space="preserve">the prior year, as appropriate, and within the most recent NJDOE evaluation reports developed by the New Jersey 21st CCLC state evaluator. </w:t>
      </w:r>
    </w:p>
    <w:p w:rsidRPr="005D7E20" w:rsidR="00BE548A" w:rsidP="00BE548A" w:rsidRDefault="00C30FF0" w14:paraId="7CC95DA7" w14:textId="3078882C">
      <w:pPr>
        <w:pStyle w:val="Heading4"/>
        <w:rPr>
          <w:b w:val="0"/>
          <w:color w:val="44546A" w:themeColor="text2"/>
          <w:szCs w:val="24"/>
        </w:rPr>
      </w:pPr>
      <w:r w:rsidRPr="005D7E20">
        <w:rPr>
          <w:b w:val="0"/>
          <w:color w:val="44546A" w:themeColor="text2"/>
          <w:szCs w:val="24"/>
        </w:rPr>
        <w:t>Goals, Objectives, Indicators, and Evaluation</w:t>
      </w:r>
    </w:p>
    <w:p w:rsidRPr="005D7E20" w:rsidR="00BE548A" w:rsidP="00BE548A" w:rsidRDefault="00BE548A" w14:paraId="21A8A6BA" w14:textId="7108068E">
      <w:pPr>
        <w:rPr>
          <w:sz w:val="24"/>
          <w:szCs w:val="24"/>
        </w:rPr>
      </w:pPr>
      <w:r w:rsidRPr="005D7E20">
        <w:rPr>
          <w:sz w:val="24"/>
          <w:szCs w:val="24"/>
        </w:rPr>
        <w:t xml:space="preserve">The NJDOE has mandated the following goals for this training and technical assistance project; however, the </w:t>
      </w:r>
      <w:r w:rsidRPr="005D7E20" w:rsidR="00BB649C">
        <w:rPr>
          <w:sz w:val="24"/>
          <w:szCs w:val="24"/>
        </w:rPr>
        <w:t>applicant</w:t>
      </w:r>
      <w:r w:rsidRPr="005D7E20" w:rsidR="003148F3">
        <w:rPr>
          <w:sz w:val="24"/>
          <w:szCs w:val="24"/>
        </w:rPr>
        <w:t xml:space="preserve"> must describe</w:t>
      </w:r>
      <w:r w:rsidRPr="005D7E20">
        <w:rPr>
          <w:sz w:val="24"/>
          <w:szCs w:val="24"/>
        </w:rPr>
        <w:t xml:space="preserve"> how it will evaluate progress towards attaining the goals, objectives and indicators. Additionally,</w:t>
      </w:r>
      <w:r w:rsidRPr="005D7E20" w:rsidR="00BB649C">
        <w:rPr>
          <w:sz w:val="24"/>
          <w:szCs w:val="24"/>
        </w:rPr>
        <w:t xml:space="preserve"> </w:t>
      </w:r>
      <w:r w:rsidRPr="005D7E20" w:rsidR="00B23B58">
        <w:rPr>
          <w:sz w:val="24"/>
          <w:szCs w:val="24"/>
        </w:rPr>
        <w:t xml:space="preserve">the </w:t>
      </w:r>
      <w:r w:rsidRPr="005D7E20" w:rsidR="00BB649C">
        <w:rPr>
          <w:sz w:val="24"/>
          <w:szCs w:val="24"/>
        </w:rPr>
        <w:t>applicant</w:t>
      </w:r>
      <w:r w:rsidRPr="005D7E20">
        <w:rPr>
          <w:sz w:val="24"/>
          <w:szCs w:val="24"/>
        </w:rPr>
        <w:t xml:space="preserve"> must upload the corresponding objectives and indicators using Appendix 2.</w:t>
      </w:r>
    </w:p>
    <w:p w:rsidRPr="005D7E20" w:rsidR="00BE548A" w:rsidP="00BE548A" w:rsidRDefault="00BE548A" w14:paraId="4AAFE2D9" w14:textId="2874BA8B">
      <w:pPr>
        <w:rPr>
          <w:sz w:val="24"/>
          <w:szCs w:val="24"/>
        </w:rPr>
      </w:pPr>
      <w:r w:rsidRPr="005D7E20">
        <w:rPr>
          <w:sz w:val="24"/>
          <w:szCs w:val="24"/>
        </w:rPr>
        <w:lastRenderedPageBreak/>
        <w:t>Goal 1:  To support NJDOE in increasing the capacity of grantee program staff.</w:t>
      </w:r>
    </w:p>
    <w:p w:rsidRPr="005D7E20" w:rsidR="00BE548A" w:rsidP="00BE548A" w:rsidRDefault="00BE548A" w14:paraId="51F596C0" w14:textId="21253613">
      <w:pPr>
        <w:rPr>
          <w:sz w:val="24"/>
          <w:szCs w:val="24"/>
        </w:rPr>
      </w:pPr>
      <w:r w:rsidRPr="005D7E20">
        <w:rPr>
          <w:sz w:val="24"/>
          <w:szCs w:val="24"/>
        </w:rPr>
        <w:t xml:space="preserve">Goal 2:  To support 21st CCLC grantees in enhancing and improving student academic and social skill development and competencies. </w:t>
      </w:r>
    </w:p>
    <w:p w:rsidRPr="005D7E20" w:rsidR="00BE548A" w:rsidP="00BE548A" w:rsidRDefault="00BE548A" w14:paraId="3D1BFC9E" w14:textId="2B983DA3">
      <w:pPr>
        <w:rPr>
          <w:sz w:val="24"/>
          <w:szCs w:val="24"/>
        </w:rPr>
      </w:pPr>
      <w:r w:rsidRPr="005D7E20">
        <w:rPr>
          <w:sz w:val="24"/>
          <w:szCs w:val="24"/>
        </w:rPr>
        <w:t>Goal 3:  To provide networking opportunities for out-of-school time program providers throughout New Jersey.</w:t>
      </w:r>
    </w:p>
    <w:p w:rsidRPr="005D7E20" w:rsidR="00BE548A" w:rsidP="00BE548A" w:rsidRDefault="00BE548A" w14:paraId="0D38A804" w14:textId="0A815BAD">
      <w:pPr>
        <w:rPr>
          <w:sz w:val="24"/>
          <w:szCs w:val="24"/>
        </w:rPr>
      </w:pPr>
      <w:r w:rsidRPr="005D7E20">
        <w:rPr>
          <w:sz w:val="24"/>
          <w:szCs w:val="24"/>
        </w:rPr>
        <w:t>Goal 4:  To provide targeted technical assistance based on areas of improvement noted in state-level evaluation reports.</w:t>
      </w:r>
    </w:p>
    <w:p w:rsidRPr="005D7E20" w:rsidR="00BE548A" w:rsidP="00BE548A" w:rsidRDefault="00BE548A" w14:paraId="5192493D" w14:textId="7232CABF">
      <w:pPr>
        <w:rPr>
          <w:sz w:val="24"/>
          <w:szCs w:val="24"/>
        </w:rPr>
      </w:pPr>
      <w:r w:rsidRPr="005D7E20">
        <w:rPr>
          <w:sz w:val="24"/>
          <w:szCs w:val="24"/>
        </w:rPr>
        <w:t xml:space="preserve">The </w:t>
      </w:r>
      <w:r w:rsidRPr="005D7E20" w:rsidR="00B23B58">
        <w:rPr>
          <w:sz w:val="24"/>
          <w:szCs w:val="24"/>
        </w:rPr>
        <w:t>applicant</w:t>
      </w:r>
      <w:r w:rsidRPr="005D7E20">
        <w:rPr>
          <w:sz w:val="24"/>
          <w:szCs w:val="24"/>
        </w:rPr>
        <w:t xml:space="preserve"> is required to develop corresponding objectives and performance indicators.  </w:t>
      </w:r>
      <w:r w:rsidRPr="005D7E20">
        <w:rPr>
          <w:iCs/>
          <w:sz w:val="24"/>
          <w:szCs w:val="24"/>
        </w:rPr>
        <w:t>Both the objectives and the indicators must be</w:t>
      </w:r>
      <w:r w:rsidRPr="005D7E20">
        <w:rPr>
          <w:sz w:val="24"/>
          <w:szCs w:val="24"/>
        </w:rPr>
        <w:t xml:space="preserve"> developed using the </w:t>
      </w:r>
      <w:r w:rsidRPr="005D7E20">
        <w:rPr>
          <w:bCs/>
          <w:sz w:val="24"/>
          <w:szCs w:val="24"/>
        </w:rPr>
        <w:t>S.M.A.R.T. method:</w:t>
      </w:r>
      <w:r w:rsidRPr="005D7E20">
        <w:rPr>
          <w:sz w:val="24"/>
          <w:szCs w:val="24"/>
        </w:rPr>
        <w:t xml:space="preserve"> </w:t>
      </w:r>
    </w:p>
    <w:p w:rsidRPr="005D7E20" w:rsidR="00BE548A" w:rsidP="00BE548A" w:rsidRDefault="00BE548A" w14:paraId="7410944E" w14:textId="053DD6D9">
      <w:pPr>
        <w:pStyle w:val="ListParagraph"/>
        <w:numPr>
          <w:ilvl w:val="0"/>
          <w:numId w:val="5"/>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S</w:t>
      </w:r>
      <w:r w:rsidRPr="005D7E20">
        <w:rPr>
          <w:i/>
          <w:iCs/>
          <w:sz w:val="24"/>
          <w:szCs w:val="24"/>
        </w:rPr>
        <w:t>pecific</w:t>
      </w:r>
      <w:r w:rsidRPr="005D7E20">
        <w:rPr>
          <w:sz w:val="24"/>
          <w:szCs w:val="24"/>
        </w:rPr>
        <w:t xml:space="preserve">. That is, they tell </w:t>
      </w:r>
      <w:r w:rsidRPr="005D7E20">
        <w:rPr>
          <w:i/>
          <w:iCs/>
          <w:sz w:val="24"/>
          <w:szCs w:val="24"/>
        </w:rPr>
        <w:t>how much</w:t>
      </w:r>
      <w:r w:rsidRPr="005D7E20">
        <w:rPr>
          <w:sz w:val="24"/>
          <w:szCs w:val="24"/>
        </w:rPr>
        <w:t xml:space="preserve"> (e.g., 40%) </w:t>
      </w:r>
      <w:r w:rsidRPr="005D7E20">
        <w:rPr>
          <w:i/>
          <w:iCs/>
          <w:sz w:val="24"/>
          <w:szCs w:val="24"/>
        </w:rPr>
        <w:t>of what</w:t>
      </w:r>
      <w:r w:rsidRPr="005D7E20">
        <w:rPr>
          <w:sz w:val="24"/>
          <w:szCs w:val="24"/>
        </w:rPr>
        <w:t xml:space="preserve"> is to be achieved (e.g., what behavior of whom or what outcome) by </w:t>
      </w:r>
      <w:r w:rsidRPr="005D7E20">
        <w:rPr>
          <w:i/>
          <w:iCs/>
          <w:sz w:val="24"/>
          <w:szCs w:val="24"/>
        </w:rPr>
        <w:t>when</w:t>
      </w:r>
      <w:r w:rsidRPr="005D7E20">
        <w:rPr>
          <w:sz w:val="24"/>
          <w:szCs w:val="24"/>
        </w:rPr>
        <w:t xml:space="preserve"> (e.g., by March 202</w:t>
      </w:r>
      <w:r w:rsidRPr="005D7E20" w:rsidR="00B23B58">
        <w:rPr>
          <w:sz w:val="24"/>
          <w:szCs w:val="24"/>
        </w:rPr>
        <w:t>3</w:t>
      </w:r>
      <w:r w:rsidRPr="005D7E20">
        <w:rPr>
          <w:sz w:val="24"/>
          <w:szCs w:val="24"/>
        </w:rPr>
        <w:t>)</w:t>
      </w:r>
    </w:p>
    <w:p w:rsidRPr="005D7E20" w:rsidR="00BE548A" w:rsidP="00BE548A" w:rsidRDefault="00BE548A" w14:paraId="3B166ACC" w14:textId="77777777">
      <w:pPr>
        <w:pStyle w:val="ListParagraph"/>
        <w:numPr>
          <w:ilvl w:val="0"/>
          <w:numId w:val="5"/>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M</w:t>
      </w:r>
      <w:r w:rsidRPr="005D7E20">
        <w:rPr>
          <w:i/>
          <w:sz w:val="24"/>
          <w:szCs w:val="24"/>
        </w:rPr>
        <w:t>easurable</w:t>
      </w:r>
      <w:r w:rsidRPr="005D7E20">
        <w:rPr>
          <w:sz w:val="24"/>
          <w:szCs w:val="24"/>
        </w:rPr>
        <w:t xml:space="preserve">. You have identified the level of performance expected in order to indicate successful achievement of the objective and indicator. </w:t>
      </w:r>
    </w:p>
    <w:p w:rsidRPr="005D7E20" w:rsidR="00BE548A" w:rsidP="00BE548A" w:rsidRDefault="00BE548A" w14:paraId="660BF4B1" w14:textId="77777777">
      <w:pPr>
        <w:pStyle w:val="ListParagraph"/>
        <w:numPr>
          <w:ilvl w:val="0"/>
          <w:numId w:val="5"/>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A</w:t>
      </w:r>
      <w:r w:rsidRPr="005D7E20">
        <w:rPr>
          <w:i/>
          <w:iCs/>
          <w:sz w:val="24"/>
          <w:szCs w:val="24"/>
        </w:rPr>
        <w:t>chievable</w:t>
      </w:r>
      <w:r w:rsidRPr="005D7E20">
        <w:rPr>
          <w:sz w:val="24"/>
          <w:szCs w:val="24"/>
        </w:rPr>
        <w:t xml:space="preserve">. Not only are the objectives and indicators themselves possible, it is likely that your organization will be able to achieve them. </w:t>
      </w:r>
    </w:p>
    <w:p w:rsidRPr="005D7E20" w:rsidR="00BE548A" w:rsidP="00BE548A" w:rsidRDefault="00BE548A" w14:paraId="73B7094F" w14:textId="77777777">
      <w:pPr>
        <w:pStyle w:val="ListParagraph"/>
        <w:numPr>
          <w:ilvl w:val="0"/>
          <w:numId w:val="5"/>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R</w:t>
      </w:r>
      <w:r w:rsidRPr="005D7E20">
        <w:rPr>
          <w:i/>
          <w:iCs/>
          <w:sz w:val="24"/>
          <w:szCs w:val="24"/>
        </w:rPr>
        <w:t>elevant</w:t>
      </w:r>
      <w:r w:rsidRPr="005D7E20">
        <w:rPr>
          <w:sz w:val="24"/>
          <w:szCs w:val="24"/>
        </w:rPr>
        <w:t xml:space="preserve">. Your organization has a clear understanding of how these objectives and indicators fit in with the overall vision of this contract. </w:t>
      </w:r>
    </w:p>
    <w:p w:rsidRPr="005D7E20" w:rsidR="00BE548A" w:rsidP="00BE548A" w:rsidRDefault="00BE548A" w14:paraId="526BEBAB" w14:textId="1B0595AA">
      <w:pPr>
        <w:pStyle w:val="ListParagraph"/>
        <w:numPr>
          <w:ilvl w:val="0"/>
          <w:numId w:val="5"/>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T</w:t>
      </w:r>
      <w:r w:rsidRPr="005D7E20">
        <w:rPr>
          <w:i/>
          <w:iCs/>
          <w:sz w:val="24"/>
          <w:szCs w:val="24"/>
        </w:rPr>
        <w:t>imed</w:t>
      </w:r>
      <w:r w:rsidRPr="005D7E20">
        <w:rPr>
          <w:sz w:val="24"/>
          <w:szCs w:val="24"/>
        </w:rPr>
        <w:t xml:space="preserve">. Your organization has developed a timeline (a portion of which is made clear in the objectives) by which they will be achieved. </w:t>
      </w:r>
    </w:p>
    <w:p w:rsidRPr="005D7E20" w:rsidR="00031835" w:rsidP="00031835" w:rsidRDefault="00031835" w14:paraId="404B4F5C" w14:textId="77777777">
      <w:pPr>
        <w:pStyle w:val="ListParagraph"/>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p>
    <w:p w:rsidRPr="005D7E20" w:rsidR="00BE548A" w:rsidP="00BE548A" w:rsidRDefault="00BE548A" w14:paraId="6989A270" w14:textId="509FD086">
      <w:pPr>
        <w:rPr>
          <w:sz w:val="24"/>
          <w:szCs w:val="24"/>
        </w:rPr>
      </w:pPr>
      <w:r w:rsidRPr="005D7E20">
        <w:rPr>
          <w:sz w:val="24"/>
          <w:szCs w:val="24"/>
        </w:rPr>
        <w:t>Responses must be submitted in the Goals and Objectives section.</w:t>
      </w:r>
    </w:p>
    <w:p w:rsidRPr="005D7E20" w:rsidR="00EC6CA1" w:rsidP="00F11099" w:rsidRDefault="00EC6CA1" w14:paraId="54E29590" w14:textId="2A3F6E8B">
      <w:pPr>
        <w:pStyle w:val="Heading3"/>
        <w:rPr>
          <w:b/>
        </w:rPr>
      </w:pPr>
      <w:r w:rsidRPr="005D7E20">
        <w:t>Organizational Commitment and Capacity</w:t>
      </w:r>
    </w:p>
    <w:p w:rsidR="00B25A81" w:rsidP="00D93F82" w:rsidRDefault="002D65DD" w14:paraId="5BFE8643" w14:textId="4473400F">
      <w:pPr>
        <w:rPr>
          <w:color w:val="auto"/>
          <w:sz w:val="24"/>
          <w:szCs w:val="24"/>
        </w:rPr>
      </w:pPr>
      <w:r w:rsidRPr="005D7E20">
        <w:rPr>
          <w:color w:val="auto"/>
          <w:sz w:val="24"/>
          <w:szCs w:val="24"/>
        </w:rPr>
        <w:t>Applicants must describe and document their commitment and authority to implement the project, as well as the agency’s resources and experience with comparable initiatives that will support successful project implementation.</w:t>
      </w:r>
      <w:r w:rsidRPr="005D7E20" w:rsidR="00BB3467">
        <w:rPr>
          <w:color w:val="auto"/>
          <w:sz w:val="24"/>
          <w:szCs w:val="24"/>
        </w:rPr>
        <w:t xml:space="preserve"> In addition, applicants should address why the project is important, </w:t>
      </w:r>
      <w:r w:rsidRPr="005D7E20" w:rsidR="00F31DA0">
        <w:rPr>
          <w:color w:val="auto"/>
          <w:sz w:val="24"/>
          <w:szCs w:val="24"/>
        </w:rPr>
        <w:t xml:space="preserve">experience implementing similar types of projects, </w:t>
      </w:r>
      <w:r w:rsidRPr="005D7E20" w:rsidR="006917BB">
        <w:rPr>
          <w:color w:val="auto"/>
          <w:sz w:val="24"/>
          <w:szCs w:val="24"/>
        </w:rPr>
        <w:t>organizational resources (</w:t>
      </w:r>
      <w:r w:rsidRPr="005D7E20" w:rsidR="009479C5">
        <w:rPr>
          <w:color w:val="auto"/>
          <w:sz w:val="24"/>
          <w:szCs w:val="24"/>
        </w:rPr>
        <w:t xml:space="preserve">staff, facilities, equipment, in-kind services, etc.), </w:t>
      </w:r>
      <w:r w:rsidRPr="005D7E20" w:rsidR="00F31DA0">
        <w:rPr>
          <w:color w:val="auto"/>
          <w:sz w:val="24"/>
          <w:szCs w:val="24"/>
        </w:rPr>
        <w:t xml:space="preserve">and describe the commitment to addressing the </w:t>
      </w:r>
      <w:r w:rsidRPr="005D7E20" w:rsidR="00467EC8">
        <w:rPr>
          <w:color w:val="auto"/>
          <w:sz w:val="24"/>
          <w:szCs w:val="24"/>
        </w:rPr>
        <w:t>support for the proposed project.</w:t>
      </w:r>
    </w:p>
    <w:p w:rsidRPr="00F11099" w:rsidR="0029276F" w:rsidP="00F11099" w:rsidRDefault="0029276F" w14:paraId="3873B88B" w14:textId="24299865">
      <w:pPr>
        <w:pStyle w:val="Heading3"/>
      </w:pPr>
      <w:r w:rsidRPr="00F11099">
        <w:t>Management Plan</w:t>
      </w:r>
    </w:p>
    <w:p w:rsidRPr="005D7E20" w:rsidR="00EC6CA1" w:rsidP="00BE548A" w:rsidRDefault="0029276F" w14:paraId="1E0F8809" w14:textId="70E1AFFD">
      <w:pPr>
        <w:rPr>
          <w:sz w:val="24"/>
          <w:szCs w:val="24"/>
        </w:rPr>
      </w:pPr>
      <w:r w:rsidRPr="005D7E20">
        <w:rPr>
          <w:sz w:val="24"/>
          <w:szCs w:val="24"/>
        </w:rPr>
        <w:t xml:space="preserve">The applicant must provide a description of the intended management plan. The applicant has some flexibility in the establishment of its staffing patterns; however, the NJDOE will review and approve the management plan, including staffing, based on what is necessary and reasonable to implement the project plan and adhere to program requirements. The applicant is required to identify a project director who will serve as the agency’s primary point of contact with the NJDOE program officer responsible for the program. This person must be employed by the </w:t>
      </w:r>
      <w:r w:rsidRPr="005D7E20">
        <w:rPr>
          <w:i/>
          <w:sz w:val="24"/>
          <w:szCs w:val="24"/>
        </w:rPr>
        <w:t>grantee agency</w:t>
      </w:r>
      <w:r w:rsidRPr="005D7E20">
        <w:rPr>
          <w:sz w:val="24"/>
          <w:szCs w:val="24"/>
        </w:rPr>
        <w:t xml:space="preserve"> and is responsible for managing the administrative functions of this program. In order to effectively perform the administrative responsibilities of this federally-funded grant program, the management plan must indicate all agency staff that will be working on this project, with specific time allocated to this project. </w:t>
      </w:r>
    </w:p>
    <w:p w:rsidRPr="005D7E20" w:rsidR="00BE548A" w:rsidP="00F11099" w:rsidRDefault="00C30FF0" w14:paraId="35FC51CA" w14:textId="2EDF28BC">
      <w:pPr>
        <w:pStyle w:val="Heading3"/>
        <w:rPr>
          <w:b/>
        </w:rPr>
      </w:pPr>
      <w:r w:rsidRPr="005D7E20">
        <w:lastRenderedPageBreak/>
        <w:t>Project Activity Plan</w:t>
      </w:r>
    </w:p>
    <w:p w:rsidRPr="005D7E20" w:rsidR="00BE548A" w:rsidP="00BE548A" w:rsidRDefault="00BE548A" w14:paraId="78456F44" w14:textId="72A1E807">
      <w:pPr>
        <w:rPr>
          <w:sz w:val="24"/>
          <w:szCs w:val="24"/>
        </w:rPr>
      </w:pPr>
      <w:r w:rsidRPr="005D7E20">
        <w:rPr>
          <w:sz w:val="24"/>
          <w:szCs w:val="24"/>
        </w:rPr>
        <w:t xml:space="preserve">The </w:t>
      </w:r>
      <w:r w:rsidRPr="005D7E20" w:rsidR="00B23B58">
        <w:rPr>
          <w:sz w:val="24"/>
          <w:szCs w:val="24"/>
        </w:rPr>
        <w:t>applicant</w:t>
      </w:r>
      <w:r w:rsidRPr="005D7E20">
        <w:rPr>
          <w:sz w:val="24"/>
          <w:szCs w:val="24"/>
        </w:rPr>
        <w:t xml:space="preserve"> must describe the proposed activities that will be implemented to achieve each State mandated goal and the grantee identified objectives and indicators. The project activity plan must directly support the budget, as it will serve as the basis for the proposed expenditures. Activities described must be specific and directly related to the goals and measurable objectives. For example, the following is an </w:t>
      </w:r>
      <w:r w:rsidRPr="005D7E20">
        <w:rPr>
          <w:i/>
          <w:sz w:val="24"/>
          <w:szCs w:val="24"/>
        </w:rPr>
        <w:t>unacceptable activity</w:t>
      </w:r>
      <w:r w:rsidRPr="005D7E20">
        <w:rPr>
          <w:sz w:val="24"/>
          <w:szCs w:val="24"/>
        </w:rPr>
        <w:t xml:space="preserve">: “Meetings with community partners, community entities, collaborators.”  A more </w:t>
      </w:r>
      <w:r w:rsidRPr="005D7E20">
        <w:rPr>
          <w:i/>
          <w:sz w:val="24"/>
          <w:szCs w:val="24"/>
        </w:rPr>
        <w:t>acceptable activity</w:t>
      </w:r>
      <w:r w:rsidRPr="005D7E20">
        <w:rPr>
          <w:sz w:val="24"/>
          <w:szCs w:val="24"/>
        </w:rPr>
        <w:t xml:space="preserve"> would be: “The project director will meet with community entities, partners, and collaborators on a quarterly basis.” </w:t>
      </w:r>
    </w:p>
    <w:p w:rsidRPr="005D7E20" w:rsidR="00BE548A" w:rsidP="00BE548A" w:rsidRDefault="00BE548A" w14:paraId="1ACA83FC" w14:textId="187295D7">
      <w:pPr>
        <w:rPr>
          <w:sz w:val="24"/>
          <w:szCs w:val="24"/>
        </w:rPr>
      </w:pPr>
      <w:r w:rsidRPr="005D7E20">
        <w:rPr>
          <w:sz w:val="24"/>
          <w:szCs w:val="24"/>
        </w:rPr>
        <w:t>Within the EWEG Project Activity Plan section, the grantee must list activities that are specific to the 202</w:t>
      </w:r>
      <w:r w:rsidRPr="005D7E20" w:rsidR="00AA1AF2">
        <w:rPr>
          <w:sz w:val="24"/>
          <w:szCs w:val="24"/>
        </w:rPr>
        <w:t>2</w:t>
      </w:r>
      <w:r w:rsidRPr="005D7E20">
        <w:rPr>
          <w:sz w:val="24"/>
          <w:szCs w:val="24"/>
        </w:rPr>
        <w:t>-202</w:t>
      </w:r>
      <w:r w:rsidRPr="005D7E20" w:rsidR="00AA1AF2">
        <w:rPr>
          <w:sz w:val="24"/>
          <w:szCs w:val="24"/>
        </w:rPr>
        <w:t>3</w:t>
      </w:r>
      <w:r w:rsidRPr="005D7E20">
        <w:rPr>
          <w:sz w:val="24"/>
          <w:szCs w:val="24"/>
        </w:rPr>
        <w:t xml:space="preserve"> program year. Additionally, </w:t>
      </w:r>
      <w:r w:rsidRPr="005D7E20" w:rsidR="00AA1AF2">
        <w:rPr>
          <w:sz w:val="24"/>
          <w:szCs w:val="24"/>
        </w:rPr>
        <w:t>the applicant</w:t>
      </w:r>
      <w:r w:rsidRPr="005D7E20">
        <w:rPr>
          <w:sz w:val="24"/>
          <w:szCs w:val="24"/>
        </w:rPr>
        <w:t xml:space="preserve"> must select the period in which the activity will be implemented. If the activity is ongoing or recurring, select each period in which the activity will take place. Responses to this section must be submitted in the Project Activity Plan section. </w:t>
      </w:r>
    </w:p>
    <w:p w:rsidRPr="005D7E20" w:rsidR="00B47D56" w:rsidP="00F11099" w:rsidRDefault="00FD1853" w14:paraId="03AB39A4" w14:textId="0DE734AF">
      <w:pPr>
        <w:pStyle w:val="Heading3"/>
        <w:rPr>
          <w:b/>
        </w:rPr>
      </w:pPr>
      <w:r w:rsidRPr="005D7E20">
        <w:t>Budget Design Considerations</w:t>
      </w:r>
      <w:bookmarkEnd w:id="32"/>
      <w:r w:rsidRPr="005D7E20" w:rsidR="0052678F">
        <w:t xml:space="preserve"> </w:t>
      </w:r>
    </w:p>
    <w:p w:rsidRPr="005D7E20" w:rsidR="00F65832" w:rsidP="00F65832" w:rsidRDefault="00F65832" w14:paraId="22925402" w14:textId="016CE961">
      <w:pPr>
        <w:rPr>
          <w:sz w:val="24"/>
          <w:szCs w:val="24"/>
        </w:rPr>
      </w:pPr>
      <w:r w:rsidRPr="005D7E20">
        <w:rPr>
          <w:sz w:val="24"/>
          <w:szCs w:val="24"/>
        </w:rPr>
        <w:t xml:space="preserve">The organization designated as the grantee agency in the original application must remain the grantee agency and must be accountable for all fiscal and program oversight for the duration of this grant. Income collected from fees must be used to supplement the training for which it was collected or to fund additional costs consistent with the grant application and cannot be carried over into any subsequent years. </w:t>
      </w:r>
    </w:p>
    <w:p w:rsidRPr="005D7E20" w:rsidR="00F65832" w:rsidP="00F65832" w:rsidRDefault="00F65832" w14:paraId="374DBE33" w14:textId="5BAE0477">
      <w:pPr>
        <w:rPr>
          <w:sz w:val="24"/>
          <w:szCs w:val="24"/>
        </w:rPr>
      </w:pPr>
      <w:r w:rsidRPr="005D7E20">
        <w:rPr>
          <w:sz w:val="24"/>
          <w:szCs w:val="24"/>
        </w:rPr>
        <w:t xml:space="preserve">Once the objectives that will guide the work in the implementation phase of the grant have been prioritized, begin to develop the details of the budget that will be necessary to carry out each activity. The budget will be reviewed to ensure that costs are customary and reasonable for implementation of each project activity. The </w:t>
      </w:r>
      <w:r w:rsidRPr="005D7E20" w:rsidR="00AA1AF2">
        <w:rPr>
          <w:sz w:val="24"/>
          <w:szCs w:val="24"/>
        </w:rPr>
        <w:t>applicant</w:t>
      </w:r>
      <w:r w:rsidRPr="005D7E20">
        <w:rPr>
          <w:sz w:val="24"/>
          <w:szCs w:val="24"/>
        </w:rPr>
        <w:t xml:space="preserve"> must provide a direct link for each cost to the goals, objectives and activities in the Project Activity Plan that provides programmatic support for the proposed cost.</w:t>
      </w:r>
    </w:p>
    <w:p w:rsidRPr="005D7E20" w:rsidR="00F65832" w:rsidP="00F65832" w:rsidRDefault="00F65832" w14:paraId="3C867A2D" w14:textId="0726ECCF">
      <w:pPr>
        <w:spacing w:after="240"/>
        <w:rPr>
          <w:iCs/>
          <w:sz w:val="24"/>
          <w:szCs w:val="24"/>
        </w:rPr>
      </w:pPr>
      <w:r w:rsidRPr="005D7E20">
        <w:rPr>
          <w:iCs/>
          <w:sz w:val="24"/>
          <w:szCs w:val="24"/>
        </w:rPr>
        <w:t xml:space="preserve">In addition, the </w:t>
      </w:r>
      <w:r w:rsidRPr="005D7E20" w:rsidR="00AA1AF2">
        <w:rPr>
          <w:iCs/>
          <w:sz w:val="24"/>
          <w:szCs w:val="24"/>
        </w:rPr>
        <w:t>applicant</w:t>
      </w:r>
      <w:r w:rsidRPr="005D7E20">
        <w:rPr>
          <w:iCs/>
          <w:sz w:val="24"/>
          <w:szCs w:val="24"/>
        </w:rPr>
        <w:t xml:space="preserve"> must provide documentation and sufficient details to support each proposed cost.  </w:t>
      </w:r>
      <w:r w:rsidRPr="005D7E20">
        <w:rPr>
          <w:sz w:val="24"/>
          <w:szCs w:val="24"/>
        </w:rPr>
        <w:t xml:space="preserve">NJDOE will review budget line items to determine percentage of administrative costs and ensure that they, like all costs, are reasonable and necessary. These line items may include administrative salaries, fringe benefits, office supplies and office equipment. The NJDOE reserves the right to require a reduction should it be determined that the administrative costs, or other costs, are excessive and unreasonable. </w:t>
      </w:r>
      <w:r w:rsidRPr="005D7E20">
        <w:rPr>
          <w:iCs/>
          <w:sz w:val="24"/>
          <w:szCs w:val="24"/>
        </w:rPr>
        <w:t xml:space="preserve">Guidance on constructing a grant budget may be found in the </w:t>
      </w:r>
      <w:hyperlink w:tooltip="Pre-award Manual for Discretionary Grants" w:history="1" r:id="rId25">
        <w:r w:rsidRPr="005D7E20">
          <w:rPr>
            <w:rStyle w:val="Hyperlink"/>
            <w:sz w:val="24"/>
            <w:szCs w:val="24"/>
          </w:rPr>
          <w:t>Pre-award Manual for Discretionary Grants</w:t>
        </w:r>
      </w:hyperlink>
      <w:r w:rsidRPr="005D7E20">
        <w:rPr>
          <w:i/>
          <w:sz w:val="24"/>
          <w:szCs w:val="24"/>
        </w:rPr>
        <w:t xml:space="preserve"> </w:t>
      </w:r>
      <w:r w:rsidRPr="005D7E20">
        <w:rPr>
          <w:sz w:val="24"/>
          <w:szCs w:val="24"/>
        </w:rPr>
        <w:t xml:space="preserve">document. </w:t>
      </w:r>
      <w:r w:rsidRPr="005D7E20">
        <w:rPr>
          <w:bCs/>
          <w:iCs/>
          <w:sz w:val="24"/>
          <w:szCs w:val="24"/>
        </w:rPr>
        <w:t>The budget submitted as part of the application is for the current grant period only</w:t>
      </w:r>
      <w:r w:rsidRPr="005D7E20">
        <w:rPr>
          <w:iCs/>
          <w:sz w:val="24"/>
          <w:szCs w:val="24"/>
        </w:rPr>
        <w:t xml:space="preserve">.  </w:t>
      </w:r>
    </w:p>
    <w:p w:rsidRPr="005D7E20" w:rsidR="00F65832" w:rsidP="00F65832" w:rsidRDefault="00F65832" w14:paraId="0E09ED69" w14:textId="49A563C6">
      <w:pPr>
        <w:spacing w:after="240"/>
        <w:rPr>
          <w:sz w:val="24"/>
          <w:szCs w:val="24"/>
        </w:rPr>
      </w:pPr>
      <w:r w:rsidRPr="005D7E20">
        <w:rPr>
          <w:sz w:val="24"/>
          <w:szCs w:val="24"/>
        </w:rPr>
        <w:t xml:space="preserve">The NJDOE will remove from consideration all ineligible costs, as well as costs not supported by the Project Activity Plan. The actual amount awarded will be contingent upon the </w:t>
      </w:r>
      <w:r w:rsidRPr="005D7E20" w:rsidR="00A16206">
        <w:rPr>
          <w:sz w:val="24"/>
          <w:szCs w:val="24"/>
        </w:rPr>
        <w:t>applicant</w:t>
      </w:r>
      <w:r w:rsidRPr="005D7E20">
        <w:rPr>
          <w:sz w:val="24"/>
          <w:szCs w:val="24"/>
        </w:rPr>
        <w:t xml:space="preserve">’s ability to provide support for its proposed budget upon application and ultimately will be determined by the NJDOE through the pre-award revision process. The </w:t>
      </w:r>
      <w:r w:rsidRPr="005D7E20" w:rsidR="00A16206">
        <w:rPr>
          <w:sz w:val="24"/>
          <w:szCs w:val="24"/>
        </w:rPr>
        <w:t>applicant</w:t>
      </w:r>
      <w:r w:rsidRPr="005D7E20">
        <w:rPr>
          <w:sz w:val="24"/>
          <w:szCs w:val="24"/>
        </w:rPr>
        <w:t xml:space="preserve">’s opportunity to make pre-award revisions will be limited by the NJDOE which is not responsible to provide repeated opportunities for </w:t>
      </w:r>
      <w:r w:rsidRPr="005D7E20">
        <w:rPr>
          <w:sz w:val="24"/>
          <w:szCs w:val="24"/>
        </w:rPr>
        <w:lastRenderedPageBreak/>
        <w:t>revisions or to permit reallocation of the funds previously requested for costs that have not been approved or have been disallowed.  </w:t>
      </w:r>
    </w:p>
    <w:p w:rsidRPr="005D7E20" w:rsidR="00F65832" w:rsidP="00F65832" w:rsidRDefault="00F65832" w14:paraId="5D26A5DC" w14:textId="4D598DA7">
      <w:pPr>
        <w:rPr>
          <w:sz w:val="24"/>
          <w:szCs w:val="24"/>
        </w:rPr>
      </w:pPr>
      <w:r w:rsidRPr="005D7E20">
        <w:rPr>
          <w:sz w:val="24"/>
          <w:szCs w:val="24"/>
        </w:rPr>
        <w:t xml:space="preserve">The grantee may not charge fees for training or technical assistance services provided through this grant. This prohibition does not apply to charges for materials or other costs that are not included in the approved budget.  Any such charges or fees must have prior approval of the NJDOE. If approval is granted, the grantee will be required to submit a program income report with each quarterly and final report. </w:t>
      </w:r>
    </w:p>
    <w:p w:rsidRPr="005D7E20" w:rsidR="00F65832" w:rsidP="00F65832" w:rsidRDefault="00F65832" w14:paraId="0EA9FCC1" w14:textId="614A8C19">
      <w:pPr>
        <w:rPr>
          <w:sz w:val="24"/>
          <w:szCs w:val="24"/>
        </w:rPr>
      </w:pPr>
      <w:r w:rsidRPr="005D7E20">
        <w:rPr>
          <w:sz w:val="24"/>
          <w:szCs w:val="24"/>
        </w:rPr>
        <w:t xml:space="preserve">Please consider the following when preparing the budget forms: </w:t>
      </w:r>
    </w:p>
    <w:p w:rsidRPr="005D7E20" w:rsidR="00F65832" w:rsidP="00F65832" w:rsidRDefault="00F65832" w14:paraId="2A52406C" w14:textId="77777777">
      <w:pPr>
        <w:pStyle w:val="ListParagraph"/>
        <w:numPr>
          <w:ilvl w:val="0"/>
          <w:numId w:val="43"/>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Be sure to explain what the amounts in the Unit Cost and Quantity boxes represent for the supply, equipment and other budget entries. If the amounts in those boxes represent a calculation, describe that calculation in the description box.</w:t>
      </w:r>
    </w:p>
    <w:p w:rsidRPr="005D7E20" w:rsidR="00F65832" w:rsidP="00F65832" w:rsidRDefault="00F65832" w14:paraId="307E2D93" w14:textId="77777777">
      <w:pPr>
        <w:pStyle w:val="ListParagraph"/>
        <w:numPr>
          <w:ilvl w:val="0"/>
          <w:numId w:val="43"/>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Be sure the description boxes also describe the cost, the need for it, and its relation to the grant program. </w:t>
      </w:r>
    </w:p>
    <w:p w:rsidRPr="005D7E20" w:rsidR="00F65832" w:rsidP="00F65832" w:rsidRDefault="00F65832" w14:paraId="73A73F09" w14:textId="77777777">
      <w:pPr>
        <w:pStyle w:val="ListParagraph"/>
        <w:numPr>
          <w:ilvl w:val="0"/>
          <w:numId w:val="43"/>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Mileage must be a separate budget entry. Mileage reimbursement budget entries must describe the relation to the grant of the traveler(s) and the grant-related purpose(s) of the travel, as well as a brief explanation of how the number of miles was calculated. </w:t>
      </w:r>
    </w:p>
    <w:p w:rsidRPr="005D7E20" w:rsidR="00F65832" w:rsidP="00F65832" w:rsidRDefault="00F65832" w14:paraId="722A25EA" w14:textId="77777777">
      <w:pPr>
        <w:pStyle w:val="ListParagraph"/>
        <w:numPr>
          <w:ilvl w:val="0"/>
          <w:numId w:val="43"/>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When requesting conference travel cost such as airfare, lodging, and meals, create separate entries for each conference. Be sure to identify the relation of the grant of each traveler. GSA.gov rates must be used at the time of the travel, for all conference travel costs. </w:t>
      </w:r>
    </w:p>
    <w:p w:rsidRPr="005D7E20" w:rsidR="00F65832" w:rsidP="00F65832" w:rsidRDefault="00F65832" w14:paraId="55FD86B4" w14:textId="77777777">
      <w:pPr>
        <w:pStyle w:val="ListParagraph"/>
        <w:numPr>
          <w:ilvl w:val="0"/>
          <w:numId w:val="43"/>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Be sure to itemize the cost, as applicable. Please refer to Appendix 3 for additional detail. </w:t>
      </w:r>
    </w:p>
    <w:p w:rsidRPr="005D7E20" w:rsidR="00724A77" w:rsidP="00E9300A" w:rsidRDefault="00724A77" w14:paraId="053B3E37" w14:textId="651EA8C4">
      <w:pPr>
        <w:rPr>
          <w:sz w:val="24"/>
          <w:szCs w:val="24"/>
        </w:rPr>
      </w:pPr>
    </w:p>
    <w:p w:rsidRPr="005D7E20" w:rsidR="00587D9B" w:rsidP="00F11099" w:rsidRDefault="0060656C" w14:paraId="7DAE631E" w14:textId="77777777">
      <w:pPr>
        <w:pStyle w:val="Heading3"/>
        <w:rPr>
          <w:b/>
        </w:rPr>
      </w:pPr>
      <w:bookmarkStart w:name="_Toc60042621" w:id="35"/>
      <w:r w:rsidRPr="005D7E20">
        <w:t>Budget Requirements</w:t>
      </w:r>
      <w:bookmarkEnd w:id="35"/>
    </w:p>
    <w:p w:rsidRPr="005D7E20" w:rsidR="00FD59B7" w:rsidP="00FD59B7" w:rsidRDefault="00FD59B7" w14:paraId="1CBCFB90" w14:textId="1E67AEAC">
      <w:pPr>
        <w:spacing w:after="240"/>
        <w:rPr>
          <w:sz w:val="24"/>
          <w:szCs w:val="24"/>
        </w:rPr>
      </w:pPr>
      <w:r w:rsidRPr="005D7E20">
        <w:rPr>
          <w:sz w:val="24"/>
          <w:szCs w:val="24"/>
        </w:rPr>
        <w:t xml:space="preserve">In constructing the budget, please note that all costs must be </w:t>
      </w:r>
      <w:r w:rsidRPr="005D7E20">
        <w:rPr>
          <w:i/>
          <w:sz w:val="24"/>
          <w:szCs w:val="24"/>
        </w:rPr>
        <w:t>reasonable and necessary</w:t>
      </w:r>
      <w:r w:rsidRPr="005D7E20">
        <w:rPr>
          <w:sz w:val="24"/>
          <w:szCs w:val="24"/>
        </w:rPr>
        <w:t xml:space="preserve"> to implement program activities. Additionally, the budget entries must demonstrate clear and specific links to the project activity plan.  The</w:t>
      </w:r>
      <w:r w:rsidRPr="005D7E20" w:rsidR="004804D4">
        <w:rPr>
          <w:sz w:val="24"/>
          <w:szCs w:val="24"/>
        </w:rPr>
        <w:t xml:space="preserve"> applicant</w:t>
      </w:r>
      <w:r w:rsidRPr="005D7E20">
        <w:rPr>
          <w:sz w:val="24"/>
          <w:szCs w:val="24"/>
        </w:rPr>
        <w:t xml:space="preserve"> must provide sufficient explanation of budgeted costs, including the calculation detail (cost-basis).  The </w:t>
      </w:r>
      <w:r w:rsidRPr="005D7E20" w:rsidR="004804D4">
        <w:rPr>
          <w:sz w:val="24"/>
          <w:szCs w:val="24"/>
        </w:rPr>
        <w:t>applicant</w:t>
      </w:r>
      <w:r w:rsidRPr="005D7E20">
        <w:rPr>
          <w:sz w:val="24"/>
          <w:szCs w:val="24"/>
        </w:rPr>
        <w:t xml:space="preserve"> must obtain prior approval from the NJDOE through their program officer to charge fees. If approval is granted, the grantee will be required to submit a program income report with the quarterly and final fiscal reports. </w:t>
      </w:r>
    </w:p>
    <w:p w:rsidRPr="005D7E20" w:rsidR="00FD59B7" w:rsidP="00FD59B7" w:rsidRDefault="00FD59B7" w14:paraId="190B8780" w14:textId="77777777">
      <w:pPr>
        <w:spacing w:after="240"/>
        <w:rPr>
          <w:sz w:val="24"/>
          <w:szCs w:val="24"/>
        </w:rPr>
      </w:pPr>
      <w:r w:rsidRPr="005D7E20">
        <w:rPr>
          <w:sz w:val="24"/>
          <w:szCs w:val="24"/>
        </w:rPr>
        <w:t>NJDOE program office staff will review budget line items to determine whether requested administrative costs are reasonable and necessary. The NJDOE will remove from consideration all ineligible costs, as well as costs not supported by the Project Activity Plan.</w:t>
      </w:r>
    </w:p>
    <w:p w:rsidRPr="00B25A81" w:rsidR="00FD59B7" w:rsidP="00FD59B7" w:rsidRDefault="00FD59B7" w14:paraId="18943119" w14:textId="6A94E6D2">
      <w:pPr>
        <w:rPr>
          <w:i/>
          <w:iCs/>
          <w:sz w:val="24"/>
          <w:szCs w:val="24"/>
        </w:rPr>
      </w:pPr>
      <w:r w:rsidRPr="005D7E20">
        <w:rPr>
          <w:sz w:val="24"/>
          <w:szCs w:val="24"/>
        </w:rPr>
        <w:t xml:space="preserve">The grantee may charge fees for trainings that are not covered within this NGO. The grantee must obtain prior approval from the NJDOE through their program officer.  If approval is granted, the </w:t>
      </w:r>
      <w:r w:rsidRPr="005D7E20" w:rsidR="00071DD7">
        <w:rPr>
          <w:sz w:val="24"/>
          <w:szCs w:val="24"/>
        </w:rPr>
        <w:t>grantee</w:t>
      </w:r>
      <w:r w:rsidRPr="005D7E20">
        <w:rPr>
          <w:sz w:val="24"/>
          <w:szCs w:val="24"/>
        </w:rPr>
        <w:t xml:space="preserve"> will be required to submit a program income report with the quarterly and final fiscal reports. </w:t>
      </w:r>
      <w:r w:rsidRPr="00B25A81">
        <w:rPr>
          <w:rStyle w:val="Emphasis"/>
          <w:rFonts w:eastAsia="SimSun"/>
          <w:i w:val="0"/>
          <w:iCs w:val="0"/>
          <w:sz w:val="24"/>
          <w:szCs w:val="24"/>
        </w:rPr>
        <w:t>Program income generated without prior approval from the NJDOE must be deducted from the funds awarded under the Federal grant</w:t>
      </w:r>
      <w:r w:rsidRPr="00B25A81">
        <w:rPr>
          <w:b/>
          <w:bCs/>
          <w:i/>
          <w:iCs/>
          <w:sz w:val="24"/>
          <w:szCs w:val="24"/>
        </w:rPr>
        <w:t>.</w:t>
      </w:r>
      <w:r w:rsidRPr="00B25A81">
        <w:rPr>
          <w:i/>
          <w:iCs/>
          <w:sz w:val="24"/>
          <w:szCs w:val="24"/>
        </w:rPr>
        <w:t xml:space="preserve">  </w:t>
      </w:r>
    </w:p>
    <w:p w:rsidRPr="005D7E20" w:rsidR="00FD59B7" w:rsidP="00FD59B7" w:rsidRDefault="00FD59B7" w14:paraId="23D72AE6" w14:textId="0A701EFA">
      <w:pPr>
        <w:rPr>
          <w:sz w:val="24"/>
          <w:szCs w:val="24"/>
        </w:rPr>
      </w:pPr>
      <w:r w:rsidRPr="005D7E20">
        <w:rPr>
          <w:sz w:val="24"/>
          <w:szCs w:val="24"/>
        </w:rPr>
        <w:lastRenderedPageBreak/>
        <w:t>The grantee is not permitted to dive</w:t>
      </w:r>
      <w:r w:rsidRPr="005D7E20" w:rsidR="009967F4">
        <w:rPr>
          <w:sz w:val="24"/>
          <w:szCs w:val="24"/>
        </w:rPr>
        <w:t>s</w:t>
      </w:r>
      <w:r w:rsidRPr="005D7E20">
        <w:rPr>
          <w:sz w:val="24"/>
          <w:szCs w:val="24"/>
        </w:rPr>
        <w:t xml:space="preserve">t more than 20% of the total grant award to any single entity, including, but not limited to partners, collaborators or sub-grantees. The grantee must maintain direct control of 51% of the total grant award during the entire grant cycle. Additionally, grantees are not allowed to divest oversight of the program administration or implementation to another agency, this includes, but is not limited to, existing Nita M. Lowey 21st CCLC programs and other agencies in a sub-grant process. These funds may not be used as a pass-through to another agency. </w:t>
      </w:r>
    </w:p>
    <w:p w:rsidRPr="005D7E20" w:rsidR="00FD59B7" w:rsidP="00FD59B7" w:rsidRDefault="00FD59B7" w14:paraId="547B246A" w14:textId="03662DCC">
      <w:pPr>
        <w:rPr>
          <w:sz w:val="24"/>
          <w:szCs w:val="24"/>
        </w:rPr>
      </w:pPr>
      <w:r w:rsidRPr="005D7E20">
        <w:rPr>
          <w:sz w:val="24"/>
          <w:szCs w:val="24"/>
        </w:rPr>
        <w:t xml:space="preserve">Through an amendment process the </w:t>
      </w:r>
      <w:r w:rsidRPr="005D7E20" w:rsidR="009967F4">
        <w:rPr>
          <w:sz w:val="24"/>
          <w:szCs w:val="24"/>
        </w:rPr>
        <w:t>NJDOE</w:t>
      </w:r>
      <w:r w:rsidRPr="005D7E20">
        <w:rPr>
          <w:sz w:val="24"/>
          <w:szCs w:val="24"/>
        </w:rPr>
        <w:t xml:space="preserve"> may authorize a modification to an approved application. This process requires substantial programmatic and fiscal review by the NJDOE.</w:t>
      </w:r>
      <w:r w:rsidRPr="005D7E20" w:rsidR="00AD6A32">
        <w:rPr>
          <w:sz w:val="24"/>
          <w:szCs w:val="24"/>
        </w:rPr>
        <w:t xml:space="preserve"> </w:t>
      </w:r>
      <w:r w:rsidRPr="005D7E20">
        <w:rPr>
          <w:sz w:val="24"/>
          <w:szCs w:val="24"/>
        </w:rPr>
        <w:t>The grantee must have a compelling programmatic justification and rationale for the need for the amendment requested. Any change requested must be in keeping with the intent, goals, and objectives of the NGO. The last day for the grantee to submit an amendment is May 2</w:t>
      </w:r>
      <w:r w:rsidRPr="005D7E20" w:rsidR="00206A81">
        <w:rPr>
          <w:sz w:val="24"/>
          <w:szCs w:val="24"/>
        </w:rPr>
        <w:t>6</w:t>
      </w:r>
      <w:r w:rsidRPr="005D7E20">
        <w:rPr>
          <w:sz w:val="24"/>
          <w:szCs w:val="24"/>
        </w:rPr>
        <w:t>, 202</w:t>
      </w:r>
      <w:r w:rsidRPr="005D7E20" w:rsidR="00206A81">
        <w:rPr>
          <w:sz w:val="24"/>
          <w:szCs w:val="24"/>
        </w:rPr>
        <w:t>3</w:t>
      </w:r>
      <w:r w:rsidRPr="005D7E20">
        <w:rPr>
          <w:sz w:val="24"/>
          <w:szCs w:val="24"/>
        </w:rPr>
        <w:t xml:space="preserve">. </w:t>
      </w:r>
    </w:p>
    <w:p w:rsidRPr="005D7E20" w:rsidR="00FD59B7" w:rsidP="00FD59B7" w:rsidRDefault="00FD59B7" w14:paraId="55A11661" w14:textId="31EEDBAA">
      <w:pPr>
        <w:rPr>
          <w:sz w:val="24"/>
          <w:szCs w:val="24"/>
        </w:rPr>
      </w:pPr>
      <w:r w:rsidRPr="005D7E20">
        <w:rPr>
          <w:sz w:val="24"/>
          <w:szCs w:val="24"/>
        </w:rPr>
        <w:t xml:space="preserve">To reduce the number of pre-award revisions under the Budget section of EWEG, please review the Budget Development Instructions document in Appendix 3 for additional details as you construct your budget. The grantee must adhere to the NJDOE required provisions of </w:t>
      </w:r>
      <w:r w:rsidRPr="005D7E20">
        <w:rPr>
          <w:i/>
          <w:sz w:val="24"/>
          <w:szCs w:val="24"/>
        </w:rPr>
        <w:t>N.J.A.C</w:t>
      </w:r>
      <w:r w:rsidRPr="005D7E20">
        <w:rPr>
          <w:sz w:val="24"/>
          <w:szCs w:val="24"/>
        </w:rPr>
        <w:t xml:space="preserve">. 6A:23A-7, School District Travel Policies and Procedures. These provisions contain additional requirements concerning prior approvals, as well as expenditures related to travel. The NJDOE applies the </w:t>
      </w:r>
      <w:r w:rsidRPr="005D7E20">
        <w:rPr>
          <w:i/>
          <w:sz w:val="24"/>
          <w:szCs w:val="24"/>
        </w:rPr>
        <w:t>N.J.A.C.</w:t>
      </w:r>
      <w:r w:rsidRPr="005D7E20">
        <w:rPr>
          <w:sz w:val="24"/>
          <w:szCs w:val="24"/>
        </w:rPr>
        <w:t xml:space="preserve"> restrictions uniformly to all grantees. Unless otherwise specified, the following restrictions apply to all grant programs:</w:t>
      </w:r>
    </w:p>
    <w:p w:rsidRPr="005D7E20" w:rsidR="00FD59B7" w:rsidP="00FD59B7" w:rsidRDefault="00FD59B7" w14:paraId="1FE46354" w14:textId="77777777">
      <w:pPr>
        <w:pStyle w:val="ListParagraph"/>
        <w:numPr>
          <w:ilvl w:val="0"/>
          <w:numId w:val="2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No reimbursement for in-state overnight travel (meals and/or lodging);</w:t>
      </w:r>
    </w:p>
    <w:p w:rsidRPr="005D7E20" w:rsidR="00FD59B7" w:rsidP="00FD59B7" w:rsidRDefault="00FD59B7" w14:paraId="17C34A0F" w14:textId="77777777">
      <w:pPr>
        <w:pStyle w:val="ListParagraph"/>
        <w:numPr>
          <w:ilvl w:val="0"/>
          <w:numId w:val="2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No reimbursement for meals on in-state travel;</w:t>
      </w:r>
    </w:p>
    <w:p w:rsidRPr="005D7E20" w:rsidR="00FD59B7" w:rsidP="00FD59B7" w:rsidRDefault="00FD59B7" w14:paraId="39FCF24C" w14:textId="77777777">
      <w:pPr>
        <w:pStyle w:val="ListParagraph"/>
        <w:numPr>
          <w:ilvl w:val="0"/>
          <w:numId w:val="2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Mileage reimbursement may not exceed $.35 per mile; and, </w:t>
      </w:r>
    </w:p>
    <w:p w:rsidRPr="005D7E20" w:rsidR="00B76D86" w:rsidP="00FD59B7" w:rsidRDefault="00FD59B7" w14:paraId="6AD90401" w14:textId="7C93380A">
      <w:pPr>
        <w:pStyle w:val="ListParagraph"/>
        <w:numPr>
          <w:ilvl w:val="0"/>
          <w:numId w:val="2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Other ineligible costs are listed in the section below.</w:t>
      </w:r>
    </w:p>
    <w:p w:rsidRPr="005D7E20" w:rsidR="00D353D3" w:rsidP="00D353D3" w:rsidRDefault="00D353D3" w14:paraId="36D9C2EE" w14:textId="77777777">
      <w:pPr>
        <w:pStyle w:val="ListParagraph"/>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p>
    <w:p w:rsidRPr="005D7E20" w:rsidR="00B76D86" w:rsidP="00FD59B7" w:rsidRDefault="00FD59B7" w14:paraId="4882B4D5" w14:textId="22C50D12">
      <w:pPr>
        <w:rPr>
          <w:sz w:val="24"/>
          <w:szCs w:val="24"/>
        </w:rPr>
      </w:pPr>
      <w:r w:rsidRPr="005D7E20">
        <w:rPr>
          <w:sz w:val="24"/>
          <w:szCs w:val="24"/>
        </w:rPr>
        <w:t xml:space="preserve">The </w:t>
      </w:r>
      <w:r w:rsidRPr="005D7E20" w:rsidR="00B76D86">
        <w:rPr>
          <w:sz w:val="24"/>
          <w:szCs w:val="24"/>
        </w:rPr>
        <w:t>applicant</w:t>
      </w:r>
      <w:r w:rsidRPr="005D7E20">
        <w:rPr>
          <w:sz w:val="24"/>
          <w:szCs w:val="24"/>
        </w:rPr>
        <w:t xml:space="preserve"> must ensure that it meets all the requirements listed below:</w:t>
      </w:r>
    </w:p>
    <w:p w:rsidRPr="00F11099" w:rsidR="00FD59B7" w:rsidP="00B25A81" w:rsidRDefault="00FD59B7" w14:paraId="356B9FF0" w14:textId="5D9216D4">
      <w:pPr>
        <w:pStyle w:val="Heading4"/>
        <w:rPr>
          <w:b w:val="0"/>
          <w:bCs w:val="0"/>
        </w:rPr>
      </w:pPr>
      <w:r w:rsidRPr="00F11099">
        <w:rPr>
          <w:b w:val="0"/>
          <w:bCs w:val="0"/>
        </w:rPr>
        <w:t>Eligible Costs</w:t>
      </w:r>
    </w:p>
    <w:p w:rsidRPr="005D7E20" w:rsidR="00FD59B7" w:rsidP="00FD59B7" w:rsidRDefault="00FD59B7" w14:paraId="415C6618" w14:textId="6DD2CDD9">
      <w:pPr>
        <w:rPr>
          <w:sz w:val="24"/>
          <w:szCs w:val="24"/>
        </w:rPr>
      </w:pPr>
      <w:r w:rsidRPr="005D7E20">
        <w:rPr>
          <w:sz w:val="24"/>
          <w:szCs w:val="24"/>
        </w:rPr>
        <w:t xml:space="preserve">Grant funds </w:t>
      </w:r>
      <w:r w:rsidRPr="005D7E20">
        <w:rPr>
          <w:bCs/>
          <w:sz w:val="24"/>
          <w:szCs w:val="24"/>
        </w:rPr>
        <w:t>may</w:t>
      </w:r>
      <w:r w:rsidRPr="005D7E20">
        <w:rPr>
          <w:sz w:val="24"/>
          <w:szCs w:val="24"/>
        </w:rPr>
        <w:t xml:space="preserve"> be used by grantees for the following costs that directly support the activities described in the application:</w:t>
      </w:r>
    </w:p>
    <w:p w:rsidRPr="005D7E20" w:rsidR="00FD59B7" w:rsidP="00FD59B7" w:rsidRDefault="00FD59B7" w14:paraId="10C588A7" w14:textId="77777777">
      <w:pPr>
        <w:pStyle w:val="ListParagraph"/>
        <w:widowControl w:val="0"/>
        <w:numPr>
          <w:ilvl w:val="0"/>
          <w:numId w:val="46"/>
        </w:numPr>
        <w:tabs>
          <w:tab w:val="left" w:pos="-720"/>
          <w:tab w:val="left" w:pos="0"/>
          <w:tab w:val="left" w:pos="720"/>
          <w:tab w:val="num"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Salaries and benefits for project staff;</w:t>
      </w:r>
    </w:p>
    <w:p w:rsidRPr="005D7E20" w:rsidR="00FD59B7" w:rsidP="00FD59B7" w:rsidRDefault="00FD59B7" w14:paraId="0C35BC59" w14:textId="77777777">
      <w:pPr>
        <w:pStyle w:val="ListParagraph"/>
        <w:widowControl w:val="0"/>
        <w:numPr>
          <w:ilvl w:val="0"/>
          <w:numId w:val="46"/>
        </w:numPr>
        <w:tabs>
          <w:tab w:val="left" w:pos="-720"/>
          <w:tab w:val="left" w:pos="0"/>
          <w:tab w:val="left" w:pos="720"/>
          <w:tab w:val="num"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Purchase of project materials, and supplies for grant-funded project activities;</w:t>
      </w:r>
    </w:p>
    <w:p w:rsidRPr="005D7E20" w:rsidR="00FD59B7" w:rsidP="00FD59B7" w:rsidRDefault="00FD59B7" w14:paraId="5586A84B" w14:textId="77777777">
      <w:pPr>
        <w:pStyle w:val="ListParagraph"/>
        <w:widowControl w:val="0"/>
        <w:numPr>
          <w:ilvl w:val="0"/>
          <w:numId w:val="46"/>
        </w:numPr>
        <w:tabs>
          <w:tab w:val="left" w:pos="-720"/>
          <w:tab w:val="left" w:pos="0"/>
          <w:tab w:val="left" w:pos="720"/>
          <w:tab w:val="num"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Identification, selection, and orientation of grant-funded staff;</w:t>
      </w:r>
    </w:p>
    <w:p w:rsidRPr="005D7E20" w:rsidR="00FD59B7" w:rsidP="00FD59B7" w:rsidRDefault="00FD59B7" w14:paraId="729CD6E4" w14:textId="77777777">
      <w:pPr>
        <w:pStyle w:val="ListParagraph"/>
        <w:widowControl w:val="0"/>
        <w:numPr>
          <w:ilvl w:val="0"/>
          <w:numId w:val="46"/>
        </w:numPr>
        <w:tabs>
          <w:tab w:val="left" w:pos="-720"/>
          <w:tab w:val="left" w:pos="0"/>
          <w:tab w:val="left" w:pos="720"/>
          <w:tab w:val="num"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Computer(s) for the purpose of program administration and implementation;</w:t>
      </w:r>
    </w:p>
    <w:p w:rsidRPr="005D7E20" w:rsidR="00FD59B7" w:rsidP="00FD59B7" w:rsidRDefault="00FD59B7" w14:paraId="0C0245D9" w14:textId="73CB83D9">
      <w:pPr>
        <w:pStyle w:val="ListParagraph"/>
        <w:widowControl w:val="0"/>
        <w:numPr>
          <w:ilvl w:val="0"/>
          <w:numId w:val="46"/>
        </w:numPr>
        <w:tabs>
          <w:tab w:val="left" w:pos="-720"/>
          <w:tab w:val="left" w:pos="0"/>
          <w:tab w:val="left" w:pos="720"/>
          <w:tab w:val="num"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Attendance at one OST conference, which may include transportation, accommodations and food.</w:t>
      </w:r>
    </w:p>
    <w:p w:rsidRPr="005D7E20" w:rsidR="00FD59B7" w:rsidP="00FD59B7" w:rsidRDefault="00FD59B7" w14:paraId="1740B260" w14:textId="6F18F862">
      <w:pPr>
        <w:pStyle w:val="ListParagraph"/>
        <w:widowControl w:val="0"/>
        <w:numPr>
          <w:ilvl w:val="0"/>
          <w:numId w:val="46"/>
        </w:numPr>
        <w:tabs>
          <w:tab w:val="left" w:pos="-720"/>
          <w:tab w:val="left" w:pos="0"/>
          <w:tab w:val="left" w:pos="720"/>
          <w:tab w:val="num"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Other grant related expenses (e.g., printing, telephones, postage, travel) that are necessary to perform grant administrative functions; and</w:t>
      </w:r>
    </w:p>
    <w:p w:rsidRPr="005D7E20" w:rsidR="00FD59B7" w:rsidP="00FD59B7" w:rsidRDefault="00FD59B7" w14:paraId="75D5ED01" w14:textId="542AB350">
      <w:pPr>
        <w:pStyle w:val="ListParagraph"/>
        <w:widowControl w:val="0"/>
        <w:numPr>
          <w:ilvl w:val="0"/>
          <w:numId w:val="46"/>
        </w:numPr>
        <w:tabs>
          <w:tab w:val="left" w:pos="-720"/>
          <w:tab w:val="left" w:pos="0"/>
          <w:tab w:val="left" w:pos="720"/>
          <w:tab w:val="num"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Indirect costs represent the expenses of doing business that are not readily identified with a particular grant function or activity but are necessary for the general operation of the organization and the conduct of activities it performs. Indirect costs may be requested in the budget from the grantee that either 1) have a current federally negotiated indirect cost rate </w:t>
      </w:r>
      <w:r w:rsidRPr="005D7E20">
        <w:rPr>
          <w:sz w:val="24"/>
          <w:szCs w:val="24"/>
        </w:rPr>
        <w:lastRenderedPageBreak/>
        <w:t>agreement; or 2) have never received a federally negotiated indirect cost rate agreement.</w:t>
      </w:r>
      <w:r w:rsidRPr="005D7E20" w:rsidR="006E41F3">
        <w:rPr>
          <w:sz w:val="24"/>
          <w:szCs w:val="24"/>
        </w:rPr>
        <w:t xml:space="preserve"> </w:t>
      </w:r>
      <w:r w:rsidRPr="005D7E20">
        <w:rPr>
          <w:sz w:val="24"/>
          <w:szCs w:val="24"/>
        </w:rPr>
        <w:t xml:space="preserve">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budgeted as a direct cost. Please refer to </w:t>
      </w:r>
      <w:hyperlink w:tooltip="2 CFR Part 200.414" w:history="1" r:id="rId26">
        <w:r w:rsidRPr="005D7E20">
          <w:rPr>
            <w:rStyle w:val="Hyperlink"/>
            <w:sz w:val="24"/>
            <w:szCs w:val="24"/>
          </w:rPr>
          <w:t>2 CFR Part 200.414</w:t>
        </w:r>
      </w:hyperlink>
      <w:r w:rsidRPr="005D7E20">
        <w:rPr>
          <w:sz w:val="24"/>
          <w:szCs w:val="24"/>
        </w:rPr>
        <w:t xml:space="preserve"> for additional information. The indirect cost dollar amount that you budget in your application must be the same dollar amount as the maximum, allowable indirect cost dollar amount calculated by EWEG in your application. If you want to budget a lesser dollar amount, reduce the rate amount that you insert in the RATE box under the INDIRECT COST tab.</w:t>
      </w:r>
    </w:p>
    <w:p w:rsidRPr="005D7E20" w:rsidR="00FD59B7" w:rsidP="00FD59B7" w:rsidRDefault="00FD59B7" w14:paraId="2AF241F7" w14:textId="3DA9B086">
      <w:pPr>
        <w:pStyle w:val="ListParagraph"/>
        <w:numPr>
          <w:ilvl w:val="1"/>
          <w:numId w:val="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If the </w:t>
      </w:r>
      <w:r w:rsidRPr="005D7E20" w:rsidR="006567D8">
        <w:rPr>
          <w:sz w:val="24"/>
          <w:szCs w:val="24"/>
        </w:rPr>
        <w:t>applicant</w:t>
      </w:r>
      <w:r w:rsidRPr="005D7E20">
        <w:rPr>
          <w:sz w:val="24"/>
          <w:szCs w:val="24"/>
        </w:rPr>
        <w:t xml:space="preserve"> has a current federally negotiated indirect cost rate agreement, it must scan and upload a copy of their indirect cost rate agreement. As this program is subject to a supplement, not supplant requirement, if the </w:t>
      </w:r>
      <w:r w:rsidRPr="005D7E20" w:rsidR="006567D8">
        <w:rPr>
          <w:sz w:val="24"/>
          <w:szCs w:val="24"/>
        </w:rPr>
        <w:t>applicant</w:t>
      </w:r>
      <w:r w:rsidRPr="005D7E20">
        <w:rPr>
          <w:sz w:val="24"/>
          <w:szCs w:val="24"/>
        </w:rPr>
        <w:t xml:space="preserve"> has an approved restricted indirect cost rate must use that rate; if the </w:t>
      </w:r>
      <w:r w:rsidRPr="005D7E20" w:rsidR="006567D8">
        <w:rPr>
          <w:sz w:val="24"/>
          <w:szCs w:val="24"/>
        </w:rPr>
        <w:t>applicant</w:t>
      </w:r>
      <w:r w:rsidRPr="005D7E20">
        <w:rPr>
          <w:sz w:val="24"/>
          <w:szCs w:val="24"/>
        </w:rPr>
        <w:t xml:space="preserve"> has a rate agreement that does not include a restricted indirect cost rate it is limited to 8% modified total direct cost (MTDC).</w:t>
      </w:r>
    </w:p>
    <w:p w:rsidRPr="005D7E20" w:rsidR="00FD59B7" w:rsidP="00FD59B7" w:rsidRDefault="00FD59B7" w14:paraId="2AD96B49" w14:textId="0BCDBF8A">
      <w:pPr>
        <w:pStyle w:val="ListParagraph"/>
        <w:numPr>
          <w:ilvl w:val="1"/>
          <w:numId w:val="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If the</w:t>
      </w:r>
      <w:r w:rsidRPr="005D7E20" w:rsidR="006567D8">
        <w:rPr>
          <w:sz w:val="24"/>
          <w:szCs w:val="24"/>
        </w:rPr>
        <w:t xml:space="preserve"> applicant</w:t>
      </w:r>
      <w:r w:rsidRPr="005D7E20">
        <w:rPr>
          <w:sz w:val="24"/>
          <w:szCs w:val="24"/>
        </w:rPr>
        <w:t xml:space="preserve"> has a never received a federally negotiated indirect cost rate agreement, it must scan and upload a signed statement as part of the application. This statement must attest to the fact that the organization has never received a federally negotiated indirect cost rate agreement, and that the grantee is requesting the use of a </w:t>
      </w:r>
      <w:r w:rsidRPr="005D7E20">
        <w:rPr>
          <w:i/>
          <w:sz w:val="24"/>
          <w:szCs w:val="24"/>
        </w:rPr>
        <w:t>de minimis</w:t>
      </w:r>
      <w:r w:rsidRPr="005D7E20">
        <w:rPr>
          <w:sz w:val="24"/>
          <w:szCs w:val="24"/>
        </w:rPr>
        <w:t xml:space="preserve"> indirect cost rate. This statement must be signed by the Chief Executive Officer or designee of the organization. The de minimis rate is 8% MTDC.</w:t>
      </w:r>
    </w:p>
    <w:p w:rsidRPr="005D7E20" w:rsidR="00FD59B7" w:rsidP="00FD59B7" w:rsidRDefault="00FD59B7" w14:paraId="51B4C729" w14:textId="21ED9A85">
      <w:pPr>
        <w:rPr>
          <w:sz w:val="24"/>
          <w:szCs w:val="24"/>
        </w:rPr>
      </w:pPr>
      <w:r w:rsidRPr="005D7E20">
        <w:rPr>
          <w:sz w:val="24"/>
          <w:szCs w:val="24"/>
        </w:rPr>
        <w:t>NOTE:  Out-of-state travel not documented in the approved grant application requires prior approval from the grantee’s program officer.</w:t>
      </w:r>
    </w:p>
    <w:p w:rsidRPr="00F11099" w:rsidR="00FD59B7" w:rsidP="00F11099" w:rsidRDefault="00FD59B7" w14:paraId="5CBD9F04" w14:textId="334DABEC">
      <w:pPr>
        <w:pStyle w:val="Heading4"/>
        <w:rPr>
          <w:b w:val="0"/>
          <w:bCs w:val="0"/>
        </w:rPr>
      </w:pPr>
      <w:r w:rsidRPr="00F11099">
        <w:rPr>
          <w:b w:val="0"/>
          <w:bCs w:val="0"/>
        </w:rPr>
        <w:t>Ineligible Costs</w:t>
      </w:r>
    </w:p>
    <w:p w:rsidRPr="005D7E20" w:rsidR="00FD59B7" w:rsidP="00FD59B7" w:rsidRDefault="00FD59B7" w14:paraId="5F09A4A4" w14:textId="45C93AC6">
      <w:pPr>
        <w:rPr>
          <w:sz w:val="24"/>
          <w:szCs w:val="24"/>
        </w:rPr>
      </w:pPr>
      <w:r w:rsidRPr="005D7E20">
        <w:rPr>
          <w:sz w:val="24"/>
          <w:szCs w:val="24"/>
        </w:rPr>
        <w:t>Funds provided under this grant may not be used for the following costs:</w:t>
      </w:r>
    </w:p>
    <w:p w:rsidRPr="005D7E20" w:rsidR="00FD59B7" w:rsidP="00FD59B7" w:rsidRDefault="00FD59B7" w14:paraId="1F35AFC9" w14:textId="4069BD0F">
      <w:pPr>
        <w:pStyle w:val="ListParagraph"/>
        <w:numPr>
          <w:ilvl w:val="0"/>
          <w:numId w:val="47"/>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Food, including snacks and refreshments, for any professional development training or workshop; </w:t>
      </w:r>
    </w:p>
    <w:p w:rsidRPr="005D7E20" w:rsidR="00FD59B7" w:rsidP="00FD59B7" w:rsidRDefault="00FD59B7" w14:paraId="0C52A6DC" w14:textId="29AE7145">
      <w:pPr>
        <w:pStyle w:val="BodyTextIndent"/>
        <w:widowControl/>
        <w:numPr>
          <w:ilvl w:val="0"/>
          <w:numId w:val="47"/>
        </w:numPr>
        <w:tabs>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after="120" w:line="240" w:lineRule="auto"/>
        <w:contextualSpacing/>
        <w:jc w:val="left"/>
        <w:rPr>
          <w:sz w:val="24"/>
          <w:szCs w:val="24"/>
        </w:rPr>
      </w:pPr>
      <w:r w:rsidRPr="005D7E20">
        <w:rPr>
          <w:sz w:val="24"/>
          <w:szCs w:val="24"/>
        </w:rPr>
        <w:t>Vehicle purchases;</w:t>
      </w:r>
    </w:p>
    <w:p w:rsidRPr="005D7E20" w:rsidR="00FD59B7" w:rsidP="00FD59B7" w:rsidRDefault="00FD59B7" w14:paraId="4E3F8773" w14:textId="79AB2AF6">
      <w:pPr>
        <w:pStyle w:val="BodyTextIndent"/>
        <w:widowControl/>
        <w:numPr>
          <w:ilvl w:val="0"/>
          <w:numId w:val="47"/>
        </w:numPr>
        <w:tabs>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after="120" w:line="240" w:lineRule="auto"/>
        <w:contextualSpacing/>
        <w:jc w:val="left"/>
        <w:rPr>
          <w:sz w:val="24"/>
          <w:szCs w:val="24"/>
        </w:rPr>
      </w:pPr>
      <w:r w:rsidRPr="005D7E20">
        <w:rPr>
          <w:sz w:val="24"/>
          <w:szCs w:val="24"/>
        </w:rPr>
        <w:t xml:space="preserve">Attendance at conferences or trainings, other than one USDE Nita M. Lowey 21st CCLC office sponsored conference; </w:t>
      </w:r>
    </w:p>
    <w:p w:rsidRPr="005D7E20" w:rsidR="00FD59B7" w:rsidP="00FD59B7" w:rsidRDefault="00FD59B7" w14:paraId="7C62D791" w14:textId="7D7C9867">
      <w:pPr>
        <w:pStyle w:val="BodyTextIndent"/>
        <w:widowControl/>
        <w:numPr>
          <w:ilvl w:val="0"/>
          <w:numId w:val="47"/>
        </w:numPr>
        <w:tabs>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after="120" w:line="240" w:lineRule="auto"/>
        <w:contextualSpacing/>
        <w:jc w:val="left"/>
        <w:rPr>
          <w:sz w:val="24"/>
          <w:szCs w:val="24"/>
        </w:rPr>
      </w:pPr>
      <w:r w:rsidRPr="005D7E20">
        <w:rPr>
          <w:sz w:val="24"/>
          <w:szCs w:val="24"/>
        </w:rPr>
        <w:t>Construction or capital improvements;</w:t>
      </w:r>
    </w:p>
    <w:p w:rsidRPr="005D7E20" w:rsidR="00FD59B7" w:rsidP="00FD59B7" w:rsidRDefault="00FD59B7" w14:paraId="28597A86" w14:textId="2F85C1DD">
      <w:pPr>
        <w:pStyle w:val="BodyTextIndent"/>
        <w:widowControl/>
        <w:numPr>
          <w:ilvl w:val="0"/>
          <w:numId w:val="47"/>
        </w:numPr>
        <w:tabs>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after="120" w:line="240" w:lineRule="auto"/>
        <w:contextualSpacing/>
        <w:jc w:val="left"/>
        <w:rPr>
          <w:sz w:val="24"/>
          <w:szCs w:val="24"/>
        </w:rPr>
      </w:pPr>
      <w:r w:rsidRPr="005D7E20">
        <w:rPr>
          <w:sz w:val="24"/>
          <w:szCs w:val="24"/>
        </w:rPr>
        <w:t>Religious practices or programs;</w:t>
      </w:r>
    </w:p>
    <w:p w:rsidRPr="005D7E20" w:rsidR="00FD59B7" w:rsidP="00FD59B7" w:rsidRDefault="00FD59B7" w14:paraId="19D2A19E" w14:textId="12099863">
      <w:pPr>
        <w:pStyle w:val="BodyTextIndent"/>
        <w:widowControl/>
        <w:numPr>
          <w:ilvl w:val="0"/>
          <w:numId w:val="47"/>
        </w:numPr>
        <w:tabs>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after="120" w:line="240" w:lineRule="auto"/>
        <w:contextualSpacing/>
        <w:jc w:val="left"/>
        <w:rPr>
          <w:sz w:val="24"/>
          <w:szCs w:val="24"/>
        </w:rPr>
      </w:pPr>
      <w:r w:rsidRPr="005D7E20">
        <w:rPr>
          <w:sz w:val="24"/>
          <w:szCs w:val="24"/>
        </w:rPr>
        <w:t xml:space="preserve">Costs that are not directly related to the implementation of grant activities; </w:t>
      </w:r>
    </w:p>
    <w:p w:rsidRPr="005D7E20" w:rsidR="00FD59B7" w:rsidP="00FD59B7" w:rsidRDefault="00FD59B7" w14:paraId="4369F17B" w14:textId="41A05FC7">
      <w:pPr>
        <w:pStyle w:val="BodyTextIndent"/>
        <w:widowControl/>
        <w:numPr>
          <w:ilvl w:val="0"/>
          <w:numId w:val="47"/>
        </w:numPr>
        <w:tabs>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after="120" w:line="240" w:lineRule="auto"/>
        <w:contextualSpacing/>
        <w:jc w:val="left"/>
        <w:rPr>
          <w:sz w:val="24"/>
          <w:szCs w:val="24"/>
        </w:rPr>
      </w:pPr>
      <w:r w:rsidRPr="005D7E20">
        <w:rPr>
          <w:sz w:val="24"/>
          <w:szCs w:val="24"/>
        </w:rPr>
        <w:t>Membership to associations or organizations;</w:t>
      </w:r>
    </w:p>
    <w:p w:rsidRPr="005D7E20" w:rsidR="00FD59B7" w:rsidP="00FD59B7" w:rsidRDefault="00FD59B7" w14:paraId="0B696876" w14:textId="51FA0A5E">
      <w:pPr>
        <w:pStyle w:val="BodyTextIndent"/>
        <w:widowControl/>
        <w:numPr>
          <w:ilvl w:val="0"/>
          <w:numId w:val="47"/>
        </w:numPr>
        <w:tabs>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after="120" w:line="240" w:lineRule="auto"/>
        <w:contextualSpacing/>
        <w:jc w:val="left"/>
        <w:rPr>
          <w:sz w:val="24"/>
          <w:szCs w:val="24"/>
        </w:rPr>
      </w:pPr>
      <w:r w:rsidRPr="005D7E20">
        <w:rPr>
          <w:sz w:val="24"/>
          <w:szCs w:val="24"/>
        </w:rPr>
        <w:t>In-state overnight meals and/or lodging;</w:t>
      </w:r>
    </w:p>
    <w:p w:rsidRPr="005D7E20" w:rsidR="00FD59B7" w:rsidP="00FD59B7" w:rsidRDefault="00FD59B7" w14:paraId="5A08E34F" w14:textId="24125425">
      <w:pPr>
        <w:pStyle w:val="BodyTextIndent"/>
        <w:widowControl/>
        <w:numPr>
          <w:ilvl w:val="0"/>
          <w:numId w:val="47"/>
        </w:numPr>
        <w:tabs>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after="120" w:line="240" w:lineRule="auto"/>
        <w:contextualSpacing/>
        <w:jc w:val="left"/>
        <w:rPr>
          <w:sz w:val="24"/>
          <w:szCs w:val="24"/>
        </w:rPr>
      </w:pPr>
      <w:r w:rsidRPr="005D7E20">
        <w:rPr>
          <w:sz w:val="24"/>
          <w:szCs w:val="24"/>
        </w:rPr>
        <w:t>Meals on in-state travel; and</w:t>
      </w:r>
    </w:p>
    <w:p w:rsidRPr="005D7E20" w:rsidR="00FD59B7" w:rsidP="00FD59B7" w:rsidRDefault="00FD59B7" w14:paraId="3B8E2203" w14:textId="7E2A4EE9">
      <w:pPr>
        <w:pStyle w:val="BodyTextIndent"/>
        <w:widowControl/>
        <w:numPr>
          <w:ilvl w:val="0"/>
          <w:numId w:val="47"/>
        </w:numPr>
        <w:tabs>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after="120" w:line="240" w:lineRule="auto"/>
        <w:contextualSpacing/>
        <w:jc w:val="left"/>
        <w:rPr>
          <w:sz w:val="24"/>
          <w:szCs w:val="24"/>
        </w:rPr>
      </w:pPr>
      <w:r w:rsidRPr="005D7E20">
        <w:rPr>
          <w:sz w:val="24"/>
          <w:szCs w:val="24"/>
        </w:rPr>
        <w:t>Mileage reimbursement in excess of $.35 per mile.</w:t>
      </w:r>
    </w:p>
    <w:p w:rsidRPr="005D7E20" w:rsidR="00724A77" w:rsidP="00FD59B7" w:rsidRDefault="00FD59B7" w14:paraId="4990AB97" w14:textId="2D6C3B63">
      <w:pPr>
        <w:pStyle w:val="BodyText2"/>
        <w:spacing w:after="0" w:line="240" w:lineRule="auto"/>
        <w:rPr>
          <w:color w:val="auto"/>
          <w:sz w:val="24"/>
          <w:szCs w:val="24"/>
          <w:lang w:val="x-none" w:eastAsia="x-none"/>
        </w:rPr>
      </w:pPr>
      <w:r w:rsidRPr="005D7E20">
        <w:rPr>
          <w:color w:val="auto"/>
          <w:sz w:val="24"/>
          <w:szCs w:val="24"/>
        </w:rPr>
        <w:t>NOTE: Ineligible costs, as well as costs not supported by the activity plan, will be removed from consideration.</w:t>
      </w:r>
      <w:r w:rsidRPr="005D7E20">
        <w:rPr>
          <w:sz w:val="24"/>
          <w:szCs w:val="24"/>
        </w:rPr>
        <w:br w:type="page"/>
      </w:r>
    </w:p>
    <w:p w:rsidRPr="005D7E20" w:rsidR="00B47D56" w:rsidP="00E9300A" w:rsidRDefault="005F24D4" w14:paraId="552565C9" w14:textId="78684D7D">
      <w:pPr>
        <w:pStyle w:val="Heading2"/>
        <w:jc w:val="left"/>
        <w:rPr>
          <w:b w:val="0"/>
          <w:sz w:val="24"/>
          <w:szCs w:val="24"/>
        </w:rPr>
      </w:pPr>
      <w:bookmarkStart w:name="_Toc60042622" w:id="36"/>
      <w:r w:rsidRPr="005D7E20">
        <w:rPr>
          <w:b w:val="0"/>
          <w:sz w:val="24"/>
          <w:szCs w:val="24"/>
        </w:rPr>
        <w:lastRenderedPageBreak/>
        <w:t>Section 3: Completing the Application</w:t>
      </w:r>
      <w:bookmarkEnd w:id="36"/>
    </w:p>
    <w:p w:rsidRPr="005D7E20" w:rsidR="004837DB" w:rsidP="00E9300A" w:rsidRDefault="004837DB" w14:paraId="7E31FDF7" w14:textId="77777777">
      <w:pPr>
        <w:pStyle w:val="ListParagraph"/>
        <w:keepNext/>
        <w:keepLines/>
        <w:numPr>
          <w:ilvl w:val="0"/>
          <w:numId w:val="4"/>
        </w:numPr>
        <w:spacing w:before="120" w:after="0" w:line="240" w:lineRule="auto"/>
        <w:contextualSpacing w:val="0"/>
        <w:outlineLvl w:val="2"/>
        <w:rPr>
          <w:rFonts w:eastAsia="SimSun"/>
          <w:b/>
          <w:i/>
          <w:vanish/>
          <w:sz w:val="24"/>
          <w:szCs w:val="24"/>
        </w:rPr>
      </w:pPr>
      <w:bookmarkStart w:name="_Toc57797107" w:id="37"/>
      <w:bookmarkStart w:name="_Toc57797194" w:id="38"/>
      <w:bookmarkStart w:name="_Toc59111174" w:id="39"/>
      <w:bookmarkStart w:name="_Toc60042623" w:id="40"/>
      <w:bookmarkEnd w:id="37"/>
      <w:bookmarkEnd w:id="38"/>
      <w:bookmarkEnd w:id="39"/>
      <w:bookmarkEnd w:id="40"/>
    </w:p>
    <w:p w:rsidRPr="005D7E20" w:rsidR="00B47D56" w:rsidP="00C30FF0" w:rsidRDefault="00862E97" w14:paraId="16BEA12B" w14:textId="654AB5EC">
      <w:pPr>
        <w:pStyle w:val="Heading3"/>
      </w:pPr>
      <w:bookmarkStart w:name="_Toc60042624" w:id="41"/>
      <w:r w:rsidRPr="005D7E20">
        <w:t>General Instructions for Applying</w:t>
      </w:r>
      <w:bookmarkEnd w:id="41"/>
    </w:p>
    <w:p w:rsidRPr="005D7E20" w:rsidR="00E01B44" w:rsidP="00E01B44" w:rsidRDefault="00E01B44" w14:paraId="5197C344" w14:textId="1F12EBEB">
      <w:pPr>
        <w:rPr>
          <w:sz w:val="24"/>
          <w:szCs w:val="24"/>
        </w:rPr>
      </w:pPr>
      <w:r w:rsidRPr="005D7E20">
        <w:rPr>
          <w:sz w:val="24"/>
          <w:szCs w:val="24"/>
        </w:rPr>
        <w:t xml:space="preserve">To apply for a continuation grant under this NGO, you must prepare and submit a complete application. You must submit the 21st CCLC Training and Technical Assistance continuation application using the online </w:t>
      </w:r>
      <w:hyperlink w:tooltip="EWEG system" w:history="1" r:id="rId27">
        <w:r w:rsidRPr="005D7E20">
          <w:rPr>
            <w:rStyle w:val="Hyperlink"/>
            <w:sz w:val="24"/>
            <w:szCs w:val="24"/>
          </w:rPr>
          <w:t>EWEG system</w:t>
        </w:r>
      </w:hyperlink>
      <w:r w:rsidRPr="005D7E20">
        <w:rPr>
          <w:sz w:val="24"/>
          <w:szCs w:val="24"/>
        </w:rPr>
        <w:t xml:space="preserve">. Paper copies of the application will not be accepted. </w:t>
      </w:r>
      <w:r w:rsidRPr="005D7E20" w:rsidR="00E02B2B">
        <w:rPr>
          <w:sz w:val="24"/>
          <w:szCs w:val="24"/>
        </w:rPr>
        <w:t>Applicants</w:t>
      </w:r>
      <w:r w:rsidRPr="005D7E20">
        <w:rPr>
          <w:sz w:val="24"/>
          <w:szCs w:val="24"/>
        </w:rPr>
        <w:t xml:space="preserve"> should refer to Appendix 4 for general tips on completing the application online through the EWEG system. </w:t>
      </w:r>
    </w:p>
    <w:p w:rsidRPr="005D7E20" w:rsidR="00E01B44" w:rsidP="00C30FF0" w:rsidRDefault="00862E97" w14:paraId="693BF60F" w14:textId="47E6E70A">
      <w:pPr>
        <w:pStyle w:val="Heading3"/>
      </w:pPr>
      <w:bookmarkStart w:name="_Toc60042625" w:id="42"/>
      <w:r w:rsidRPr="005D7E20">
        <w:t xml:space="preserve">Review </w:t>
      </w:r>
      <w:r w:rsidRPr="005D7E20" w:rsidR="000F7FEB">
        <w:t>of</w:t>
      </w:r>
      <w:r w:rsidRPr="005D7E20">
        <w:t xml:space="preserve"> Applications</w:t>
      </w:r>
      <w:bookmarkEnd w:id="42"/>
    </w:p>
    <w:p w:rsidRPr="005D7E20" w:rsidR="00B973A2" w:rsidP="00B973A2" w:rsidRDefault="00261404" w14:paraId="4A3074B7" w14:textId="58C19E9E">
      <w:pPr>
        <w:rPr>
          <w:sz w:val="24"/>
          <w:szCs w:val="24"/>
        </w:rPr>
      </w:pPr>
      <w:r w:rsidRPr="005D7E20">
        <w:rPr>
          <w:sz w:val="24"/>
          <w:szCs w:val="24"/>
        </w:rPr>
        <w:t>Applications will be reviewed by a panel of readers external to the NJDOE</w:t>
      </w:r>
      <w:r w:rsidRPr="005D7E20" w:rsidR="003F41CC">
        <w:rPr>
          <w:sz w:val="24"/>
          <w:szCs w:val="24"/>
        </w:rPr>
        <w:t xml:space="preserve"> </w:t>
      </w:r>
      <w:proofErr w:type="gramStart"/>
      <w:r w:rsidRPr="005D7E20" w:rsidR="00E01B44">
        <w:rPr>
          <w:sz w:val="24"/>
          <w:szCs w:val="24"/>
        </w:rPr>
        <w:t>on the basis of</w:t>
      </w:r>
      <w:proofErr w:type="gramEnd"/>
      <w:r w:rsidRPr="005D7E20" w:rsidR="00E01B44">
        <w:rPr>
          <w:sz w:val="24"/>
          <w:szCs w:val="24"/>
        </w:rPr>
        <w:t xml:space="preserve"> quality and comprehensiveness</w:t>
      </w:r>
      <w:r w:rsidRPr="005D7E20" w:rsidR="00EF13DD">
        <w:rPr>
          <w:sz w:val="24"/>
          <w:szCs w:val="24"/>
        </w:rPr>
        <w:t xml:space="preserve">. </w:t>
      </w:r>
      <w:r w:rsidRPr="005D7E20" w:rsidR="00E01B44">
        <w:rPr>
          <w:sz w:val="24"/>
          <w:szCs w:val="24"/>
        </w:rPr>
        <w:t xml:space="preserve">The application will also be reviewed for completeness, accuracy and appropriateness of response to each of the items identified in </w:t>
      </w:r>
      <w:r w:rsidRPr="005D7E20" w:rsidR="00447515">
        <w:rPr>
          <w:sz w:val="24"/>
          <w:szCs w:val="24"/>
        </w:rPr>
        <w:t>s</w:t>
      </w:r>
      <w:r w:rsidRPr="005D7E20" w:rsidR="00E01B44">
        <w:rPr>
          <w:sz w:val="24"/>
          <w:szCs w:val="24"/>
        </w:rPr>
        <w:t xml:space="preserve">ection 2.  </w:t>
      </w:r>
      <w:r w:rsidRPr="005D7E20" w:rsidR="00B973A2">
        <w:rPr>
          <w:sz w:val="24"/>
          <w:szCs w:val="24"/>
        </w:rPr>
        <w:t>The following point values apply to the evaluation of applications received in response to this NGO:</w:t>
      </w:r>
    </w:p>
    <w:tbl>
      <w:tblPr>
        <w:tblStyle w:val="TableGrid"/>
        <w:tblW w:w="0" w:type="auto"/>
        <w:jc w:val="center"/>
        <w:tblLook w:val="04A0" w:firstRow="1" w:lastRow="0" w:firstColumn="1" w:lastColumn="0" w:noHBand="0" w:noVBand="1"/>
      </w:tblPr>
      <w:tblGrid>
        <w:gridCol w:w="5035"/>
        <w:gridCol w:w="2070"/>
      </w:tblGrid>
      <w:tr w:rsidRPr="005D7E20" w:rsidR="005D7E20" w:rsidTr="009729D7" w14:paraId="73E67ADC" w14:textId="77777777">
        <w:trPr>
          <w:jc w:val="center"/>
        </w:trPr>
        <w:tc>
          <w:tcPr>
            <w:tcW w:w="5035" w:type="dxa"/>
            <w:shd w:val="pct10" w:color="auto" w:fill="FFFFFF"/>
          </w:tcPr>
          <w:p w:rsidRPr="005D7E20" w:rsidR="005D7E20" w:rsidP="005D7E20" w:rsidRDefault="005D7E20" w14:paraId="55A757A0" w14:textId="77777777">
            <w:pPr>
              <w:pStyle w:val="BodyText"/>
              <w:tabs>
                <w:tab w:val="left" w:pos="630"/>
                <w:tab w:val="left" w:pos="1080"/>
              </w:tabs>
              <w:spacing w:after="0"/>
              <w:jc w:val="center"/>
              <w:rPr>
                <w:b/>
                <w:i/>
                <w:sz w:val="24"/>
                <w:szCs w:val="24"/>
              </w:rPr>
            </w:pPr>
          </w:p>
          <w:p w:rsidRPr="005D7E20" w:rsidR="005D7E20" w:rsidP="005D7E20" w:rsidRDefault="005D7E20" w14:paraId="153B2361" w14:textId="0FD98811">
            <w:pPr>
              <w:pStyle w:val="BodyTextIndent"/>
              <w:spacing w:after="0"/>
              <w:ind w:left="0"/>
              <w:jc w:val="left"/>
              <w:rPr>
                <w:sz w:val="24"/>
                <w:szCs w:val="24"/>
              </w:rPr>
            </w:pPr>
            <w:r w:rsidRPr="005D7E20">
              <w:rPr>
                <w:b/>
                <w:i/>
                <w:sz w:val="24"/>
                <w:szCs w:val="24"/>
              </w:rPr>
              <w:t>Application Component</w:t>
            </w:r>
          </w:p>
        </w:tc>
        <w:tc>
          <w:tcPr>
            <w:tcW w:w="2070" w:type="dxa"/>
            <w:shd w:val="pct10" w:color="auto" w:fill="FFFFFF"/>
          </w:tcPr>
          <w:p w:rsidRPr="005D7E20" w:rsidR="005D7E20" w:rsidP="005D7E20" w:rsidRDefault="005D7E20" w14:paraId="2745C014" w14:textId="77777777">
            <w:pPr>
              <w:pStyle w:val="BodyText"/>
              <w:tabs>
                <w:tab w:val="left" w:pos="630"/>
                <w:tab w:val="left" w:pos="1080"/>
              </w:tabs>
              <w:spacing w:after="0"/>
              <w:jc w:val="center"/>
              <w:rPr>
                <w:b/>
                <w:i/>
                <w:sz w:val="24"/>
                <w:szCs w:val="24"/>
              </w:rPr>
            </w:pPr>
          </w:p>
          <w:p w:rsidRPr="005D7E20" w:rsidR="005D7E20" w:rsidP="005D7E20" w:rsidRDefault="005D7E20" w14:paraId="18C90C38" w14:textId="39E6992E">
            <w:pPr>
              <w:pStyle w:val="BodyTextIndent"/>
              <w:spacing w:after="0"/>
              <w:ind w:left="0"/>
              <w:rPr>
                <w:sz w:val="24"/>
                <w:szCs w:val="24"/>
              </w:rPr>
            </w:pPr>
            <w:r w:rsidRPr="005D7E20">
              <w:rPr>
                <w:b/>
                <w:i/>
                <w:sz w:val="24"/>
                <w:szCs w:val="24"/>
              </w:rPr>
              <w:t>Point Value</w:t>
            </w:r>
          </w:p>
        </w:tc>
      </w:tr>
      <w:tr w:rsidRPr="005D7E20" w:rsidR="005D7E20" w:rsidTr="005D7E20" w14:paraId="284501D7" w14:textId="77777777">
        <w:trPr>
          <w:jc w:val="center"/>
        </w:trPr>
        <w:tc>
          <w:tcPr>
            <w:tcW w:w="5035" w:type="dxa"/>
          </w:tcPr>
          <w:p w:rsidRPr="005D7E20" w:rsidR="005D7E20" w:rsidP="005D7E20" w:rsidRDefault="005D7E20" w14:paraId="6C0444CD" w14:textId="01341DEF">
            <w:pPr>
              <w:pStyle w:val="BodyTextIndent"/>
              <w:spacing w:after="0"/>
              <w:ind w:left="0"/>
              <w:jc w:val="left"/>
              <w:rPr>
                <w:sz w:val="24"/>
                <w:szCs w:val="24"/>
              </w:rPr>
            </w:pPr>
            <w:r w:rsidRPr="005D7E20">
              <w:rPr>
                <w:sz w:val="24"/>
                <w:szCs w:val="24"/>
              </w:rPr>
              <w:t>STATEMENT OF NEED</w:t>
            </w:r>
          </w:p>
        </w:tc>
        <w:tc>
          <w:tcPr>
            <w:tcW w:w="2070" w:type="dxa"/>
          </w:tcPr>
          <w:p w:rsidRPr="005D7E20" w:rsidR="005D7E20" w:rsidP="005D7E20" w:rsidRDefault="005D7E20" w14:paraId="7AD0687A" w14:textId="58F7F7DB">
            <w:pPr>
              <w:pStyle w:val="BodyTextIndent"/>
              <w:spacing w:after="0"/>
              <w:ind w:left="0"/>
              <w:jc w:val="left"/>
              <w:rPr>
                <w:sz w:val="24"/>
                <w:szCs w:val="24"/>
              </w:rPr>
            </w:pPr>
            <w:r w:rsidRPr="005D7E20">
              <w:rPr>
                <w:sz w:val="24"/>
                <w:szCs w:val="24"/>
              </w:rPr>
              <w:t>NA</w:t>
            </w:r>
          </w:p>
        </w:tc>
      </w:tr>
      <w:tr w:rsidRPr="005D7E20" w:rsidR="005D7E20" w:rsidTr="005D7E20" w14:paraId="62BA4084" w14:textId="77777777">
        <w:trPr>
          <w:jc w:val="center"/>
        </w:trPr>
        <w:tc>
          <w:tcPr>
            <w:tcW w:w="5035" w:type="dxa"/>
          </w:tcPr>
          <w:p w:rsidRPr="005D7E20" w:rsidR="005D7E20" w:rsidP="005D7E20" w:rsidRDefault="005D7E20" w14:paraId="7A644FC5" w14:textId="3D64D77E">
            <w:pPr>
              <w:pStyle w:val="BodyTextIndent"/>
              <w:spacing w:after="0"/>
              <w:ind w:left="0"/>
              <w:jc w:val="left"/>
              <w:rPr>
                <w:sz w:val="24"/>
                <w:szCs w:val="24"/>
              </w:rPr>
            </w:pPr>
            <w:r w:rsidRPr="005D7E20">
              <w:rPr>
                <w:sz w:val="24"/>
                <w:szCs w:val="24"/>
              </w:rPr>
              <w:t>PROJECT DESCRIPTION</w:t>
            </w:r>
          </w:p>
        </w:tc>
        <w:tc>
          <w:tcPr>
            <w:tcW w:w="2070" w:type="dxa"/>
          </w:tcPr>
          <w:p w:rsidRPr="005D7E20" w:rsidR="005D7E20" w:rsidP="005D7E20" w:rsidRDefault="005D7E20" w14:paraId="75554162" w14:textId="7B45D901">
            <w:pPr>
              <w:pStyle w:val="BodyTextIndent"/>
              <w:spacing w:after="0"/>
              <w:ind w:left="0"/>
              <w:jc w:val="left"/>
              <w:rPr>
                <w:sz w:val="24"/>
                <w:szCs w:val="24"/>
              </w:rPr>
            </w:pPr>
            <w:r w:rsidRPr="005D7E20">
              <w:rPr>
                <w:sz w:val="24"/>
                <w:szCs w:val="24"/>
              </w:rPr>
              <w:t>35</w:t>
            </w:r>
          </w:p>
        </w:tc>
      </w:tr>
      <w:tr w:rsidRPr="005D7E20" w:rsidR="005D7E20" w:rsidTr="005D7E20" w14:paraId="16FEB443" w14:textId="77777777">
        <w:trPr>
          <w:jc w:val="center"/>
        </w:trPr>
        <w:tc>
          <w:tcPr>
            <w:tcW w:w="5035" w:type="dxa"/>
          </w:tcPr>
          <w:p w:rsidRPr="005D7E20" w:rsidR="005D7E20" w:rsidP="005D7E20" w:rsidRDefault="005D7E20" w14:paraId="1E49E1CB" w14:textId="39528DDB">
            <w:pPr>
              <w:pStyle w:val="BodyTextIndent"/>
              <w:spacing w:after="0"/>
              <w:ind w:left="0"/>
              <w:jc w:val="left"/>
              <w:rPr>
                <w:sz w:val="24"/>
                <w:szCs w:val="24"/>
              </w:rPr>
            </w:pPr>
            <w:r w:rsidRPr="005D7E20">
              <w:rPr>
                <w:sz w:val="24"/>
                <w:szCs w:val="24"/>
              </w:rPr>
              <w:t>GOALS, OBJECTIVES, INDICATORS AND EVALUATION</w:t>
            </w:r>
          </w:p>
        </w:tc>
        <w:tc>
          <w:tcPr>
            <w:tcW w:w="2070" w:type="dxa"/>
          </w:tcPr>
          <w:p w:rsidRPr="005D7E20" w:rsidR="005D7E20" w:rsidP="005D7E20" w:rsidRDefault="005D7E20" w14:paraId="1367FA6C" w14:textId="20DC8691">
            <w:pPr>
              <w:pStyle w:val="BodyTextIndent"/>
              <w:spacing w:after="0"/>
              <w:ind w:left="0"/>
              <w:jc w:val="left"/>
              <w:rPr>
                <w:sz w:val="24"/>
                <w:szCs w:val="24"/>
              </w:rPr>
            </w:pPr>
            <w:r w:rsidRPr="005D7E20">
              <w:rPr>
                <w:sz w:val="24"/>
                <w:szCs w:val="24"/>
              </w:rPr>
              <w:t>15</w:t>
            </w:r>
          </w:p>
        </w:tc>
      </w:tr>
      <w:tr w:rsidRPr="005D7E20" w:rsidR="005D7E20" w:rsidTr="005D7E20" w14:paraId="2C8D11F1" w14:textId="77777777">
        <w:trPr>
          <w:jc w:val="center"/>
        </w:trPr>
        <w:tc>
          <w:tcPr>
            <w:tcW w:w="5035" w:type="dxa"/>
          </w:tcPr>
          <w:p w:rsidRPr="005D7E20" w:rsidR="005D7E20" w:rsidP="005D7E20" w:rsidRDefault="005D7E20" w14:paraId="44563C91" w14:textId="6A3E005E">
            <w:pPr>
              <w:pStyle w:val="BodyTextIndent"/>
              <w:spacing w:after="0"/>
              <w:ind w:left="0"/>
              <w:jc w:val="left"/>
              <w:rPr>
                <w:sz w:val="24"/>
                <w:szCs w:val="24"/>
              </w:rPr>
            </w:pPr>
            <w:r w:rsidRPr="005D7E20">
              <w:rPr>
                <w:sz w:val="24"/>
                <w:szCs w:val="24"/>
              </w:rPr>
              <w:t>PROJECT ACTIVITY PLAN</w:t>
            </w:r>
          </w:p>
        </w:tc>
        <w:tc>
          <w:tcPr>
            <w:tcW w:w="2070" w:type="dxa"/>
          </w:tcPr>
          <w:p w:rsidRPr="005D7E20" w:rsidR="005D7E20" w:rsidP="005D7E20" w:rsidRDefault="005D7E20" w14:paraId="3B5E526E" w14:textId="29B0EDB2">
            <w:pPr>
              <w:pStyle w:val="BodyTextIndent"/>
              <w:spacing w:after="0"/>
              <w:ind w:left="0"/>
              <w:jc w:val="left"/>
              <w:rPr>
                <w:sz w:val="24"/>
                <w:szCs w:val="24"/>
              </w:rPr>
            </w:pPr>
            <w:r w:rsidRPr="005D7E20">
              <w:rPr>
                <w:sz w:val="24"/>
                <w:szCs w:val="24"/>
              </w:rPr>
              <w:t>10</w:t>
            </w:r>
          </w:p>
        </w:tc>
      </w:tr>
      <w:tr w:rsidRPr="005D7E20" w:rsidR="005D7E20" w:rsidTr="005D7E20" w14:paraId="65980D17" w14:textId="77777777">
        <w:trPr>
          <w:jc w:val="center"/>
        </w:trPr>
        <w:tc>
          <w:tcPr>
            <w:tcW w:w="5035" w:type="dxa"/>
          </w:tcPr>
          <w:p w:rsidRPr="005D7E20" w:rsidR="005D7E20" w:rsidP="005D7E20" w:rsidRDefault="005D7E20" w14:paraId="3AF60512" w14:textId="46CD520D">
            <w:pPr>
              <w:pStyle w:val="BodyTextIndent"/>
              <w:spacing w:after="0"/>
              <w:ind w:left="0"/>
              <w:jc w:val="left"/>
              <w:rPr>
                <w:sz w:val="24"/>
                <w:szCs w:val="24"/>
              </w:rPr>
            </w:pPr>
            <w:r w:rsidRPr="005D7E20">
              <w:rPr>
                <w:sz w:val="24"/>
                <w:szCs w:val="24"/>
              </w:rPr>
              <w:t>ORGANIZATIONAL COMMITMENT AND CAPACITY</w:t>
            </w:r>
          </w:p>
        </w:tc>
        <w:tc>
          <w:tcPr>
            <w:tcW w:w="2070" w:type="dxa"/>
          </w:tcPr>
          <w:p w:rsidRPr="005D7E20" w:rsidR="005D7E20" w:rsidP="005D7E20" w:rsidRDefault="005D7E20" w14:paraId="0B2D5810" w14:textId="7FC7FD22">
            <w:pPr>
              <w:pStyle w:val="BodyTextIndent"/>
              <w:spacing w:after="0"/>
              <w:ind w:left="0"/>
              <w:jc w:val="left"/>
              <w:rPr>
                <w:sz w:val="24"/>
                <w:szCs w:val="24"/>
              </w:rPr>
            </w:pPr>
            <w:r w:rsidRPr="005D7E20">
              <w:rPr>
                <w:sz w:val="24"/>
                <w:szCs w:val="24"/>
              </w:rPr>
              <w:t>30</w:t>
            </w:r>
          </w:p>
        </w:tc>
      </w:tr>
      <w:tr w:rsidRPr="005D7E20" w:rsidR="005D7E20" w:rsidTr="005D7E20" w14:paraId="1EF3D6B1" w14:textId="77777777">
        <w:trPr>
          <w:jc w:val="center"/>
        </w:trPr>
        <w:tc>
          <w:tcPr>
            <w:tcW w:w="5035" w:type="dxa"/>
          </w:tcPr>
          <w:p w:rsidRPr="005D7E20" w:rsidR="005D7E20" w:rsidP="005D7E20" w:rsidRDefault="005D7E20" w14:paraId="153B1CCD" w14:textId="7A425E3C">
            <w:pPr>
              <w:pStyle w:val="BodyTextIndent"/>
              <w:spacing w:after="0"/>
              <w:ind w:left="0"/>
              <w:jc w:val="left"/>
              <w:rPr>
                <w:sz w:val="24"/>
                <w:szCs w:val="24"/>
              </w:rPr>
            </w:pPr>
            <w:r w:rsidRPr="005D7E20">
              <w:rPr>
                <w:sz w:val="24"/>
                <w:szCs w:val="24"/>
              </w:rPr>
              <w:t>BUDGET</w:t>
            </w:r>
          </w:p>
        </w:tc>
        <w:tc>
          <w:tcPr>
            <w:tcW w:w="2070" w:type="dxa"/>
          </w:tcPr>
          <w:p w:rsidRPr="005D7E20" w:rsidR="005D7E20" w:rsidP="005D7E20" w:rsidRDefault="005D7E20" w14:paraId="17CC981A" w14:textId="5C36205D">
            <w:pPr>
              <w:pStyle w:val="BodyTextIndent"/>
              <w:spacing w:after="0"/>
              <w:ind w:left="0"/>
              <w:jc w:val="left"/>
              <w:rPr>
                <w:sz w:val="24"/>
                <w:szCs w:val="24"/>
              </w:rPr>
            </w:pPr>
            <w:r w:rsidRPr="005D7E20">
              <w:rPr>
                <w:sz w:val="24"/>
                <w:szCs w:val="24"/>
              </w:rPr>
              <w:t>10</w:t>
            </w:r>
          </w:p>
        </w:tc>
      </w:tr>
      <w:tr w:rsidRPr="005D7E20" w:rsidR="005D7E20" w:rsidTr="005D7E20" w14:paraId="2CA0CFD3" w14:textId="77777777">
        <w:trPr>
          <w:jc w:val="center"/>
        </w:trPr>
        <w:tc>
          <w:tcPr>
            <w:tcW w:w="5035" w:type="dxa"/>
          </w:tcPr>
          <w:p w:rsidRPr="005D7E20" w:rsidR="005D7E20" w:rsidP="005D7E20" w:rsidRDefault="005D7E20" w14:paraId="0B801574" w14:textId="54121366">
            <w:pPr>
              <w:pStyle w:val="BodyTextIndent"/>
              <w:spacing w:after="0"/>
              <w:ind w:left="0"/>
              <w:jc w:val="left"/>
              <w:rPr>
                <w:sz w:val="24"/>
                <w:szCs w:val="24"/>
              </w:rPr>
            </w:pPr>
            <w:r w:rsidRPr="005D7E20">
              <w:rPr>
                <w:b/>
                <w:i/>
                <w:sz w:val="24"/>
                <w:szCs w:val="24"/>
              </w:rPr>
              <w:t xml:space="preserve">TOTAL </w:t>
            </w:r>
          </w:p>
        </w:tc>
        <w:tc>
          <w:tcPr>
            <w:tcW w:w="2070" w:type="dxa"/>
          </w:tcPr>
          <w:p w:rsidRPr="005D7E20" w:rsidR="005D7E20" w:rsidP="005D7E20" w:rsidRDefault="005D7E20" w14:paraId="4BC3ABC0" w14:textId="2D69E78B">
            <w:pPr>
              <w:pStyle w:val="BodyTextIndent"/>
              <w:spacing w:after="0"/>
              <w:ind w:left="0"/>
              <w:jc w:val="left"/>
              <w:rPr>
                <w:sz w:val="24"/>
                <w:szCs w:val="24"/>
              </w:rPr>
            </w:pPr>
            <w:r w:rsidRPr="005D7E20">
              <w:rPr>
                <w:sz w:val="24"/>
                <w:szCs w:val="24"/>
              </w:rPr>
              <w:t>100</w:t>
            </w:r>
          </w:p>
        </w:tc>
      </w:tr>
    </w:tbl>
    <w:p w:rsidRPr="005D7E20" w:rsidR="00B973A2" w:rsidP="00B973A2" w:rsidRDefault="00B973A2" w14:paraId="0FB7342C" w14:textId="77777777">
      <w:pPr>
        <w:pStyle w:val="BodyTextIndent"/>
        <w:spacing w:after="0"/>
        <w:ind w:left="0"/>
        <w:rPr>
          <w:sz w:val="24"/>
          <w:szCs w:val="24"/>
        </w:rPr>
      </w:pPr>
    </w:p>
    <w:p w:rsidRPr="005D7E20" w:rsidR="00E01B44" w:rsidP="00E01B44" w:rsidRDefault="00B973A2" w14:paraId="1A7FE45B" w14:textId="32DAB9F0">
      <w:pPr>
        <w:pStyle w:val="BodyTextIndent"/>
        <w:spacing w:after="0"/>
        <w:ind w:left="0"/>
        <w:rPr>
          <w:sz w:val="24"/>
          <w:szCs w:val="24"/>
        </w:rPr>
      </w:pPr>
      <w:r w:rsidRPr="005D7E20">
        <w:rPr>
          <w:sz w:val="24"/>
          <w:szCs w:val="24"/>
        </w:rPr>
        <w:t xml:space="preserve">Applicants must meet a minimum of </w:t>
      </w:r>
      <w:r w:rsidRPr="005D7E20" w:rsidR="00760D8A">
        <w:rPr>
          <w:sz w:val="24"/>
          <w:szCs w:val="24"/>
        </w:rPr>
        <w:t>70</w:t>
      </w:r>
      <w:r w:rsidRPr="005D7E20">
        <w:rPr>
          <w:sz w:val="24"/>
          <w:szCs w:val="24"/>
        </w:rPr>
        <w:t xml:space="preserve"> points to be considered eligible for an award. </w:t>
      </w:r>
    </w:p>
    <w:p w:rsidRPr="005D7E20" w:rsidR="00E01B44" w:rsidP="00E01B44" w:rsidRDefault="00E01B44" w14:paraId="2D05D94B" w14:textId="77777777">
      <w:pPr>
        <w:pStyle w:val="BodyTextIndent"/>
        <w:spacing w:after="0"/>
        <w:ind w:left="0"/>
        <w:rPr>
          <w:sz w:val="24"/>
          <w:szCs w:val="24"/>
        </w:rPr>
      </w:pPr>
    </w:p>
    <w:p w:rsidRPr="005D7E20" w:rsidR="00B737C1" w:rsidP="00E01B44" w:rsidRDefault="00E01B44" w14:paraId="4AD484EC" w14:textId="186E5503">
      <w:pPr>
        <w:rPr>
          <w:sz w:val="24"/>
          <w:szCs w:val="24"/>
        </w:rPr>
      </w:pPr>
      <w:r w:rsidRPr="005D7E20">
        <w:rPr>
          <w:sz w:val="24"/>
          <w:szCs w:val="24"/>
        </w:rPr>
        <w:t xml:space="preserve">Please be advised that in accordance with the Open Public Records Act </w:t>
      </w:r>
      <w:r w:rsidRPr="005D7E20">
        <w:rPr>
          <w:i/>
          <w:sz w:val="24"/>
          <w:szCs w:val="24"/>
        </w:rPr>
        <w:t>P.L.</w:t>
      </w:r>
      <w:r w:rsidRPr="005D7E20">
        <w:rPr>
          <w:sz w:val="24"/>
          <w:szCs w:val="24"/>
        </w:rPr>
        <w:t xml:space="preserve"> 2001, </w:t>
      </w:r>
      <w:r w:rsidRPr="005D7E20">
        <w:rPr>
          <w:i/>
          <w:sz w:val="24"/>
          <w:szCs w:val="24"/>
        </w:rPr>
        <w:t>c.</w:t>
      </w:r>
      <w:r w:rsidRPr="005D7E20">
        <w:rPr>
          <w:sz w:val="24"/>
          <w:szCs w:val="24"/>
        </w:rPr>
        <w:t xml:space="preserve"> 404, all applications for discretionary grant funds received on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Pr="005D7E20" w:rsidR="004B2755" w:rsidP="00C30FF0" w:rsidRDefault="00862E97" w14:paraId="3EB5EF4E" w14:textId="77777777">
      <w:pPr>
        <w:pStyle w:val="Heading3"/>
      </w:pPr>
      <w:bookmarkStart w:name="_Toc60042626" w:id="43"/>
      <w:r w:rsidRPr="005D7E20">
        <w:t>Application Component Checklist</w:t>
      </w:r>
      <w:bookmarkEnd w:id="43"/>
    </w:p>
    <w:p w:rsidRPr="005D7E20" w:rsidR="00EC79F7" w:rsidP="00E9300A" w:rsidRDefault="00DD3DD2" w14:paraId="5ADC7451" w14:textId="77777777">
      <w:pPr>
        <w:tabs>
          <w:tab w:val="left" w:pos="630"/>
          <w:tab w:val="left" w:pos="1080"/>
        </w:tabs>
        <w:rPr>
          <w:sz w:val="24"/>
          <w:szCs w:val="24"/>
        </w:rPr>
      </w:pPr>
      <w:r w:rsidRPr="005D7E20">
        <w:rPr>
          <w:sz w:val="24"/>
          <w:szCs w:val="24"/>
        </w:rPr>
        <w:t xml:space="preserve">The following components are required (see Required </w:t>
      </w:r>
      <w:r w:rsidRPr="005D7E20">
        <w:rPr>
          <w:rFonts w:ascii="Wingdings" w:hAnsi="Wingdings" w:eastAsia="Wingdings" w:cs="Wingdings"/>
          <w:sz w:val="24"/>
          <w:szCs w:val="24"/>
        </w:rPr>
        <w:t>ü</w:t>
      </w:r>
      <w:r w:rsidRPr="005D7E20">
        <w:rPr>
          <w:sz w:val="24"/>
          <w:szCs w:val="24"/>
        </w:rPr>
        <w:t xml:space="preserve"> Column) to be included as part of your EWEG application.</w:t>
      </w:r>
      <w:r w:rsidRPr="005D7E20" w:rsidR="00EC79F7">
        <w:rPr>
          <w:sz w:val="24"/>
          <w:szCs w:val="24"/>
        </w:rPr>
        <w:t xml:space="preserve"> </w:t>
      </w:r>
      <w:r w:rsidRPr="005D7E20">
        <w:rPr>
          <w:sz w:val="24"/>
          <w:szCs w:val="24"/>
        </w:rPr>
        <w:t>Failure to include a required component may result in your application being removed from consideration for funding. Please make note that the following characters are not recognized by EWEG (“, -!@#$ %^&amp;*( )”~/&lt;&gt;{} and bullets). When uploading documents to EWEG be sure to properly label each document with the</w:t>
      </w:r>
      <w:r w:rsidRPr="005D7E20">
        <w:rPr>
          <w:b/>
          <w:sz w:val="24"/>
          <w:szCs w:val="24"/>
        </w:rPr>
        <w:t xml:space="preserve"> title of the form, not the appendix number</w:t>
      </w:r>
      <w:r w:rsidRPr="005D7E20">
        <w:rPr>
          <w:sz w:val="24"/>
          <w:szCs w:val="24"/>
        </w:rPr>
        <w:t xml:space="preserve">. Use the checklist (see Included </w:t>
      </w:r>
      <w:r w:rsidRPr="005D7E20">
        <w:rPr>
          <w:rFonts w:ascii="Wingdings" w:hAnsi="Wingdings" w:eastAsia="Wingdings" w:cs="Wingdings"/>
          <w:sz w:val="24"/>
          <w:szCs w:val="24"/>
        </w:rPr>
        <w:t>ü</w:t>
      </w:r>
      <w:r w:rsidRPr="005D7E20">
        <w:rPr>
          <w:sz w:val="24"/>
          <w:szCs w:val="24"/>
        </w:rPr>
        <w:t xml:space="preserve"> Column) to ensure that all required components have been completed.  </w:t>
      </w:r>
    </w:p>
    <w:tbl>
      <w:tblPr>
        <w:tblStyle w:val="TableGrid"/>
        <w:tblW w:w="9805" w:type="dxa"/>
        <w:tblLook w:val="04A0" w:firstRow="1" w:lastRow="0" w:firstColumn="1" w:lastColumn="0" w:noHBand="0" w:noVBand="1"/>
        <w:tblDescription w:val="This table is the applicant component checklist.  Ithas 4 title columns and nine rows of data"/>
      </w:tblPr>
      <w:tblGrid>
        <w:gridCol w:w="1165"/>
        <w:gridCol w:w="1190"/>
        <w:gridCol w:w="5830"/>
        <w:gridCol w:w="1620"/>
      </w:tblGrid>
      <w:tr w:rsidRPr="005D7E20" w:rsidR="00A27E66" w:rsidTr="000F6B66" w14:paraId="6A8D5012" w14:textId="77777777">
        <w:trPr>
          <w:tblHeader/>
        </w:trPr>
        <w:tc>
          <w:tcPr>
            <w:tcW w:w="1165" w:type="dxa"/>
          </w:tcPr>
          <w:p w:rsidRPr="005D7E20" w:rsidR="00A27E66" w:rsidP="000F6B66" w:rsidRDefault="00A27E66" w14:paraId="6FF179BA" w14:textId="77777777">
            <w:pPr>
              <w:rPr>
                <w:sz w:val="24"/>
                <w:szCs w:val="24"/>
              </w:rPr>
            </w:pPr>
            <w:r w:rsidRPr="005D7E20">
              <w:rPr>
                <w:sz w:val="24"/>
                <w:szCs w:val="24"/>
              </w:rPr>
              <w:lastRenderedPageBreak/>
              <w:t>Required</w:t>
            </w:r>
          </w:p>
          <w:p w:rsidRPr="005D7E20" w:rsidR="00A27E66" w:rsidP="000F6B66" w:rsidRDefault="00A27E66" w14:paraId="1DD7C5F0" w14:textId="77777777">
            <w:pPr>
              <w:rPr>
                <w:sz w:val="24"/>
                <w:szCs w:val="24"/>
              </w:rPr>
            </w:pPr>
            <w:r w:rsidRPr="005D7E20">
              <w:rPr>
                <w:sz w:val="24"/>
                <w:szCs w:val="24"/>
              </w:rPr>
              <w:t>(</w:t>
            </w:r>
            <w:r w:rsidRPr="005D7E20">
              <w:rPr>
                <w:rFonts w:eastAsia="Wingdings"/>
                <w:sz w:val="24"/>
                <w:szCs w:val="24"/>
              </w:rPr>
              <w:t></w:t>
            </w:r>
            <w:r w:rsidRPr="005D7E20">
              <w:rPr>
                <w:sz w:val="24"/>
                <w:szCs w:val="24"/>
              </w:rPr>
              <w:t>)</w:t>
            </w:r>
          </w:p>
        </w:tc>
        <w:tc>
          <w:tcPr>
            <w:tcW w:w="1190" w:type="dxa"/>
          </w:tcPr>
          <w:p w:rsidRPr="005D7E20" w:rsidR="00A27E66" w:rsidP="000F6B66" w:rsidRDefault="00A27E66" w14:paraId="79D15B48" w14:textId="77777777">
            <w:pPr>
              <w:rPr>
                <w:sz w:val="24"/>
                <w:szCs w:val="24"/>
              </w:rPr>
            </w:pPr>
            <w:r w:rsidRPr="005D7E20">
              <w:rPr>
                <w:sz w:val="24"/>
                <w:szCs w:val="24"/>
              </w:rPr>
              <w:t>Form</w:t>
            </w:r>
          </w:p>
        </w:tc>
        <w:tc>
          <w:tcPr>
            <w:tcW w:w="5830" w:type="dxa"/>
          </w:tcPr>
          <w:p w:rsidRPr="005D7E20" w:rsidR="00A27E66" w:rsidP="000F6B66" w:rsidRDefault="00A27E66" w14:paraId="6FA7C3DA" w14:textId="77777777">
            <w:pPr>
              <w:rPr>
                <w:sz w:val="24"/>
                <w:szCs w:val="24"/>
              </w:rPr>
            </w:pPr>
            <w:r w:rsidRPr="005D7E20">
              <w:rPr>
                <w:sz w:val="24"/>
                <w:szCs w:val="24"/>
              </w:rPr>
              <w:t>EWEG TAB/SUBTAB</w:t>
            </w:r>
          </w:p>
        </w:tc>
        <w:tc>
          <w:tcPr>
            <w:tcW w:w="1620" w:type="dxa"/>
          </w:tcPr>
          <w:p w:rsidRPr="005D7E20" w:rsidR="00A27E66" w:rsidP="000F6B66" w:rsidRDefault="00A27E66" w14:paraId="12117537" w14:textId="77777777">
            <w:pPr>
              <w:rPr>
                <w:sz w:val="24"/>
                <w:szCs w:val="24"/>
              </w:rPr>
            </w:pPr>
            <w:r w:rsidRPr="005D7E20">
              <w:rPr>
                <w:sz w:val="24"/>
                <w:szCs w:val="24"/>
              </w:rPr>
              <w:t>Included</w:t>
            </w:r>
          </w:p>
          <w:p w:rsidRPr="005D7E20" w:rsidR="00A27E66" w:rsidP="000F6B66" w:rsidRDefault="00A27E66" w14:paraId="42CA6B90" w14:textId="77777777">
            <w:pPr>
              <w:rPr>
                <w:sz w:val="24"/>
                <w:szCs w:val="24"/>
              </w:rPr>
            </w:pPr>
            <w:r w:rsidRPr="005D7E20">
              <w:rPr>
                <w:sz w:val="24"/>
                <w:szCs w:val="24"/>
              </w:rPr>
              <w:t>(</w:t>
            </w:r>
            <w:r w:rsidRPr="005D7E20">
              <w:rPr>
                <w:rFonts w:eastAsia="Wingdings"/>
                <w:sz w:val="24"/>
                <w:szCs w:val="24"/>
              </w:rPr>
              <w:t></w:t>
            </w:r>
            <w:r w:rsidRPr="005D7E20">
              <w:rPr>
                <w:sz w:val="24"/>
                <w:szCs w:val="24"/>
              </w:rPr>
              <w:t>)</w:t>
            </w:r>
          </w:p>
        </w:tc>
      </w:tr>
      <w:tr w:rsidRPr="005D7E20" w:rsidR="00A27E66" w:rsidTr="000F6B66" w14:paraId="25EE1755" w14:textId="77777777">
        <w:trPr>
          <w:tblHeader/>
        </w:trPr>
        <w:tc>
          <w:tcPr>
            <w:tcW w:w="1165" w:type="dxa"/>
          </w:tcPr>
          <w:p w:rsidRPr="005D7E20" w:rsidR="00A27E66" w:rsidP="000F6B66" w:rsidRDefault="00A27E66" w14:paraId="4A45BDCC" w14:textId="77777777">
            <w:pPr>
              <w:rPr>
                <w:sz w:val="24"/>
                <w:szCs w:val="24"/>
              </w:rPr>
            </w:pPr>
            <w:r w:rsidRPr="005D7E20">
              <w:rPr>
                <w:rFonts w:eastAsia="Wingdings"/>
                <w:sz w:val="24"/>
                <w:szCs w:val="24"/>
              </w:rPr>
              <w:t></w:t>
            </w:r>
          </w:p>
        </w:tc>
        <w:tc>
          <w:tcPr>
            <w:tcW w:w="1190" w:type="dxa"/>
          </w:tcPr>
          <w:p w:rsidRPr="005D7E20" w:rsidR="00A27E66" w:rsidP="000F6B66" w:rsidRDefault="00A27E66" w14:paraId="708F0D3A" w14:textId="77777777">
            <w:pPr>
              <w:rPr>
                <w:rFonts w:eastAsia="Calibri"/>
                <w:sz w:val="24"/>
                <w:szCs w:val="24"/>
              </w:rPr>
            </w:pPr>
            <w:r w:rsidRPr="005D7E20">
              <w:rPr>
                <w:sz w:val="24"/>
                <w:szCs w:val="24"/>
              </w:rPr>
              <w:t xml:space="preserve">EWEG </w:t>
            </w:r>
          </w:p>
        </w:tc>
        <w:tc>
          <w:tcPr>
            <w:tcW w:w="5830" w:type="dxa"/>
          </w:tcPr>
          <w:p w:rsidRPr="005D7E20" w:rsidR="00A27E66" w:rsidP="000F6B66" w:rsidRDefault="00A27E66" w14:paraId="3AFB6D45" w14:textId="77777777">
            <w:pPr>
              <w:rPr>
                <w:rFonts w:eastAsia="Calibri"/>
                <w:sz w:val="24"/>
                <w:szCs w:val="24"/>
              </w:rPr>
            </w:pPr>
            <w:r w:rsidRPr="005D7E20">
              <w:rPr>
                <w:sz w:val="24"/>
                <w:szCs w:val="24"/>
              </w:rPr>
              <w:t>Admin (Contacts, Allocation, Assurance, Board Approval, DUNS and FFATA)</w:t>
            </w:r>
          </w:p>
        </w:tc>
        <w:tc>
          <w:tcPr>
            <w:tcW w:w="1620" w:type="dxa"/>
          </w:tcPr>
          <w:p w:rsidRPr="005D7E20" w:rsidR="00A27E66" w:rsidP="000F6B66" w:rsidRDefault="00A27E66" w14:paraId="5A9BCC01" w14:textId="77777777">
            <w:pPr>
              <w:rPr>
                <w:sz w:val="24"/>
                <w:szCs w:val="24"/>
              </w:rPr>
            </w:pPr>
          </w:p>
        </w:tc>
      </w:tr>
      <w:tr w:rsidRPr="005D7E20" w:rsidR="00A27E66" w:rsidTr="000F6B66" w14:paraId="54E6242C" w14:textId="77777777">
        <w:trPr>
          <w:tblHeader/>
        </w:trPr>
        <w:tc>
          <w:tcPr>
            <w:tcW w:w="1165" w:type="dxa"/>
          </w:tcPr>
          <w:p w:rsidRPr="005D7E20" w:rsidR="00A27E66" w:rsidP="000F6B66" w:rsidRDefault="00A27E66" w14:paraId="3A01F0F8" w14:textId="77777777">
            <w:pPr>
              <w:rPr>
                <w:sz w:val="24"/>
                <w:szCs w:val="24"/>
              </w:rPr>
            </w:pPr>
            <w:r w:rsidRPr="005D7E20">
              <w:rPr>
                <w:rFonts w:eastAsia="Wingdings"/>
                <w:sz w:val="24"/>
                <w:szCs w:val="24"/>
              </w:rPr>
              <w:t></w:t>
            </w:r>
          </w:p>
        </w:tc>
        <w:tc>
          <w:tcPr>
            <w:tcW w:w="1190" w:type="dxa"/>
          </w:tcPr>
          <w:p w:rsidRPr="005D7E20" w:rsidR="00A27E66" w:rsidP="000F6B66" w:rsidRDefault="00A27E66" w14:paraId="778632CE" w14:textId="77777777">
            <w:pPr>
              <w:rPr>
                <w:sz w:val="24"/>
                <w:szCs w:val="24"/>
              </w:rPr>
            </w:pPr>
            <w:r w:rsidRPr="005D7E20">
              <w:rPr>
                <w:sz w:val="24"/>
                <w:szCs w:val="24"/>
              </w:rPr>
              <w:t xml:space="preserve">EWEG </w:t>
            </w:r>
          </w:p>
        </w:tc>
        <w:tc>
          <w:tcPr>
            <w:tcW w:w="5830" w:type="dxa"/>
          </w:tcPr>
          <w:p w:rsidRPr="005D7E20" w:rsidR="00A27E66" w:rsidP="000F6B66" w:rsidRDefault="00A27E66" w14:paraId="72580B6F" w14:textId="275B59BF">
            <w:pPr>
              <w:rPr>
                <w:sz w:val="24"/>
                <w:szCs w:val="24"/>
              </w:rPr>
            </w:pPr>
            <w:r w:rsidRPr="005D7E20">
              <w:rPr>
                <w:sz w:val="24"/>
                <w:szCs w:val="24"/>
              </w:rPr>
              <w:t>Narrative (Project Description; Goals, Objectives, Indicators and Evaluation;</w:t>
            </w:r>
            <w:r w:rsidRPr="005D7E20" w:rsidR="002D3ECB">
              <w:rPr>
                <w:sz w:val="24"/>
                <w:szCs w:val="24"/>
              </w:rPr>
              <w:t xml:space="preserve"> Organizational Commitment and Capacity</w:t>
            </w:r>
            <w:r w:rsidRPr="005D7E20" w:rsidR="00CB033B">
              <w:rPr>
                <w:sz w:val="24"/>
                <w:szCs w:val="24"/>
              </w:rPr>
              <w:t>;</w:t>
            </w:r>
            <w:r w:rsidRPr="005D7E20">
              <w:rPr>
                <w:sz w:val="24"/>
                <w:szCs w:val="24"/>
              </w:rPr>
              <w:t xml:space="preserve"> and the Project Activity Plan) </w:t>
            </w:r>
          </w:p>
        </w:tc>
        <w:tc>
          <w:tcPr>
            <w:tcW w:w="1620" w:type="dxa"/>
          </w:tcPr>
          <w:p w:rsidRPr="005D7E20" w:rsidR="00A27E66" w:rsidP="000F6B66" w:rsidRDefault="00A27E66" w14:paraId="36BB923E" w14:textId="77777777">
            <w:pPr>
              <w:rPr>
                <w:sz w:val="24"/>
                <w:szCs w:val="24"/>
              </w:rPr>
            </w:pPr>
          </w:p>
        </w:tc>
      </w:tr>
      <w:tr w:rsidRPr="005D7E20" w:rsidR="00A27E66" w:rsidTr="000F6B66" w14:paraId="4B440A52" w14:textId="77777777">
        <w:trPr>
          <w:tblHeader/>
        </w:trPr>
        <w:tc>
          <w:tcPr>
            <w:tcW w:w="1165" w:type="dxa"/>
          </w:tcPr>
          <w:p w:rsidRPr="005D7E20" w:rsidR="00A27E66" w:rsidP="000F6B66" w:rsidRDefault="00A27E66" w14:paraId="1C06890C" w14:textId="77777777">
            <w:pPr>
              <w:rPr>
                <w:sz w:val="24"/>
                <w:szCs w:val="24"/>
              </w:rPr>
            </w:pPr>
            <w:r w:rsidRPr="005D7E20">
              <w:rPr>
                <w:rFonts w:eastAsia="Wingdings"/>
                <w:sz w:val="24"/>
                <w:szCs w:val="24"/>
              </w:rPr>
              <w:t></w:t>
            </w:r>
          </w:p>
        </w:tc>
        <w:tc>
          <w:tcPr>
            <w:tcW w:w="1190" w:type="dxa"/>
          </w:tcPr>
          <w:p w:rsidRPr="005D7E20" w:rsidR="00A27E66" w:rsidP="000F6B66" w:rsidRDefault="00A27E66" w14:paraId="41C45BC3" w14:textId="77777777">
            <w:pPr>
              <w:rPr>
                <w:rFonts w:eastAsia="Calibri"/>
                <w:sz w:val="24"/>
                <w:szCs w:val="24"/>
              </w:rPr>
            </w:pPr>
            <w:r w:rsidRPr="005D7E20">
              <w:rPr>
                <w:sz w:val="24"/>
                <w:szCs w:val="24"/>
              </w:rPr>
              <w:t>EWEG</w:t>
            </w:r>
          </w:p>
        </w:tc>
        <w:tc>
          <w:tcPr>
            <w:tcW w:w="5830" w:type="dxa"/>
          </w:tcPr>
          <w:p w:rsidRPr="005D7E20" w:rsidR="00A27E66" w:rsidP="000F6B66" w:rsidRDefault="00A27E66" w14:paraId="25012FD8" w14:textId="77777777">
            <w:pPr>
              <w:rPr>
                <w:sz w:val="24"/>
                <w:szCs w:val="24"/>
              </w:rPr>
            </w:pPr>
            <w:r w:rsidRPr="005D7E20">
              <w:rPr>
                <w:sz w:val="24"/>
                <w:szCs w:val="24"/>
              </w:rPr>
              <w:t>Budget</w:t>
            </w:r>
          </w:p>
          <w:p w:rsidRPr="005D7E20" w:rsidR="00A27E66" w:rsidP="000F6B66" w:rsidRDefault="00A27E66" w14:paraId="39952971" w14:textId="77777777">
            <w:pPr>
              <w:rPr>
                <w:rFonts w:eastAsia="Calibri"/>
                <w:sz w:val="24"/>
                <w:szCs w:val="24"/>
              </w:rPr>
            </w:pPr>
          </w:p>
        </w:tc>
        <w:tc>
          <w:tcPr>
            <w:tcW w:w="1620" w:type="dxa"/>
          </w:tcPr>
          <w:p w:rsidRPr="005D7E20" w:rsidR="00A27E66" w:rsidP="000F6B66" w:rsidRDefault="00A27E66" w14:paraId="2A63A1D4" w14:textId="77777777">
            <w:pPr>
              <w:rPr>
                <w:sz w:val="24"/>
                <w:szCs w:val="24"/>
              </w:rPr>
            </w:pPr>
          </w:p>
        </w:tc>
      </w:tr>
      <w:tr w:rsidRPr="005D7E20" w:rsidR="00A27E66" w:rsidTr="000F6B66" w14:paraId="6C452A62" w14:textId="77777777">
        <w:trPr>
          <w:tblHeader/>
        </w:trPr>
        <w:tc>
          <w:tcPr>
            <w:tcW w:w="1165" w:type="dxa"/>
          </w:tcPr>
          <w:p w:rsidRPr="005D7E20" w:rsidR="00A27E66" w:rsidP="000F6B66" w:rsidRDefault="00A27E66" w14:paraId="0C4CD07F" w14:textId="77777777">
            <w:pPr>
              <w:rPr>
                <w:sz w:val="24"/>
                <w:szCs w:val="24"/>
              </w:rPr>
            </w:pPr>
          </w:p>
        </w:tc>
        <w:tc>
          <w:tcPr>
            <w:tcW w:w="1190" w:type="dxa"/>
          </w:tcPr>
          <w:p w:rsidRPr="005D7E20" w:rsidR="00A27E66" w:rsidP="000F6B66" w:rsidRDefault="00A27E66" w14:paraId="79E75068" w14:textId="77777777">
            <w:pPr>
              <w:rPr>
                <w:sz w:val="24"/>
                <w:szCs w:val="24"/>
              </w:rPr>
            </w:pPr>
          </w:p>
        </w:tc>
        <w:tc>
          <w:tcPr>
            <w:tcW w:w="5830" w:type="dxa"/>
          </w:tcPr>
          <w:p w:rsidRPr="005D7E20" w:rsidR="00A27E66" w:rsidP="000F6B66" w:rsidRDefault="00A27E66" w14:paraId="3A048F6E" w14:textId="77777777">
            <w:pPr>
              <w:rPr>
                <w:sz w:val="24"/>
                <w:szCs w:val="24"/>
              </w:rPr>
            </w:pPr>
            <w:r w:rsidRPr="005D7E20">
              <w:rPr>
                <w:sz w:val="24"/>
                <w:szCs w:val="24"/>
              </w:rPr>
              <w:t xml:space="preserve">*The following documents are to be scanned and uploaded in the EWEG Application, as PDF files, prior to submission.  </w:t>
            </w:r>
          </w:p>
        </w:tc>
        <w:tc>
          <w:tcPr>
            <w:tcW w:w="1620" w:type="dxa"/>
          </w:tcPr>
          <w:p w:rsidRPr="005D7E20" w:rsidR="00A27E66" w:rsidP="000F6B66" w:rsidRDefault="00A27E66" w14:paraId="5BFF4D4B" w14:textId="77777777">
            <w:pPr>
              <w:rPr>
                <w:sz w:val="24"/>
                <w:szCs w:val="24"/>
              </w:rPr>
            </w:pPr>
          </w:p>
        </w:tc>
      </w:tr>
      <w:tr w:rsidRPr="005D7E20" w:rsidR="00A27E66" w:rsidTr="000F6B66" w14:paraId="1D920DBD" w14:textId="77777777">
        <w:trPr>
          <w:tblHeader/>
        </w:trPr>
        <w:tc>
          <w:tcPr>
            <w:tcW w:w="1165" w:type="dxa"/>
          </w:tcPr>
          <w:p w:rsidRPr="005D7E20" w:rsidR="00A27E66" w:rsidP="000F6B66" w:rsidRDefault="00A27E66" w14:paraId="3477E046" w14:textId="77777777">
            <w:pPr>
              <w:rPr>
                <w:sz w:val="24"/>
                <w:szCs w:val="24"/>
              </w:rPr>
            </w:pPr>
            <w:r w:rsidRPr="005D7E20">
              <w:rPr>
                <w:rFonts w:eastAsia="Wingdings"/>
                <w:sz w:val="24"/>
                <w:szCs w:val="24"/>
              </w:rPr>
              <w:t></w:t>
            </w:r>
          </w:p>
        </w:tc>
        <w:tc>
          <w:tcPr>
            <w:tcW w:w="1190" w:type="dxa"/>
          </w:tcPr>
          <w:p w:rsidRPr="005D7E20" w:rsidR="00A27E66" w:rsidP="000F6B66" w:rsidRDefault="00A27E66" w14:paraId="75E39BD8" w14:textId="77777777">
            <w:pPr>
              <w:rPr>
                <w:sz w:val="24"/>
                <w:szCs w:val="24"/>
              </w:rPr>
            </w:pPr>
            <w:r w:rsidRPr="005D7E20">
              <w:rPr>
                <w:sz w:val="24"/>
                <w:szCs w:val="24"/>
              </w:rPr>
              <w:t>UPLOAD and EMAIL</w:t>
            </w:r>
          </w:p>
        </w:tc>
        <w:tc>
          <w:tcPr>
            <w:tcW w:w="5830" w:type="dxa"/>
          </w:tcPr>
          <w:p w:rsidRPr="005D7E20" w:rsidR="00A27E66" w:rsidP="000F6B66" w:rsidRDefault="00A27E66" w14:paraId="37DE9313" w14:textId="61E7574E">
            <w:pPr>
              <w:rPr>
                <w:sz w:val="24"/>
                <w:szCs w:val="24"/>
              </w:rPr>
            </w:pPr>
            <w:r w:rsidRPr="005D7E20">
              <w:rPr>
                <w:sz w:val="24"/>
                <w:szCs w:val="24"/>
              </w:rPr>
              <w:t>Audit Information Form (Appendix 1) and Agency Schedule of Expenditures</w:t>
            </w:r>
          </w:p>
        </w:tc>
        <w:tc>
          <w:tcPr>
            <w:tcW w:w="1620" w:type="dxa"/>
          </w:tcPr>
          <w:p w:rsidRPr="005D7E20" w:rsidR="00A27E66" w:rsidP="000F6B66" w:rsidRDefault="00A27E66" w14:paraId="70BCFF10" w14:textId="77777777">
            <w:pPr>
              <w:rPr>
                <w:sz w:val="24"/>
                <w:szCs w:val="24"/>
              </w:rPr>
            </w:pPr>
          </w:p>
        </w:tc>
      </w:tr>
      <w:tr w:rsidRPr="005D7E20" w:rsidR="00A27E66" w:rsidTr="000F6B66" w14:paraId="7064F92D" w14:textId="77777777">
        <w:trPr>
          <w:tblHeader/>
        </w:trPr>
        <w:tc>
          <w:tcPr>
            <w:tcW w:w="1165" w:type="dxa"/>
          </w:tcPr>
          <w:p w:rsidRPr="005D7E20" w:rsidR="00A27E66" w:rsidP="000F6B66" w:rsidRDefault="00A27E66" w14:paraId="0725C822" w14:textId="77777777">
            <w:pPr>
              <w:rPr>
                <w:sz w:val="24"/>
                <w:szCs w:val="24"/>
              </w:rPr>
            </w:pPr>
            <w:r w:rsidRPr="005D7E20">
              <w:rPr>
                <w:rFonts w:eastAsia="Wingdings"/>
                <w:sz w:val="24"/>
                <w:szCs w:val="24"/>
              </w:rPr>
              <w:t></w:t>
            </w:r>
          </w:p>
        </w:tc>
        <w:tc>
          <w:tcPr>
            <w:tcW w:w="1190" w:type="dxa"/>
          </w:tcPr>
          <w:p w:rsidRPr="005D7E20" w:rsidR="00A27E66" w:rsidP="000F6B66" w:rsidRDefault="00A27E66" w14:paraId="4F7B63DE" w14:textId="77777777">
            <w:pPr>
              <w:rPr>
                <w:sz w:val="24"/>
                <w:szCs w:val="24"/>
              </w:rPr>
            </w:pPr>
            <w:r w:rsidRPr="005D7E20">
              <w:rPr>
                <w:sz w:val="24"/>
                <w:szCs w:val="24"/>
              </w:rPr>
              <w:t>UPLOAD</w:t>
            </w:r>
          </w:p>
        </w:tc>
        <w:tc>
          <w:tcPr>
            <w:tcW w:w="5830" w:type="dxa"/>
          </w:tcPr>
          <w:p w:rsidRPr="005D7E20" w:rsidR="00A27E66" w:rsidP="000F6B66" w:rsidRDefault="00A27E66" w14:paraId="4BB3193C" w14:textId="77777777">
            <w:pPr>
              <w:rPr>
                <w:sz w:val="24"/>
                <w:szCs w:val="24"/>
              </w:rPr>
            </w:pPr>
            <w:r w:rsidRPr="005D7E20">
              <w:rPr>
                <w:sz w:val="24"/>
                <w:szCs w:val="24"/>
              </w:rPr>
              <w:t xml:space="preserve">State Mandated Goals and Objectives (Appendix 2) </w:t>
            </w:r>
          </w:p>
          <w:p w:rsidRPr="005D7E20" w:rsidR="00A27E66" w:rsidP="000F6B66" w:rsidRDefault="00A27E66" w14:paraId="30DBE79E" w14:textId="77777777">
            <w:pPr>
              <w:rPr>
                <w:sz w:val="24"/>
                <w:szCs w:val="24"/>
              </w:rPr>
            </w:pPr>
          </w:p>
        </w:tc>
        <w:tc>
          <w:tcPr>
            <w:tcW w:w="1620" w:type="dxa"/>
          </w:tcPr>
          <w:p w:rsidRPr="005D7E20" w:rsidR="00A27E66" w:rsidP="000F6B66" w:rsidRDefault="00A27E66" w14:paraId="7F51638C" w14:textId="77777777">
            <w:pPr>
              <w:rPr>
                <w:sz w:val="24"/>
                <w:szCs w:val="24"/>
              </w:rPr>
            </w:pPr>
          </w:p>
        </w:tc>
      </w:tr>
      <w:tr w:rsidRPr="005D7E20" w:rsidR="00A27E66" w:rsidTr="00A27E66" w14:paraId="625F11C1" w14:textId="77777777">
        <w:trPr>
          <w:trHeight w:val="521"/>
          <w:tblHeader/>
        </w:trPr>
        <w:tc>
          <w:tcPr>
            <w:tcW w:w="1165" w:type="dxa"/>
          </w:tcPr>
          <w:p w:rsidRPr="005D7E20" w:rsidR="00A27E66" w:rsidP="000F6B66" w:rsidRDefault="00A27E66" w14:paraId="6CB83559" w14:textId="77777777">
            <w:pPr>
              <w:rPr>
                <w:sz w:val="24"/>
                <w:szCs w:val="24"/>
              </w:rPr>
            </w:pPr>
            <w:r w:rsidRPr="005D7E20">
              <w:rPr>
                <w:rFonts w:eastAsia="Wingdings"/>
                <w:sz w:val="24"/>
                <w:szCs w:val="24"/>
              </w:rPr>
              <w:t></w:t>
            </w:r>
          </w:p>
        </w:tc>
        <w:tc>
          <w:tcPr>
            <w:tcW w:w="1190" w:type="dxa"/>
          </w:tcPr>
          <w:p w:rsidRPr="005D7E20" w:rsidR="00A27E66" w:rsidP="000F6B66" w:rsidRDefault="00A27E66" w14:paraId="71E376DD" w14:textId="77777777">
            <w:pPr>
              <w:rPr>
                <w:sz w:val="24"/>
                <w:szCs w:val="24"/>
              </w:rPr>
            </w:pPr>
            <w:r w:rsidRPr="005D7E20">
              <w:rPr>
                <w:sz w:val="24"/>
                <w:szCs w:val="24"/>
              </w:rPr>
              <w:t>UPLOAD</w:t>
            </w:r>
          </w:p>
        </w:tc>
        <w:tc>
          <w:tcPr>
            <w:tcW w:w="5830" w:type="dxa"/>
          </w:tcPr>
          <w:p w:rsidRPr="005D7E20" w:rsidR="00A27E66" w:rsidP="000F6B66" w:rsidRDefault="00A27E66" w14:paraId="3E53ECE7" w14:textId="0B46E863">
            <w:pPr>
              <w:rPr>
                <w:sz w:val="24"/>
                <w:szCs w:val="24"/>
              </w:rPr>
            </w:pPr>
            <w:r w:rsidRPr="005D7E20">
              <w:rPr>
                <w:sz w:val="24"/>
                <w:szCs w:val="24"/>
              </w:rPr>
              <w:t>Management Plan</w:t>
            </w:r>
          </w:p>
          <w:p w:rsidRPr="005D7E20" w:rsidR="00A27E66" w:rsidP="000F6B66" w:rsidRDefault="00A27E66" w14:paraId="34B4340F" w14:textId="77777777">
            <w:pPr>
              <w:rPr>
                <w:sz w:val="24"/>
                <w:szCs w:val="24"/>
              </w:rPr>
            </w:pPr>
          </w:p>
        </w:tc>
        <w:tc>
          <w:tcPr>
            <w:tcW w:w="1620" w:type="dxa"/>
          </w:tcPr>
          <w:p w:rsidRPr="005D7E20" w:rsidR="00A27E66" w:rsidP="000F6B66" w:rsidRDefault="00A27E66" w14:paraId="003DEAA3" w14:textId="77777777">
            <w:pPr>
              <w:rPr>
                <w:sz w:val="24"/>
                <w:szCs w:val="24"/>
              </w:rPr>
            </w:pPr>
          </w:p>
        </w:tc>
      </w:tr>
      <w:tr w:rsidRPr="005D7E20" w:rsidR="00A27E66" w:rsidTr="000F6B66" w14:paraId="78DE6FAC" w14:textId="77777777">
        <w:trPr>
          <w:tblHeader/>
        </w:trPr>
        <w:tc>
          <w:tcPr>
            <w:tcW w:w="1165" w:type="dxa"/>
          </w:tcPr>
          <w:p w:rsidRPr="005D7E20" w:rsidR="00A27E66" w:rsidP="000F6B66" w:rsidRDefault="00A27E66" w14:paraId="74390F33" w14:textId="77777777">
            <w:pPr>
              <w:rPr>
                <w:sz w:val="24"/>
                <w:szCs w:val="24"/>
              </w:rPr>
            </w:pPr>
            <w:r w:rsidRPr="005D7E20">
              <w:rPr>
                <w:rFonts w:eastAsia="Wingdings"/>
                <w:sz w:val="24"/>
                <w:szCs w:val="24"/>
              </w:rPr>
              <w:t></w:t>
            </w:r>
          </w:p>
        </w:tc>
        <w:tc>
          <w:tcPr>
            <w:tcW w:w="1190" w:type="dxa"/>
          </w:tcPr>
          <w:p w:rsidRPr="005D7E20" w:rsidR="00A27E66" w:rsidP="000F6B66" w:rsidRDefault="00A27E66" w14:paraId="4C0909F1" w14:textId="77777777">
            <w:pPr>
              <w:rPr>
                <w:sz w:val="24"/>
                <w:szCs w:val="24"/>
              </w:rPr>
            </w:pPr>
            <w:r w:rsidRPr="005D7E20">
              <w:rPr>
                <w:sz w:val="24"/>
                <w:szCs w:val="24"/>
              </w:rPr>
              <w:t>UPLOAD</w:t>
            </w:r>
          </w:p>
        </w:tc>
        <w:tc>
          <w:tcPr>
            <w:tcW w:w="5830" w:type="dxa"/>
          </w:tcPr>
          <w:p w:rsidRPr="005D7E20" w:rsidR="00A27E66" w:rsidP="000F6B66" w:rsidRDefault="00A27E66" w14:paraId="11CF4A7B" w14:textId="77777777">
            <w:pPr>
              <w:rPr>
                <w:sz w:val="24"/>
                <w:szCs w:val="24"/>
              </w:rPr>
            </w:pPr>
            <w:r w:rsidRPr="005D7E20">
              <w:rPr>
                <w:sz w:val="24"/>
                <w:szCs w:val="24"/>
              </w:rPr>
              <w:t xml:space="preserve">Copy of grantee’s federally negotiated indirect cost rate OR a signed statement requesting the use of a de minimis indirect cost rate subject to the conditions set forth in the NGO. </w:t>
            </w:r>
          </w:p>
          <w:p w:rsidRPr="005D7E20" w:rsidR="00A27E66" w:rsidP="000F6B66" w:rsidRDefault="00A27E66" w14:paraId="586901AF" w14:textId="77777777">
            <w:pPr>
              <w:rPr>
                <w:sz w:val="24"/>
                <w:szCs w:val="24"/>
              </w:rPr>
            </w:pPr>
          </w:p>
        </w:tc>
        <w:tc>
          <w:tcPr>
            <w:tcW w:w="1620" w:type="dxa"/>
          </w:tcPr>
          <w:p w:rsidRPr="005D7E20" w:rsidR="00A27E66" w:rsidP="000F6B66" w:rsidRDefault="00A27E66" w14:paraId="4F728ED5" w14:textId="77777777">
            <w:pPr>
              <w:rPr>
                <w:sz w:val="24"/>
                <w:szCs w:val="24"/>
              </w:rPr>
            </w:pPr>
          </w:p>
        </w:tc>
      </w:tr>
      <w:tr w:rsidRPr="005D7E20" w:rsidR="00A27E66" w:rsidTr="000F6B66" w14:paraId="6F81323F" w14:textId="77777777">
        <w:trPr>
          <w:tblHeader/>
        </w:trPr>
        <w:tc>
          <w:tcPr>
            <w:tcW w:w="1165" w:type="dxa"/>
          </w:tcPr>
          <w:p w:rsidRPr="005D7E20" w:rsidR="00A27E66" w:rsidP="000F6B66" w:rsidRDefault="00A27E66" w14:paraId="086F01B7" w14:textId="77777777">
            <w:pPr>
              <w:rPr>
                <w:sz w:val="24"/>
                <w:szCs w:val="24"/>
              </w:rPr>
            </w:pPr>
            <w:r w:rsidRPr="005D7E20">
              <w:rPr>
                <w:rFonts w:eastAsia="Wingdings"/>
                <w:sz w:val="24"/>
                <w:szCs w:val="24"/>
              </w:rPr>
              <w:t></w:t>
            </w:r>
          </w:p>
        </w:tc>
        <w:tc>
          <w:tcPr>
            <w:tcW w:w="1190" w:type="dxa"/>
          </w:tcPr>
          <w:p w:rsidRPr="005D7E20" w:rsidR="00A27E66" w:rsidP="000F6B66" w:rsidRDefault="00A27E66" w14:paraId="25A17012" w14:textId="77777777">
            <w:pPr>
              <w:rPr>
                <w:sz w:val="24"/>
                <w:szCs w:val="24"/>
              </w:rPr>
            </w:pPr>
            <w:r w:rsidRPr="005D7E20">
              <w:rPr>
                <w:sz w:val="24"/>
                <w:szCs w:val="24"/>
              </w:rPr>
              <w:t>UPLOAD</w:t>
            </w:r>
          </w:p>
        </w:tc>
        <w:tc>
          <w:tcPr>
            <w:tcW w:w="5830" w:type="dxa"/>
          </w:tcPr>
          <w:p w:rsidRPr="005D7E20" w:rsidR="00A27E66" w:rsidP="000F6B66" w:rsidRDefault="00A27E66" w14:paraId="3D552AEC" w14:textId="61002601">
            <w:pPr>
              <w:rPr>
                <w:rFonts w:eastAsia="Calibri"/>
                <w:sz w:val="24"/>
                <w:szCs w:val="24"/>
              </w:rPr>
            </w:pPr>
            <w:r w:rsidRPr="005D7E20">
              <w:rPr>
                <w:rFonts w:eastAsia="Calibri"/>
                <w:sz w:val="24"/>
                <w:szCs w:val="24"/>
              </w:rPr>
              <w:t xml:space="preserve">Entity Overview page from the </w:t>
            </w:r>
            <w:hyperlink w:tooltip="http://www.sam.gov/" w:history="1" r:id="rId28">
              <w:r w:rsidRPr="005D7E20">
                <w:rPr>
                  <w:rFonts w:eastAsia="Calibri"/>
                  <w:color w:val="0000FF"/>
                  <w:sz w:val="24"/>
                  <w:szCs w:val="24"/>
                  <w:u w:val="single"/>
                </w:rPr>
                <w:t>www.sam.gov</w:t>
              </w:r>
            </w:hyperlink>
            <w:r w:rsidRPr="005D7E20">
              <w:rPr>
                <w:rFonts w:eastAsia="Calibri"/>
                <w:sz w:val="24"/>
                <w:szCs w:val="24"/>
                <w:u w:val="single"/>
              </w:rPr>
              <w:t xml:space="preserve"> </w:t>
            </w:r>
            <w:r w:rsidRPr="005D7E20">
              <w:rPr>
                <w:rFonts w:eastAsia="Calibri"/>
                <w:sz w:val="24"/>
                <w:szCs w:val="24"/>
              </w:rPr>
              <w:t xml:space="preserve">website.  (This is the page that shows your agency’s name, address with 4-digit extension zip code, DUNS number, and CCR expiration date, which must be a date that comes after the start date of the grant program) </w:t>
            </w:r>
          </w:p>
          <w:p w:rsidRPr="005D7E20" w:rsidR="00A27E66" w:rsidP="000F6B66" w:rsidRDefault="00A27E66" w14:paraId="075C650C" w14:textId="77777777">
            <w:pPr>
              <w:rPr>
                <w:rFonts w:eastAsia="Calibri"/>
                <w:sz w:val="24"/>
                <w:szCs w:val="24"/>
              </w:rPr>
            </w:pPr>
          </w:p>
        </w:tc>
        <w:tc>
          <w:tcPr>
            <w:tcW w:w="1620" w:type="dxa"/>
          </w:tcPr>
          <w:p w:rsidRPr="005D7E20" w:rsidR="00A27E66" w:rsidP="000F6B66" w:rsidRDefault="00A27E66" w14:paraId="7E9D3182" w14:textId="77777777">
            <w:pPr>
              <w:rPr>
                <w:sz w:val="24"/>
                <w:szCs w:val="24"/>
              </w:rPr>
            </w:pPr>
          </w:p>
        </w:tc>
      </w:tr>
    </w:tbl>
    <w:p w:rsidRPr="005D7E20" w:rsidR="00EC79F7" w:rsidP="00A27E66" w:rsidRDefault="00EC79F7" w14:paraId="23891635" w14:textId="514E83FF">
      <w:pPr>
        <w:pStyle w:val="Heading2"/>
        <w:spacing w:line="360" w:lineRule="auto"/>
        <w:rPr>
          <w:b w:val="0"/>
          <w:sz w:val="24"/>
          <w:szCs w:val="24"/>
        </w:rPr>
      </w:pPr>
      <w:bookmarkStart w:name="_Toc60042627" w:id="44"/>
      <w:r w:rsidRPr="005D7E20">
        <w:rPr>
          <w:b w:val="0"/>
          <w:sz w:val="24"/>
          <w:szCs w:val="24"/>
        </w:rPr>
        <w:lastRenderedPageBreak/>
        <w:t>Appendix 1:</w:t>
      </w:r>
      <w:r w:rsidRPr="005D7E20">
        <w:rPr>
          <w:b w:val="0"/>
          <w:sz w:val="24"/>
          <w:szCs w:val="24"/>
        </w:rPr>
        <w:br/>
      </w:r>
      <w:r w:rsidRPr="005D7E20" w:rsidR="00C95198">
        <w:rPr>
          <w:b w:val="0"/>
          <w:sz w:val="24"/>
          <w:szCs w:val="24"/>
        </w:rPr>
        <w:t>Audit Information</w:t>
      </w:r>
      <w:bookmarkEnd w:id="44"/>
    </w:p>
    <w:p w:rsidRPr="005D7E20" w:rsidR="00C95198" w:rsidP="00C95198" w:rsidRDefault="00C95198" w14:paraId="1881ADDD" w14:textId="738D8D90">
      <w:pPr>
        <w:spacing w:after="120"/>
        <w:jc w:val="center"/>
        <w:rPr>
          <w:bCs/>
          <w:sz w:val="24"/>
          <w:szCs w:val="24"/>
        </w:rPr>
      </w:pPr>
      <w:r w:rsidRPr="005D7E20">
        <w:rPr>
          <w:bCs/>
          <w:sz w:val="24"/>
          <w:szCs w:val="24"/>
        </w:rPr>
        <w:t xml:space="preserve">To be completed by all non-LEA </w:t>
      </w:r>
      <w:r w:rsidRPr="005D7E20" w:rsidR="00742ACE">
        <w:rPr>
          <w:bCs/>
          <w:sz w:val="24"/>
          <w:szCs w:val="24"/>
        </w:rPr>
        <w:t>applicants</w:t>
      </w:r>
    </w:p>
    <w:p w:rsidRPr="005D7E20" w:rsidR="00C95198" w:rsidP="000F6B66" w:rsidRDefault="00C95198" w14:paraId="41F7BFE4" w14:textId="77777777">
      <w:pPr>
        <w:spacing w:after="120"/>
        <w:rPr>
          <w:sz w:val="24"/>
          <w:szCs w:val="24"/>
        </w:rPr>
      </w:pPr>
    </w:p>
    <w:p w:rsidRPr="005D7E20" w:rsidR="00C95198" w:rsidP="00C95198" w:rsidRDefault="00C95198" w14:paraId="2A693C26" w14:textId="45AE7375">
      <w:pPr>
        <w:rPr>
          <w:sz w:val="24"/>
          <w:szCs w:val="24"/>
        </w:rPr>
      </w:pPr>
      <w:r w:rsidRPr="005D7E20">
        <w:rPr>
          <w:sz w:val="24"/>
          <w:szCs w:val="24"/>
        </w:rPr>
        <w:t xml:space="preserve">Audit requirements and the type of audit are solely based on the totals of all state and federal grant expenditures incurred during the recipient’s 12-month fiscal year. The grantee is required to submit a schedule of expenditures and the Auditor System Review (Peer Review). The Peer Review must be within three years of the agency fiscal year. To determine your agency’s audit requirements all non-LEA applicants must submit the following information: </w:t>
      </w:r>
    </w:p>
    <w:p w:rsidRPr="005D7E20" w:rsidR="00C95198" w:rsidP="000F6B66" w:rsidRDefault="00C95198" w14:paraId="70486AF4" w14:textId="6F2787D1">
      <w:pPr>
        <w:rPr>
          <w:sz w:val="24"/>
          <w:szCs w:val="24"/>
        </w:rPr>
      </w:pPr>
      <w:r w:rsidRPr="005D7E20">
        <w:rPr>
          <w:sz w:val="24"/>
          <w:szCs w:val="24"/>
        </w:rPr>
        <w:t>Name of Applicant Agency: _____________________________________________________</w:t>
      </w:r>
    </w:p>
    <w:p w:rsidRPr="005D7E20" w:rsidR="00C95198" w:rsidP="000F6B66" w:rsidRDefault="00C95198" w14:paraId="07EBD0D9" w14:textId="71F56B6F">
      <w:pPr>
        <w:rPr>
          <w:sz w:val="24"/>
          <w:szCs w:val="24"/>
        </w:rPr>
      </w:pPr>
      <w:r w:rsidRPr="005D7E20">
        <w:rPr>
          <w:sz w:val="24"/>
          <w:szCs w:val="24"/>
        </w:rPr>
        <w:t>Agency Federal Tax ID #:</w:t>
      </w:r>
      <w:bookmarkStart w:name="_Hlk173706" w:id="45"/>
      <w:r w:rsidRPr="005D7E20">
        <w:rPr>
          <w:sz w:val="24"/>
          <w:szCs w:val="24"/>
        </w:rPr>
        <w:t xml:space="preserve"> ______________________________________________</w:t>
      </w:r>
      <w:bookmarkEnd w:id="45"/>
    </w:p>
    <w:p w:rsidRPr="005D7E20" w:rsidR="00C95198" w:rsidP="000F6B66" w:rsidRDefault="00C95198" w14:paraId="3401D40D" w14:textId="075C1099">
      <w:pPr>
        <w:rPr>
          <w:sz w:val="24"/>
          <w:szCs w:val="24"/>
        </w:rPr>
      </w:pPr>
      <w:r w:rsidRPr="005D7E20">
        <w:rPr>
          <w:sz w:val="24"/>
          <w:szCs w:val="24"/>
        </w:rPr>
        <w:t>Agency Fiscal Year Ended: ______________________________________________</w:t>
      </w:r>
    </w:p>
    <w:p w:rsidRPr="005D7E20" w:rsidR="00C95198" w:rsidP="000F6B66" w:rsidRDefault="00C95198" w14:paraId="4530BC08" w14:textId="77777777">
      <w:pPr>
        <w:spacing w:line="360" w:lineRule="auto"/>
        <w:rPr>
          <w:sz w:val="24"/>
          <w:szCs w:val="24"/>
          <w:u w:val="single"/>
        </w:rPr>
      </w:pPr>
      <w:r w:rsidRPr="005D7E20">
        <w:rPr>
          <w:sz w:val="24"/>
          <w:szCs w:val="24"/>
        </w:rPr>
        <w:t>Agency Fiscal Contact: _________________________________________________</w:t>
      </w:r>
    </w:p>
    <w:p w:rsidRPr="005D7E20" w:rsidR="00C95198" w:rsidP="000F6B66" w:rsidRDefault="00C95198" w14:paraId="79AA596B" w14:textId="77777777">
      <w:pPr>
        <w:spacing w:line="360" w:lineRule="auto"/>
        <w:rPr>
          <w:sz w:val="24"/>
          <w:szCs w:val="24"/>
        </w:rPr>
      </w:pPr>
      <w:r w:rsidRPr="005D7E20">
        <w:rPr>
          <w:sz w:val="24"/>
          <w:szCs w:val="24"/>
        </w:rPr>
        <w:t>Contact Person Name and Title: ____________________________________________________</w:t>
      </w:r>
    </w:p>
    <w:p w:rsidRPr="005D7E20" w:rsidR="00C95198" w:rsidP="000F6B66" w:rsidRDefault="00C95198" w14:paraId="7213F6ED" w14:textId="68470372">
      <w:pPr>
        <w:spacing w:line="360" w:lineRule="auto"/>
        <w:rPr>
          <w:sz w:val="24"/>
          <w:szCs w:val="24"/>
        </w:rPr>
      </w:pPr>
      <w:r w:rsidRPr="005D7E20">
        <w:rPr>
          <w:sz w:val="24"/>
          <w:szCs w:val="24"/>
        </w:rPr>
        <w:t>Telephone #: ___________________ Email Address: __________________________________</w:t>
      </w:r>
    </w:p>
    <w:p w:rsidRPr="005D7E20" w:rsidR="00C95198" w:rsidP="000F6B66" w:rsidRDefault="00C95198" w14:paraId="02F4E108" w14:textId="77777777">
      <w:pPr>
        <w:spacing w:line="360" w:lineRule="auto"/>
        <w:rPr>
          <w:sz w:val="24"/>
          <w:szCs w:val="24"/>
        </w:rPr>
      </w:pPr>
      <w:r w:rsidRPr="005D7E20">
        <w:rPr>
          <w:sz w:val="24"/>
          <w:szCs w:val="24"/>
        </w:rPr>
        <w:t>Name of Agency Auditing Firm: _________________________________________________</w:t>
      </w:r>
    </w:p>
    <w:p w:rsidRPr="005D7E20" w:rsidR="00C95198" w:rsidP="000F6B66" w:rsidRDefault="00C95198" w14:paraId="076997FF" w14:textId="77777777">
      <w:pPr>
        <w:spacing w:line="360" w:lineRule="auto"/>
        <w:rPr>
          <w:sz w:val="24"/>
          <w:szCs w:val="24"/>
        </w:rPr>
      </w:pPr>
      <w:r w:rsidRPr="005D7E20">
        <w:rPr>
          <w:sz w:val="24"/>
          <w:szCs w:val="24"/>
        </w:rPr>
        <w:t>Contact Person Name and Title: ___________________________________________________</w:t>
      </w:r>
    </w:p>
    <w:p w:rsidRPr="005D7E20" w:rsidR="00C95198" w:rsidP="00C95198" w:rsidRDefault="00C95198" w14:paraId="7BB4666E" w14:textId="5E4716EA">
      <w:pPr>
        <w:spacing w:line="360" w:lineRule="auto"/>
        <w:rPr>
          <w:sz w:val="24"/>
          <w:szCs w:val="24"/>
        </w:rPr>
      </w:pPr>
      <w:r w:rsidRPr="005D7E20">
        <w:rPr>
          <w:sz w:val="24"/>
          <w:szCs w:val="24"/>
        </w:rPr>
        <w:t>Telephone #: ___________________ Email Address: __________________________________</w:t>
      </w:r>
    </w:p>
    <w:p w:rsidRPr="005D7E20" w:rsidR="00C95198" w:rsidP="000F6B66" w:rsidRDefault="00C95198" w14:paraId="52CA7A21" w14:textId="77777777">
      <w:pPr>
        <w:spacing w:line="480" w:lineRule="auto"/>
        <w:rPr>
          <w:sz w:val="24"/>
          <w:szCs w:val="24"/>
        </w:rPr>
      </w:pPr>
      <w:r w:rsidRPr="005D7E20">
        <w:rPr>
          <w:sz w:val="24"/>
          <w:szCs w:val="24"/>
        </w:rPr>
        <w:t xml:space="preserve">Name of CEO or CFO (Print): __________________________________ </w:t>
      </w:r>
    </w:p>
    <w:p w:rsidRPr="005D7E20" w:rsidR="00C95198" w:rsidP="000F6B66" w:rsidRDefault="00C95198" w14:paraId="3CBC1AAE" w14:textId="77777777">
      <w:pPr>
        <w:spacing w:line="480" w:lineRule="auto"/>
        <w:rPr>
          <w:sz w:val="24"/>
          <w:szCs w:val="24"/>
        </w:rPr>
      </w:pPr>
      <w:r w:rsidRPr="005D7E20">
        <w:rPr>
          <w:sz w:val="24"/>
          <w:szCs w:val="24"/>
        </w:rPr>
        <w:t>Signature CEO or CFO: _______________________________________</w:t>
      </w:r>
      <w:r w:rsidRPr="005D7E20">
        <w:rPr>
          <w:sz w:val="24"/>
          <w:szCs w:val="24"/>
        </w:rPr>
        <w:tab/>
      </w:r>
      <w:r w:rsidRPr="005D7E20">
        <w:rPr>
          <w:sz w:val="24"/>
          <w:szCs w:val="24"/>
        </w:rPr>
        <w:t>Date: ___________</w:t>
      </w:r>
    </w:p>
    <w:p w:rsidRPr="005D7E20" w:rsidR="00C95198" w:rsidP="000F6B66" w:rsidRDefault="00C95198" w14:paraId="1758651F" w14:textId="77777777">
      <w:pPr>
        <w:spacing w:line="340" w:lineRule="exact"/>
        <w:rPr>
          <w:sz w:val="24"/>
          <w:szCs w:val="24"/>
        </w:rPr>
      </w:pPr>
    </w:p>
    <w:p w:rsidRPr="005D7E20" w:rsidR="00C95198" w:rsidP="000F6B66" w:rsidRDefault="00C95198" w14:paraId="352C1CEC" w14:textId="77777777">
      <w:pPr>
        <w:spacing w:line="340" w:lineRule="exact"/>
        <w:rPr>
          <w:b/>
          <w:sz w:val="24"/>
          <w:szCs w:val="24"/>
        </w:rPr>
      </w:pPr>
    </w:p>
    <w:p w:rsidRPr="005D7E20" w:rsidR="00C95198" w:rsidP="000F6B66" w:rsidRDefault="00C95198" w14:paraId="785E4839" w14:textId="77777777">
      <w:pPr>
        <w:spacing w:line="340" w:lineRule="exact"/>
        <w:rPr>
          <w:sz w:val="24"/>
          <w:szCs w:val="24"/>
        </w:rPr>
      </w:pPr>
      <w:r w:rsidRPr="005D7E20">
        <w:rPr>
          <w:b/>
          <w:sz w:val="24"/>
          <w:szCs w:val="24"/>
        </w:rPr>
        <w:t xml:space="preserve">Please include this form with your application </w:t>
      </w:r>
      <w:r w:rsidRPr="005D7E20">
        <w:rPr>
          <w:b/>
          <w:sz w:val="24"/>
          <w:szCs w:val="24"/>
          <w:u w:val="single"/>
        </w:rPr>
        <w:t>and</w:t>
      </w:r>
      <w:r w:rsidRPr="005D7E20">
        <w:rPr>
          <w:b/>
          <w:sz w:val="24"/>
          <w:szCs w:val="24"/>
        </w:rPr>
        <w:t xml:space="preserve"> send via email to Haydee Perez-Livingston at </w:t>
      </w:r>
      <w:hyperlink w:history="1" r:id="rId29">
        <w:r w:rsidRPr="005D7E20">
          <w:rPr>
            <w:b/>
            <w:color w:val="0563C1" w:themeColor="hyperlink"/>
            <w:sz w:val="24"/>
            <w:szCs w:val="24"/>
            <w:u w:val="single"/>
          </w:rPr>
          <w:t>haydee.perez@doe.nj.gov</w:t>
        </w:r>
      </w:hyperlink>
      <w:r w:rsidRPr="005D7E20">
        <w:rPr>
          <w:b/>
          <w:sz w:val="24"/>
          <w:szCs w:val="24"/>
        </w:rPr>
        <w:t xml:space="preserve"> </w:t>
      </w:r>
    </w:p>
    <w:p w:rsidRPr="005D7E20" w:rsidR="00C95198" w:rsidP="00C95198" w:rsidRDefault="00C95198" w14:paraId="54059F47" w14:textId="41EABB4B">
      <w:pPr>
        <w:spacing w:line="340" w:lineRule="exact"/>
        <w:rPr>
          <w:sz w:val="24"/>
          <w:szCs w:val="24"/>
        </w:rPr>
        <w:sectPr w:rsidRPr="005D7E20" w:rsidR="00C95198" w:rsidSect="000F6B66">
          <w:headerReference w:type="default" r:id="rId30"/>
          <w:pgSz w:w="12240" w:h="15840" w:orient="portrait"/>
          <w:pgMar w:top="1440" w:right="1080" w:bottom="1440" w:left="1080" w:header="720" w:footer="720" w:gutter="0"/>
          <w:cols w:space="720"/>
          <w:docGrid w:linePitch="360"/>
        </w:sectPr>
      </w:pPr>
    </w:p>
    <w:p w:rsidRPr="005D7E20" w:rsidR="00EC79F7" w:rsidP="00A27E66" w:rsidRDefault="00EC79F7" w14:paraId="07F10F5D" w14:textId="6CA37EF6">
      <w:pPr>
        <w:pStyle w:val="Heading2"/>
        <w:spacing w:after="0" w:line="360" w:lineRule="auto"/>
        <w:rPr>
          <w:b w:val="0"/>
          <w:sz w:val="24"/>
          <w:szCs w:val="24"/>
        </w:rPr>
      </w:pPr>
      <w:bookmarkStart w:name="_Hlk59117856" w:id="46"/>
      <w:bookmarkStart w:name="_Toc60042628" w:id="47"/>
      <w:bookmarkStart w:name="_Hlk59117892" w:id="48"/>
      <w:r w:rsidRPr="005D7E20">
        <w:rPr>
          <w:b w:val="0"/>
          <w:sz w:val="24"/>
          <w:szCs w:val="24"/>
        </w:rPr>
        <w:lastRenderedPageBreak/>
        <w:t xml:space="preserve">Appendix </w:t>
      </w:r>
      <w:r w:rsidRPr="005D7E20" w:rsidR="00C95198">
        <w:rPr>
          <w:b w:val="0"/>
          <w:sz w:val="24"/>
          <w:szCs w:val="24"/>
        </w:rPr>
        <w:t>2</w:t>
      </w:r>
      <w:r w:rsidRPr="005D7E20">
        <w:rPr>
          <w:b w:val="0"/>
          <w:sz w:val="24"/>
          <w:szCs w:val="24"/>
        </w:rPr>
        <w:t>:</w:t>
      </w:r>
      <w:r w:rsidRPr="005D7E20">
        <w:rPr>
          <w:b w:val="0"/>
          <w:sz w:val="24"/>
          <w:szCs w:val="24"/>
        </w:rPr>
        <w:br/>
      </w:r>
      <w:bookmarkEnd w:id="46"/>
      <w:bookmarkEnd w:id="47"/>
      <w:r w:rsidRPr="005D7E20" w:rsidR="00C95198">
        <w:rPr>
          <w:b w:val="0"/>
          <w:sz w:val="24"/>
          <w:szCs w:val="24"/>
        </w:rPr>
        <w:t>State Mandated Goals and Objectives</w:t>
      </w:r>
    </w:p>
    <w:p w:rsidRPr="005D7E20" w:rsidR="00C95198" w:rsidP="00C95198" w:rsidRDefault="00C95198" w14:paraId="1CD44D4C" w14:textId="20701DEE">
      <w:pPr>
        <w:rPr>
          <w:sz w:val="24"/>
          <w:szCs w:val="24"/>
        </w:rPr>
      </w:pPr>
      <w:bookmarkStart w:name="_Hlk59118007" w:id="49"/>
      <w:bookmarkStart w:name="_Toc60042629" w:id="50"/>
      <w:bookmarkEnd w:id="48"/>
      <w:r w:rsidRPr="005D7E20">
        <w:rPr>
          <w:sz w:val="24"/>
          <w:szCs w:val="24"/>
        </w:rPr>
        <w:t xml:space="preserve">Instructions: The </w:t>
      </w:r>
      <w:r w:rsidRPr="005D7E20" w:rsidR="000B4A50">
        <w:rPr>
          <w:sz w:val="24"/>
          <w:szCs w:val="24"/>
        </w:rPr>
        <w:t>applicant</w:t>
      </w:r>
      <w:r w:rsidRPr="005D7E20">
        <w:rPr>
          <w:sz w:val="24"/>
          <w:szCs w:val="24"/>
        </w:rPr>
        <w:t xml:space="preserve"> is required to adopt the state-mandated goals. Additionally, the </w:t>
      </w:r>
      <w:r w:rsidRPr="005D7E20" w:rsidR="000B4A50">
        <w:rPr>
          <w:sz w:val="24"/>
          <w:szCs w:val="24"/>
        </w:rPr>
        <w:t>applicant</w:t>
      </w:r>
      <w:r w:rsidRPr="005D7E20">
        <w:rPr>
          <w:sz w:val="24"/>
          <w:szCs w:val="24"/>
        </w:rPr>
        <w:t xml:space="preserve"> must create objectives and p</w:t>
      </w:r>
      <w:r w:rsidRPr="005D7E20">
        <w:rPr>
          <w:iCs/>
          <w:sz w:val="24"/>
          <w:szCs w:val="24"/>
        </w:rPr>
        <w:t xml:space="preserve">erformance indicators for each objective. Performance indicators are quantifiable performance measurements used to define success factors and measure progress toward the achievement of your program’s goal and are directly correlated to the implementation activities created in the Project Activity Plan. </w:t>
      </w:r>
      <w:r w:rsidRPr="005D7E20">
        <w:rPr>
          <w:sz w:val="24"/>
          <w:szCs w:val="24"/>
        </w:rPr>
        <w:t>When numbering the objectives and indicators below, please follow the following format:  Objective 1.1, Indicator 1.1a; Indicator: 1.1b; Objective 1.2, Indicator 1.2a; Indicator 1.2b, etc. The grantee is required to upload this completed document into EWEG.</w:t>
      </w:r>
    </w:p>
    <w:p w:rsidRPr="005D7E20" w:rsidR="00C95198" w:rsidP="00C95198" w:rsidRDefault="00C95198" w14:paraId="59E360BB" w14:textId="21624F53">
      <w:pPr>
        <w:rPr>
          <w:sz w:val="24"/>
          <w:szCs w:val="24"/>
        </w:rPr>
      </w:pPr>
      <w:r w:rsidRPr="005D7E20">
        <w:rPr>
          <w:sz w:val="24"/>
          <w:szCs w:val="24"/>
        </w:rPr>
        <w:t xml:space="preserve">Please use the following goals: </w:t>
      </w:r>
    </w:p>
    <w:p w:rsidRPr="005D7E20" w:rsidR="00C95198" w:rsidP="00C95198" w:rsidRDefault="00C95198" w14:paraId="1CEE104F" w14:textId="5389DF52">
      <w:pPr>
        <w:rPr>
          <w:sz w:val="24"/>
          <w:szCs w:val="24"/>
        </w:rPr>
      </w:pPr>
      <w:r w:rsidRPr="005D7E20">
        <w:rPr>
          <w:sz w:val="24"/>
          <w:szCs w:val="24"/>
        </w:rPr>
        <w:t>Goal 1:  To support NJDOE in increasing the capacity of grantee program staff.</w:t>
      </w:r>
    </w:p>
    <w:p w:rsidRPr="005D7E20" w:rsidR="00C95198" w:rsidP="00C95198" w:rsidRDefault="00C95198" w14:paraId="02CF3B06" w14:textId="0F45078F">
      <w:pPr>
        <w:rPr>
          <w:sz w:val="24"/>
          <w:szCs w:val="24"/>
        </w:rPr>
      </w:pPr>
      <w:r w:rsidRPr="005D7E20">
        <w:rPr>
          <w:sz w:val="24"/>
          <w:szCs w:val="24"/>
        </w:rPr>
        <w:t>Goal 2: To support</w:t>
      </w:r>
      <w:r w:rsidRPr="005D7E20" w:rsidR="00BF1977">
        <w:rPr>
          <w:sz w:val="24"/>
          <w:szCs w:val="24"/>
        </w:rPr>
        <w:t xml:space="preserve"> 21</w:t>
      </w:r>
      <w:r w:rsidRPr="005D7E20" w:rsidR="00BF1977">
        <w:rPr>
          <w:sz w:val="24"/>
          <w:szCs w:val="24"/>
          <w:vertAlign w:val="superscript"/>
        </w:rPr>
        <w:t>st</w:t>
      </w:r>
      <w:r w:rsidRPr="005D7E20" w:rsidR="00BF1977">
        <w:rPr>
          <w:sz w:val="24"/>
          <w:szCs w:val="24"/>
        </w:rPr>
        <w:t xml:space="preserve"> CCLC</w:t>
      </w:r>
      <w:r w:rsidRPr="005D7E20">
        <w:rPr>
          <w:sz w:val="24"/>
          <w:szCs w:val="24"/>
        </w:rPr>
        <w:t xml:space="preserve"> grantees in enhancing and improving competences in youth outcomes and academic and social skill development. </w:t>
      </w:r>
    </w:p>
    <w:p w:rsidRPr="005D7E20" w:rsidR="00C95198" w:rsidP="00C95198" w:rsidRDefault="00C95198" w14:paraId="2B19B1D4" w14:textId="06BBC5E4">
      <w:pPr>
        <w:rPr>
          <w:sz w:val="24"/>
          <w:szCs w:val="24"/>
        </w:rPr>
      </w:pPr>
      <w:r w:rsidRPr="005D7E20">
        <w:rPr>
          <w:sz w:val="24"/>
          <w:szCs w:val="24"/>
        </w:rPr>
        <w:t>Goal 3: To provide networking opportunities for out-of-school time program providers throughout New Jersey.</w:t>
      </w:r>
    </w:p>
    <w:p w:rsidRPr="005D7E20" w:rsidR="00C95198" w:rsidP="00C95198" w:rsidRDefault="00C95198" w14:paraId="13C7E530" w14:textId="77777777">
      <w:pPr>
        <w:rPr>
          <w:sz w:val="24"/>
          <w:szCs w:val="24"/>
        </w:rPr>
      </w:pPr>
      <w:r w:rsidRPr="005D7E20">
        <w:rPr>
          <w:sz w:val="24"/>
          <w:szCs w:val="24"/>
        </w:rPr>
        <w:t xml:space="preserve">Goal 4: To provide targeted technical assistance based on state-level data. </w:t>
      </w:r>
    </w:p>
    <w:p w:rsidRPr="005D7E20" w:rsidR="00DD3DD2" w:rsidP="00C95198" w:rsidRDefault="00C95198" w14:paraId="1BBDFFA6" w14:textId="365F8936">
      <w:pPr>
        <w:pStyle w:val="Heading2"/>
        <w:spacing w:after="0" w:line="360" w:lineRule="auto"/>
        <w:rPr>
          <w:b w:val="0"/>
          <w:sz w:val="24"/>
          <w:szCs w:val="24"/>
        </w:rPr>
      </w:pPr>
      <w:r w:rsidRPr="005D7E20">
        <w:rPr>
          <w:sz w:val="24"/>
          <w:szCs w:val="24"/>
        </w:rPr>
        <w:br w:type="page"/>
      </w:r>
      <w:r w:rsidRPr="005D7E20" w:rsidR="00DD3DD2">
        <w:rPr>
          <w:b w:val="0"/>
          <w:sz w:val="24"/>
          <w:szCs w:val="24"/>
        </w:rPr>
        <w:lastRenderedPageBreak/>
        <w:t xml:space="preserve">Appendix </w:t>
      </w:r>
      <w:r w:rsidRPr="005D7E20" w:rsidR="00031835">
        <w:rPr>
          <w:b w:val="0"/>
          <w:sz w:val="24"/>
          <w:szCs w:val="24"/>
        </w:rPr>
        <w:t>3</w:t>
      </w:r>
      <w:r w:rsidRPr="005D7E20" w:rsidR="00DD3DD2">
        <w:rPr>
          <w:b w:val="0"/>
          <w:sz w:val="24"/>
          <w:szCs w:val="24"/>
        </w:rPr>
        <w:t>:</w:t>
      </w:r>
      <w:r w:rsidRPr="005D7E20" w:rsidR="00DD3DD2">
        <w:rPr>
          <w:b w:val="0"/>
          <w:sz w:val="24"/>
          <w:szCs w:val="24"/>
        </w:rPr>
        <w:br/>
      </w:r>
      <w:bookmarkEnd w:id="49"/>
      <w:bookmarkEnd w:id="50"/>
      <w:r w:rsidRPr="005D7E20" w:rsidR="00031835">
        <w:rPr>
          <w:b w:val="0"/>
          <w:sz w:val="24"/>
          <w:szCs w:val="24"/>
        </w:rPr>
        <w:t>Budget Development Instructions</w:t>
      </w:r>
    </w:p>
    <w:p w:rsidRPr="005D7E20" w:rsidR="00031835" w:rsidP="00031835" w:rsidRDefault="00991404" w14:paraId="6A9E7701" w14:textId="0FAB312E">
      <w:pPr>
        <w:jc w:val="center"/>
        <w:rPr>
          <w:sz w:val="24"/>
          <w:szCs w:val="24"/>
        </w:rPr>
      </w:pPr>
      <w:r w:rsidRPr="005D7E20">
        <w:rPr>
          <w:sz w:val="24"/>
          <w:szCs w:val="24"/>
        </w:rPr>
        <w:t>P</w:t>
      </w:r>
      <w:r w:rsidRPr="005D7E20" w:rsidR="00031835">
        <w:rPr>
          <w:sz w:val="24"/>
          <w:szCs w:val="24"/>
        </w:rPr>
        <w:t>lease follow instructions below:</w:t>
      </w:r>
    </w:p>
    <w:p w:rsidRPr="005D7E20" w:rsidR="00031835" w:rsidP="00031835" w:rsidRDefault="00031835" w14:paraId="5C41B279" w14:textId="37EB44EC">
      <w:pPr>
        <w:pStyle w:val="ListParagraph"/>
        <w:numPr>
          <w:ilvl w:val="0"/>
          <w:numId w:val="4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In EWEG under the Salary tabs and in the Title of Position box, be sure to list the other benefits by type and percentage amount for positions that have other benefits such that the total of the individual other benefit percentage amounts </w:t>
      </w:r>
      <w:proofErr w:type="gramStart"/>
      <w:r w:rsidRPr="005D7E20">
        <w:rPr>
          <w:sz w:val="24"/>
          <w:szCs w:val="24"/>
        </w:rPr>
        <w:t>equal</w:t>
      </w:r>
      <w:proofErr w:type="gramEnd"/>
      <w:r w:rsidRPr="005D7E20">
        <w:rPr>
          <w:sz w:val="24"/>
          <w:szCs w:val="24"/>
        </w:rPr>
        <w:t xml:space="preserve"> the percentage amount shown in the Other Benefits box. </w:t>
      </w:r>
    </w:p>
    <w:p w:rsidRPr="005D7E20" w:rsidR="00031835" w:rsidP="00031835" w:rsidRDefault="00031835" w14:paraId="57BFDB03" w14:textId="77777777">
      <w:pPr>
        <w:pStyle w:val="ListParagraph"/>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p>
    <w:p w:rsidRPr="005D7E20" w:rsidR="00031835" w:rsidP="00031835" w:rsidRDefault="00031835" w14:paraId="4D87CAF4" w14:textId="4E589575">
      <w:pPr>
        <w:pStyle w:val="ListParagraph"/>
        <w:numPr>
          <w:ilvl w:val="0"/>
          <w:numId w:val="4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For budget entries that represent administrative costs, be sure to check “Administrative” in the Cost section of that budget entry. </w:t>
      </w:r>
    </w:p>
    <w:p w:rsidRPr="005D7E20" w:rsidR="00031835" w:rsidP="00031835" w:rsidRDefault="00031835" w14:paraId="376A92A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p>
    <w:p w:rsidRPr="005D7E20" w:rsidR="00031835" w:rsidP="00031835" w:rsidRDefault="00031835" w14:paraId="268BA7FF" w14:textId="131A5309">
      <w:pPr>
        <w:pStyle w:val="ListParagraph"/>
        <w:numPr>
          <w:ilvl w:val="0"/>
          <w:numId w:val="4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rsidRPr="005D7E20" w:rsidR="00031835" w:rsidP="00031835" w:rsidRDefault="00031835" w14:paraId="73F04713"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p>
    <w:p w:rsidRPr="005D7E20" w:rsidR="00031835" w:rsidP="00031835" w:rsidRDefault="00031835" w14:paraId="06031FC2" w14:textId="739A7EC0">
      <w:pPr>
        <w:pStyle w:val="ListParagraph"/>
        <w:numPr>
          <w:ilvl w:val="0"/>
          <w:numId w:val="4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Be sure to explain what the amounts in the ‘How Many’ and ‘Cost per Unit’ boxes represent for the Supply, Equipment, and Other tabs budget entries. If the amounts in those boxes represent a calculation, describe that calculation in the Description box. </w:t>
      </w:r>
    </w:p>
    <w:p w:rsidRPr="005D7E20" w:rsidR="00031835" w:rsidP="00031835" w:rsidRDefault="00031835" w14:paraId="08FD8716"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p>
    <w:p w:rsidRPr="005D7E20" w:rsidR="00031835" w:rsidP="00031835" w:rsidRDefault="00031835" w14:paraId="273E7739" w14:textId="6380883B">
      <w:pPr>
        <w:pStyle w:val="ListParagraph"/>
        <w:numPr>
          <w:ilvl w:val="0"/>
          <w:numId w:val="4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Be sure the Description boxes also describe the cost of the item, the need for the item, and the item’s relation to the grant program.</w:t>
      </w:r>
    </w:p>
    <w:p w:rsidRPr="005D7E20" w:rsidR="00031835" w:rsidP="00031835" w:rsidRDefault="00031835" w14:paraId="54F71E7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p>
    <w:p w:rsidRPr="005D7E20" w:rsidR="00031835" w:rsidP="00031835" w:rsidRDefault="00031835" w14:paraId="4E3F625B" w14:textId="77777777">
      <w:pPr>
        <w:pStyle w:val="ListParagraph"/>
        <w:numPr>
          <w:ilvl w:val="0"/>
          <w:numId w:val="4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to each traveler. For airport shuttles show the cost for up to four shuttles per person (home base to airport, airport to hotel, hotel to airport, airport back to home base).  Insert this statement: “gsa.gov rates will be used at the time of travel” for all conference travel costs. Be sure to itemize the cost per person as follows:  </w:t>
      </w:r>
    </w:p>
    <w:p w:rsidRPr="005D7E20" w:rsidR="00031835" w:rsidP="00031835" w:rsidRDefault="00031835" w14:paraId="70AD1D6A" w14:textId="77777777">
      <w:pPr>
        <w:pStyle w:val="ListParagraph"/>
        <w:numPr>
          <w:ilvl w:val="0"/>
          <w:numId w:val="49"/>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meals = cost per day times the number of days, </w:t>
      </w:r>
    </w:p>
    <w:p w:rsidRPr="005D7E20" w:rsidR="00031835" w:rsidP="00031835" w:rsidRDefault="00031835" w14:paraId="3C4E5BFA" w14:textId="77777777">
      <w:pPr>
        <w:pStyle w:val="ListParagraph"/>
        <w:numPr>
          <w:ilvl w:val="0"/>
          <w:numId w:val="49"/>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round-trip coach air or rail fare = per person times the number of grant staff, and </w:t>
      </w:r>
    </w:p>
    <w:p w:rsidRPr="005D7E20" w:rsidR="00031835" w:rsidP="00031835" w:rsidRDefault="00031835" w14:paraId="252B5206" w14:textId="77777777">
      <w:pPr>
        <w:pStyle w:val="ListParagraph"/>
        <w:numPr>
          <w:ilvl w:val="0"/>
          <w:numId w:val="49"/>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lodging = per room per night basis times the number of rooms times the number nights.  </w:t>
      </w:r>
    </w:p>
    <w:p w:rsidRPr="005D7E20" w:rsidR="00031835" w:rsidP="00031835" w:rsidRDefault="00031835" w14:paraId="09F67F9B" w14:textId="77777777">
      <w:pPr>
        <w:pStyle w:val="ListParagraph"/>
        <w:numPr>
          <w:ilvl w:val="0"/>
          <w:numId w:val="49"/>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rPr>
          <w:sz w:val="24"/>
          <w:szCs w:val="24"/>
        </w:rPr>
      </w:pPr>
      <w:r w:rsidRPr="005D7E20">
        <w:rPr>
          <w:sz w:val="24"/>
          <w:szCs w:val="24"/>
        </w:rPr>
        <w:t xml:space="preserve">Note that car rental at a conference is generally not allowed.  </w:t>
      </w:r>
    </w:p>
    <w:p w:rsidRPr="005D7E20" w:rsidR="00731648" w:rsidP="00031835" w:rsidRDefault="00031835" w14:paraId="6AEE4C9C" w14:textId="508A2577">
      <w:pPr>
        <w:rPr>
          <w:sz w:val="24"/>
          <w:szCs w:val="24"/>
        </w:rPr>
      </w:pPr>
      <w:r w:rsidRPr="005D7E20">
        <w:rPr>
          <w:sz w:val="24"/>
          <w:szCs w:val="24"/>
        </w:rPr>
        <w:br w:type="page"/>
      </w:r>
    </w:p>
    <w:p w:rsidRPr="005D7E20" w:rsidR="00375602" w:rsidP="00E9300A" w:rsidRDefault="00375602" w14:paraId="08B74222" w14:textId="317756C0">
      <w:pPr>
        <w:spacing w:after="0" w:line="240" w:lineRule="auto"/>
        <w:rPr>
          <w:rFonts w:eastAsia="SimSun"/>
          <w:b/>
          <w:color w:val="1F4E79" w:themeColor="accent1" w:themeShade="80"/>
          <w:sz w:val="24"/>
          <w:szCs w:val="24"/>
        </w:rPr>
      </w:pPr>
      <w:bookmarkStart w:name="_Toc60042630" w:id="51"/>
    </w:p>
    <w:p w:rsidRPr="005D7E20" w:rsidR="00CB2977" w:rsidP="00A27E66" w:rsidRDefault="00CB2977" w14:paraId="3C8B7061" w14:textId="5732B60A">
      <w:pPr>
        <w:pStyle w:val="Heading2"/>
        <w:spacing w:after="0" w:line="360" w:lineRule="auto"/>
        <w:rPr>
          <w:b w:val="0"/>
          <w:sz w:val="24"/>
          <w:szCs w:val="24"/>
        </w:rPr>
      </w:pPr>
      <w:bookmarkStart w:name="_Toc60042634" w:id="52"/>
      <w:bookmarkEnd w:id="51"/>
      <w:r w:rsidRPr="005D7E20">
        <w:rPr>
          <w:b w:val="0"/>
          <w:sz w:val="24"/>
          <w:szCs w:val="24"/>
        </w:rPr>
        <w:t>Appendix</w:t>
      </w:r>
      <w:r w:rsidRPr="005D7E20" w:rsidR="006B5C8D">
        <w:rPr>
          <w:b w:val="0"/>
          <w:sz w:val="24"/>
          <w:szCs w:val="24"/>
        </w:rPr>
        <w:t xml:space="preserve"> </w:t>
      </w:r>
      <w:r w:rsidRPr="005D7E20" w:rsidR="00031835">
        <w:rPr>
          <w:b w:val="0"/>
          <w:sz w:val="24"/>
          <w:szCs w:val="24"/>
        </w:rPr>
        <w:t>4</w:t>
      </w:r>
      <w:r w:rsidRPr="005D7E20">
        <w:rPr>
          <w:b w:val="0"/>
          <w:sz w:val="24"/>
          <w:szCs w:val="24"/>
        </w:rPr>
        <w:t>:</w:t>
      </w:r>
      <w:r w:rsidRPr="005D7E20">
        <w:rPr>
          <w:b w:val="0"/>
          <w:sz w:val="24"/>
          <w:szCs w:val="24"/>
        </w:rPr>
        <w:br/>
      </w:r>
      <w:r w:rsidRPr="005D7E20">
        <w:rPr>
          <w:b w:val="0"/>
          <w:sz w:val="24"/>
          <w:szCs w:val="24"/>
        </w:rPr>
        <w:t>Electronic Web-Enabled Grants System (EWEG) Tips</w:t>
      </w:r>
      <w:bookmarkEnd w:id="52"/>
    </w:p>
    <w:p w:rsidRPr="005D7E20" w:rsidR="00CB2977" w:rsidP="00E9300A" w:rsidRDefault="00CB2977" w14:paraId="24DB28B4" w14:textId="3297F55A">
      <w:pPr>
        <w:ind w:left="-144"/>
        <w:rPr>
          <w:sz w:val="24"/>
          <w:szCs w:val="24"/>
        </w:rPr>
      </w:pPr>
      <w:r w:rsidRPr="005D7E20">
        <w:rPr>
          <w:sz w:val="24"/>
          <w:szCs w:val="24"/>
        </w:rPr>
        <w:t xml:space="preserve">The following are tips for working in the EWEG system. Please take note as these will ease submission of your application. </w:t>
      </w:r>
    </w:p>
    <w:p w:rsidRPr="005D7E20" w:rsidR="00CB2977" w:rsidP="00E9300A" w:rsidRDefault="00CB2977" w14:paraId="723B347D" w14:textId="2DD82653">
      <w:pPr>
        <w:numPr>
          <w:ilvl w:val="0"/>
          <w:numId w:val="9"/>
        </w:numPr>
        <w:tabs>
          <w:tab w:val="clear" w:pos="1080"/>
          <w:tab w:val="num" w:pos="0"/>
        </w:tabs>
        <w:spacing w:after="0" w:line="240" w:lineRule="auto"/>
        <w:ind w:left="720"/>
        <w:rPr>
          <w:sz w:val="24"/>
          <w:szCs w:val="24"/>
        </w:rPr>
      </w:pPr>
      <w:r w:rsidRPr="005D7E20">
        <w:rPr>
          <w:sz w:val="24"/>
          <w:szCs w:val="24"/>
        </w:rPr>
        <w:t>Do not use the “Back” button.  This will cause a system error.</w:t>
      </w:r>
    </w:p>
    <w:p w:rsidRPr="005D7E20" w:rsidR="00CB2977" w:rsidP="00E9300A" w:rsidRDefault="00CB2977" w14:paraId="584310CC" w14:textId="77777777">
      <w:pPr>
        <w:spacing w:after="0" w:line="240" w:lineRule="auto"/>
        <w:ind w:left="720"/>
        <w:rPr>
          <w:sz w:val="24"/>
          <w:szCs w:val="24"/>
        </w:rPr>
      </w:pPr>
    </w:p>
    <w:p w:rsidRPr="005D7E20" w:rsidR="00CB2977" w:rsidP="00E9300A" w:rsidRDefault="00CB2977" w14:paraId="5D292D6F" w14:textId="79FFC56C">
      <w:pPr>
        <w:numPr>
          <w:ilvl w:val="0"/>
          <w:numId w:val="9"/>
        </w:numPr>
        <w:tabs>
          <w:tab w:val="clear" w:pos="1080"/>
          <w:tab w:val="num" w:pos="0"/>
        </w:tabs>
        <w:spacing w:after="0" w:line="240" w:lineRule="auto"/>
        <w:ind w:left="720"/>
        <w:rPr>
          <w:sz w:val="24"/>
          <w:szCs w:val="24"/>
        </w:rPr>
      </w:pPr>
      <w:r w:rsidRPr="005D7E20">
        <w:rPr>
          <w:sz w:val="24"/>
          <w:szCs w:val="24"/>
        </w:rPr>
        <w:t xml:space="preserve">It is always recommended that long narrative sections be typed in either Word or Note </w:t>
      </w:r>
      <w:r w:rsidRPr="005D7E20" w:rsidR="009F0EDA">
        <w:rPr>
          <w:sz w:val="24"/>
          <w:szCs w:val="24"/>
        </w:rPr>
        <w:t>Pad and</w:t>
      </w:r>
      <w:r w:rsidRPr="005D7E20">
        <w:rPr>
          <w:sz w:val="24"/>
          <w:szCs w:val="24"/>
        </w:rPr>
        <w:t xml:space="preserve"> copied and pasted into EWEG</w:t>
      </w:r>
      <w:r w:rsidRPr="005D7E20" w:rsidR="001213C7">
        <w:rPr>
          <w:sz w:val="24"/>
          <w:szCs w:val="24"/>
        </w:rPr>
        <w:t>.</w:t>
      </w:r>
      <w:r w:rsidRPr="005D7E20" w:rsidR="006B5C8D">
        <w:rPr>
          <w:sz w:val="24"/>
          <w:szCs w:val="24"/>
        </w:rPr>
        <w:t xml:space="preserve"> </w:t>
      </w:r>
      <w:r w:rsidRPr="005D7E20">
        <w:rPr>
          <w:sz w:val="24"/>
          <w:szCs w:val="24"/>
        </w:rPr>
        <w:t>Doing this, will prevent you losing the text that you worked hard to create, should something go wrong when you save the page.</w:t>
      </w:r>
    </w:p>
    <w:p w:rsidRPr="005D7E20" w:rsidR="00CB2977" w:rsidP="00E9300A" w:rsidRDefault="00CB2977" w14:paraId="2A08F18E" w14:textId="77777777">
      <w:pPr>
        <w:spacing w:after="0" w:line="240" w:lineRule="auto"/>
        <w:rPr>
          <w:sz w:val="24"/>
          <w:szCs w:val="24"/>
        </w:rPr>
      </w:pPr>
    </w:p>
    <w:p w:rsidRPr="005D7E20" w:rsidR="00CB2977" w:rsidP="00E9300A" w:rsidRDefault="00CB2977" w14:paraId="7736B5F7" w14:textId="1ABAB73C">
      <w:pPr>
        <w:numPr>
          <w:ilvl w:val="0"/>
          <w:numId w:val="9"/>
        </w:numPr>
        <w:tabs>
          <w:tab w:val="clear" w:pos="1080"/>
          <w:tab w:val="num" w:pos="0"/>
        </w:tabs>
        <w:spacing w:after="0" w:line="240" w:lineRule="auto"/>
        <w:ind w:left="720"/>
        <w:rPr>
          <w:sz w:val="24"/>
          <w:szCs w:val="24"/>
        </w:rPr>
      </w:pPr>
      <w:r w:rsidRPr="005D7E20">
        <w:rPr>
          <w:sz w:val="24"/>
          <w:szCs w:val="24"/>
        </w:rPr>
        <w:t xml:space="preserve">When copying and pasting from Word or Note Pad, be sure to check for special characters.  Most notably, quotation marks, apostrophes, bullets and hyphens are the biggest culprits. Avoid using all of the other special characters </w:t>
      </w:r>
      <w:proofErr w:type="gramStart"/>
      <w:r w:rsidRPr="005D7E20">
        <w:rPr>
          <w:sz w:val="24"/>
          <w:szCs w:val="24"/>
        </w:rPr>
        <w:t>(!@</w:t>
      </w:r>
      <w:proofErr w:type="gramEnd"/>
      <w:r w:rsidRPr="005D7E20">
        <w:rPr>
          <w:sz w:val="24"/>
          <w:szCs w:val="24"/>
        </w:rPr>
        <w:t>#$%^&amp;*()”~/&lt;&gt;{} and bullets). Do not try to use fancy formatting. It will only give you problems.  Just be sure that the content is there in a concise and clear manner.</w:t>
      </w:r>
    </w:p>
    <w:p w:rsidRPr="005D7E20" w:rsidR="00CB2977" w:rsidP="00E9300A" w:rsidRDefault="00CB2977" w14:paraId="73E22D2F" w14:textId="77777777">
      <w:pPr>
        <w:spacing w:after="0" w:line="240" w:lineRule="auto"/>
        <w:rPr>
          <w:sz w:val="24"/>
          <w:szCs w:val="24"/>
        </w:rPr>
      </w:pPr>
    </w:p>
    <w:p w:rsidRPr="005D7E20" w:rsidR="00CB2977" w:rsidP="00E9300A" w:rsidRDefault="00CB2977" w14:paraId="70350439" w14:textId="61ACA92D">
      <w:pPr>
        <w:numPr>
          <w:ilvl w:val="0"/>
          <w:numId w:val="9"/>
        </w:numPr>
        <w:tabs>
          <w:tab w:val="clear" w:pos="1080"/>
          <w:tab w:val="num" w:pos="0"/>
        </w:tabs>
        <w:spacing w:after="0" w:line="240" w:lineRule="auto"/>
        <w:ind w:left="720"/>
        <w:rPr>
          <w:sz w:val="24"/>
          <w:szCs w:val="24"/>
        </w:rPr>
      </w:pPr>
      <w:r w:rsidRPr="005D7E20">
        <w:rPr>
          <w:sz w:val="24"/>
          <w:szCs w:val="24"/>
        </w:rPr>
        <w:t>The EWEG system is not compatible with the way Microsoft Word formats quotation marks, apostrophes, bullets and hyphens. Use the following procedure to resolve this problem.</w:t>
      </w:r>
      <w:r w:rsidRPr="005D7E20" w:rsidR="001213C7">
        <w:rPr>
          <w:sz w:val="24"/>
          <w:szCs w:val="24"/>
        </w:rPr>
        <w:t xml:space="preserve"> </w:t>
      </w:r>
      <w:r w:rsidRPr="005D7E20">
        <w:rPr>
          <w:sz w:val="24"/>
          <w:szCs w:val="24"/>
        </w:rPr>
        <w:t xml:space="preserve">Remove the quotation marks, apostrophes, bullets and hyphens in the text that you want to copy and paste.  Paste the text into EWEG. Working in EWEG, BEFORE YOU TRY TO SAVE THE PAGE,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rsidRPr="005D7E20" w:rsidR="00CB2977" w:rsidP="00E9300A" w:rsidRDefault="00CB2977" w14:paraId="515ECDD1" w14:textId="77777777">
      <w:pPr>
        <w:spacing w:after="0" w:line="240" w:lineRule="auto"/>
        <w:rPr>
          <w:sz w:val="24"/>
          <w:szCs w:val="24"/>
        </w:rPr>
      </w:pPr>
    </w:p>
    <w:p w:rsidRPr="005D7E20" w:rsidR="00CB2977" w:rsidP="00E9300A" w:rsidRDefault="00CB2977" w14:paraId="5BF3BAE8" w14:textId="0A10D6A0">
      <w:pPr>
        <w:numPr>
          <w:ilvl w:val="0"/>
          <w:numId w:val="9"/>
        </w:numPr>
        <w:tabs>
          <w:tab w:val="clear" w:pos="1080"/>
          <w:tab w:val="num" w:pos="0"/>
        </w:tabs>
        <w:spacing w:after="0" w:line="240" w:lineRule="auto"/>
        <w:ind w:left="720"/>
        <w:rPr>
          <w:sz w:val="24"/>
          <w:szCs w:val="24"/>
        </w:rPr>
      </w:pPr>
      <w:r w:rsidRPr="005D7E20">
        <w:rPr>
          <w:sz w:val="24"/>
          <w:szCs w:val="24"/>
        </w:rPr>
        <w:t>When you click on a Tab to open a page, do not click on it more than once.</w:t>
      </w:r>
      <w:r w:rsidRPr="005D7E20" w:rsidR="001213C7">
        <w:rPr>
          <w:sz w:val="24"/>
          <w:szCs w:val="24"/>
        </w:rPr>
        <w:t xml:space="preserve"> </w:t>
      </w:r>
      <w:r w:rsidRPr="005D7E20">
        <w:rPr>
          <w:sz w:val="24"/>
          <w:szCs w:val="24"/>
        </w:rPr>
        <w:t>Some of our pages take a while to open.</w:t>
      </w:r>
      <w:r w:rsidRPr="005D7E20" w:rsidR="001213C7">
        <w:rPr>
          <w:sz w:val="24"/>
          <w:szCs w:val="24"/>
        </w:rPr>
        <w:t xml:space="preserve"> </w:t>
      </w:r>
      <w:r w:rsidRPr="005D7E20">
        <w:rPr>
          <w:sz w:val="24"/>
          <w:szCs w:val="24"/>
        </w:rPr>
        <w:t>If you click on the tab more than once, you will get a system error.</w:t>
      </w:r>
    </w:p>
    <w:p w:rsidRPr="005D7E20" w:rsidR="00CB2977" w:rsidP="00E9300A" w:rsidRDefault="00CB2977" w14:paraId="36EDD57A" w14:textId="77777777">
      <w:pPr>
        <w:spacing w:after="0" w:line="240" w:lineRule="auto"/>
        <w:rPr>
          <w:sz w:val="24"/>
          <w:szCs w:val="24"/>
        </w:rPr>
      </w:pPr>
    </w:p>
    <w:p w:rsidRPr="005D7E20" w:rsidR="00CB2977" w:rsidP="00E9300A" w:rsidRDefault="00CB2977" w14:paraId="30564939" w14:textId="1EEAE1EE">
      <w:pPr>
        <w:numPr>
          <w:ilvl w:val="0"/>
          <w:numId w:val="9"/>
        </w:numPr>
        <w:tabs>
          <w:tab w:val="clear" w:pos="1080"/>
          <w:tab w:val="num" w:pos="0"/>
        </w:tabs>
        <w:spacing w:after="0" w:line="240" w:lineRule="auto"/>
        <w:ind w:left="720"/>
        <w:rPr>
          <w:sz w:val="24"/>
          <w:szCs w:val="24"/>
        </w:rPr>
      </w:pPr>
      <w:r w:rsidRPr="005D7E20">
        <w:rPr>
          <w:sz w:val="24"/>
          <w:szCs w:val="24"/>
        </w:rPr>
        <w:t>Certain systems are just not compatible with EWEG.  Most notably: MAC, hand-held devices, Notebooks, Safari, Google Chrome and Firefox. If you have these systems, please try to locate a different PC to use to enter your data.</w:t>
      </w:r>
    </w:p>
    <w:p w:rsidRPr="005D7E20" w:rsidR="00CB2977" w:rsidP="00E9300A" w:rsidRDefault="00CB2977" w14:paraId="7943DB9B" w14:textId="77777777">
      <w:pPr>
        <w:tabs>
          <w:tab w:val="left" w:pos="0"/>
        </w:tabs>
        <w:spacing w:line="240" w:lineRule="auto"/>
        <w:rPr>
          <w:sz w:val="24"/>
          <w:szCs w:val="24"/>
        </w:rPr>
      </w:pPr>
    </w:p>
    <w:p w:rsidRPr="005D7E20" w:rsidR="00CB2977" w:rsidP="00E9300A" w:rsidRDefault="00CB2977" w14:paraId="3B4CC996" w14:textId="77777777">
      <w:pPr>
        <w:pStyle w:val="ListParagraph"/>
        <w:tabs>
          <w:tab w:val="left" w:pos="0"/>
        </w:tabs>
        <w:spacing w:line="240" w:lineRule="auto"/>
        <w:rPr>
          <w:sz w:val="24"/>
          <w:szCs w:val="24"/>
        </w:rPr>
      </w:pPr>
      <w:r w:rsidRPr="005D7E20">
        <w:rPr>
          <w:sz w:val="24"/>
          <w:szCs w:val="24"/>
        </w:rPr>
        <w:t>Also note that Internet Explorer versions higher than 7.0 should access the EWEG site in</w:t>
      </w:r>
    </w:p>
    <w:p w:rsidRPr="005D7E20" w:rsidR="00CB2977" w:rsidP="00E9300A" w:rsidRDefault="00CB2977" w14:paraId="0BDE5823" w14:textId="77777777">
      <w:pPr>
        <w:pStyle w:val="ListParagraph"/>
        <w:tabs>
          <w:tab w:val="left" w:pos="0"/>
        </w:tabs>
        <w:spacing w:line="240" w:lineRule="auto"/>
        <w:ind w:hanging="720"/>
        <w:rPr>
          <w:sz w:val="24"/>
          <w:szCs w:val="24"/>
        </w:rPr>
      </w:pPr>
      <w:r w:rsidRPr="005D7E20">
        <w:rPr>
          <w:sz w:val="24"/>
          <w:szCs w:val="24"/>
        </w:rPr>
        <w:tab/>
      </w:r>
      <w:r w:rsidRPr="005D7E20">
        <w:rPr>
          <w:sz w:val="24"/>
          <w:szCs w:val="24"/>
        </w:rPr>
        <w:t>“Compatibility Mode” or you may have unexpected errors and will not be able to view all</w:t>
      </w:r>
    </w:p>
    <w:p w:rsidRPr="005D7E20" w:rsidR="00CB2977" w:rsidP="00E9300A" w:rsidRDefault="00CB2977" w14:paraId="6BE7E59E" w14:textId="77777777">
      <w:pPr>
        <w:pStyle w:val="ListParagraph"/>
        <w:tabs>
          <w:tab w:val="left" w:pos="0"/>
        </w:tabs>
        <w:spacing w:line="240" w:lineRule="auto"/>
        <w:ind w:hanging="720"/>
        <w:rPr>
          <w:sz w:val="24"/>
          <w:szCs w:val="24"/>
        </w:rPr>
      </w:pPr>
      <w:r w:rsidRPr="005D7E20">
        <w:rPr>
          <w:sz w:val="24"/>
          <w:szCs w:val="24"/>
        </w:rPr>
        <w:tab/>
      </w:r>
      <w:r w:rsidRPr="005D7E20">
        <w:rPr>
          <w:sz w:val="24"/>
          <w:szCs w:val="24"/>
        </w:rPr>
        <w:t xml:space="preserve">application pages. </w:t>
      </w:r>
    </w:p>
    <w:p w:rsidRPr="005D7E20" w:rsidR="00CB2977" w:rsidP="00E9300A" w:rsidRDefault="00CB2977" w14:paraId="3A60D35D" w14:textId="77777777">
      <w:pPr>
        <w:rPr>
          <w:sz w:val="24"/>
          <w:szCs w:val="24"/>
        </w:rPr>
      </w:pPr>
    </w:p>
    <w:p w:rsidRPr="005D7E20" w:rsidR="00CB2977" w:rsidP="00E9300A" w:rsidRDefault="00CB2977" w14:paraId="2F995F18" w14:textId="77777777">
      <w:pPr>
        <w:ind w:left="-120"/>
        <w:rPr>
          <w:sz w:val="24"/>
          <w:szCs w:val="24"/>
        </w:rPr>
      </w:pPr>
    </w:p>
    <w:p w:rsidRPr="005D7E20" w:rsidR="00731648" w:rsidP="00E9300A" w:rsidRDefault="00731648" w14:paraId="17F6F127" w14:textId="54BB0B69">
      <w:pPr>
        <w:rPr>
          <w:sz w:val="24"/>
          <w:szCs w:val="24"/>
        </w:rPr>
      </w:pPr>
    </w:p>
    <w:sectPr w:rsidRPr="005D7E20" w:rsidR="00731648" w:rsidSect="00170FF5">
      <w:pgSz w:w="12240" w:h="15840" w:orient="portrait"/>
      <w:pgMar w:top="540" w:right="1440" w:bottom="72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8AF" w:rsidRDefault="00CC58AF" w14:paraId="391A4B38" w14:textId="77777777">
      <w:r>
        <w:separator/>
      </w:r>
    </w:p>
  </w:endnote>
  <w:endnote w:type="continuationSeparator" w:id="0">
    <w:p w:rsidR="00CC58AF" w:rsidRDefault="00CC58AF" w14:paraId="494EB0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56251298"/>
      <w:docPartObj>
        <w:docPartGallery w:val="Page Numbers (Bottom of Page)"/>
        <w:docPartUnique/>
      </w:docPartObj>
    </w:sdtPr>
    <w:sdtEndPr/>
    <w:sdtContent>
      <w:sdt>
        <w:sdtPr>
          <w:rPr>
            <w:sz w:val="20"/>
            <w:szCs w:val="20"/>
          </w:rPr>
          <w:id w:val="-14999822"/>
          <w:docPartObj>
            <w:docPartGallery w:val="Page Numbers (Top of Page)"/>
            <w:docPartUnique/>
          </w:docPartObj>
        </w:sdtPr>
        <w:sdtEndPr/>
        <w:sdtContent>
          <w:p w:rsidRPr="00051DEC" w:rsidR="00025A37" w:rsidRDefault="00025A37" w14:paraId="5F770A46" w14:textId="77777777">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7</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25</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A37" w:rsidRDefault="00025A37" w14:paraId="25861487" w14:textId="77777777">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8AF" w:rsidRDefault="00CC58AF" w14:paraId="6890F9F6" w14:textId="77777777">
      <w:r>
        <w:separator/>
      </w:r>
    </w:p>
  </w:footnote>
  <w:footnote w:type="continuationSeparator" w:id="0">
    <w:p w:rsidR="00CC58AF" w:rsidRDefault="00CC58AF" w14:paraId="485263C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A1AB7" w:rsidR="00025A37" w:rsidP="000F6B66" w:rsidRDefault="00025A37" w14:paraId="15655D2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C4E3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52E3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12E6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D67D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92C2F4"/>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EC4892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F0CAF32"/>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713EFA50"/>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BA12F4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30349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5651E3"/>
    <w:multiLevelType w:val="hybridMultilevel"/>
    <w:tmpl w:val="763658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46056"/>
    <w:multiLevelType w:val="hybridMultilevel"/>
    <w:tmpl w:val="2FE27A8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0A69046B"/>
    <w:multiLevelType w:val="hybridMultilevel"/>
    <w:tmpl w:val="62B8BD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BF42E71"/>
    <w:multiLevelType w:val="multilevel"/>
    <w:tmpl w:val="4ACA8A9E"/>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036BFB"/>
    <w:multiLevelType w:val="multilevel"/>
    <w:tmpl w:val="AB486934"/>
    <w:styleLink w:val="Numberedlist6ptaft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C978CD"/>
    <w:multiLevelType w:val="hybridMultilevel"/>
    <w:tmpl w:val="2ABCBC5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2EA6149"/>
    <w:multiLevelType w:val="multilevel"/>
    <w:tmpl w:val="50A087C0"/>
    <w:lvl w:ilvl="0">
      <w:start w:val="1"/>
      <w:numFmt w:val="decimal"/>
      <w:lvlText w:val="%1.1"/>
      <w:lvlJc w:val="left"/>
      <w:pPr>
        <w:ind w:left="360" w:hanging="360"/>
      </w:pPr>
      <w:rPr>
        <w:rFonts w:hint="default"/>
      </w:rPr>
    </w:lvl>
    <w:lvl w:ilvl="1">
      <w:start w:val="1"/>
      <w:numFmt w:val="decimal"/>
      <w:lvlText w:val="%1.%2"/>
      <w:lvlJc w:val="left"/>
      <w:pPr>
        <w:ind w:left="54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27313F"/>
    <w:multiLevelType w:val="hybridMultilevel"/>
    <w:tmpl w:val="1A8830D0"/>
    <w:lvl w:ilvl="0" w:tplc="04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A54509A"/>
    <w:multiLevelType w:val="hybridMultilevel"/>
    <w:tmpl w:val="E00475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ABB3F24"/>
    <w:multiLevelType w:val="hybridMultilevel"/>
    <w:tmpl w:val="540A9F92"/>
    <w:lvl w:ilvl="0" w:tplc="D8B097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B221A6A"/>
    <w:multiLevelType w:val="hybridMultilevel"/>
    <w:tmpl w:val="2EB05F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1EC65944"/>
    <w:multiLevelType w:val="hybridMultilevel"/>
    <w:tmpl w:val="800E19C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2" w15:restartNumberingAfterBreak="0">
    <w:nsid w:val="1EF71E19"/>
    <w:multiLevelType w:val="hybridMultilevel"/>
    <w:tmpl w:val="C194E7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229E4E77"/>
    <w:multiLevelType w:val="hybridMultilevel"/>
    <w:tmpl w:val="FE0CBE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F14D9C"/>
    <w:multiLevelType w:val="hybridMultilevel"/>
    <w:tmpl w:val="593E2B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26210B05"/>
    <w:multiLevelType w:val="hybridMultilevel"/>
    <w:tmpl w:val="BEECF6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269C79E9"/>
    <w:multiLevelType w:val="hybridMultilevel"/>
    <w:tmpl w:val="CE646684"/>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720"/>
        </w:tabs>
        <w:ind w:left="720" w:hanging="360"/>
      </w:pPr>
      <w:rPr>
        <w:rFonts w:hint="default" w:ascii="Courier New" w:hAnsi="Courier New" w:cs="Courier New"/>
      </w:r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7" w15:restartNumberingAfterBreak="0">
    <w:nsid w:val="26B3673A"/>
    <w:multiLevelType w:val="hybridMultilevel"/>
    <w:tmpl w:val="B706D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C4B072C"/>
    <w:multiLevelType w:val="hybridMultilevel"/>
    <w:tmpl w:val="A1388D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2F796B33"/>
    <w:multiLevelType w:val="hybridMultilevel"/>
    <w:tmpl w:val="11309E1A"/>
    <w:lvl w:ilvl="0" w:tplc="C5D8A89C">
      <w:start w:val="1"/>
      <w:numFmt w:val="decimal"/>
      <w:lvlText w:val="%1."/>
      <w:lvlJc w:val="left"/>
      <w:pPr>
        <w:tabs>
          <w:tab w:val="num" w:pos="1080"/>
        </w:tabs>
        <w:ind w:left="1080" w:hanging="720"/>
      </w:pPr>
      <w:rPr>
        <w:rFonts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21F016F"/>
    <w:multiLevelType w:val="hybridMultilevel"/>
    <w:tmpl w:val="4816D15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3C2B7BE6"/>
    <w:multiLevelType w:val="hybridMultilevel"/>
    <w:tmpl w:val="E4EE02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33B6E75"/>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33" w15:restartNumberingAfterBreak="0">
    <w:nsid w:val="4403739E"/>
    <w:multiLevelType w:val="hybridMultilevel"/>
    <w:tmpl w:val="AD1A51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B2F089F"/>
    <w:multiLevelType w:val="hybridMultilevel"/>
    <w:tmpl w:val="BB9C06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2B368A0"/>
    <w:multiLevelType w:val="hybridMultilevel"/>
    <w:tmpl w:val="0786EF3E"/>
    <w:lvl w:ilvl="0" w:tplc="3548962A">
      <w:start w:val="1"/>
      <w:numFmt w:val="bullet"/>
      <w:lvlText w:val=""/>
      <w:lvlJc w:val="left"/>
      <w:pPr>
        <w:tabs>
          <w:tab w:val="num" w:pos="360"/>
        </w:tabs>
        <w:ind w:left="360" w:hanging="360"/>
      </w:pPr>
      <w:rPr>
        <w:rFonts w:hint="default" w:ascii="Symbol" w:hAnsi="Symbol"/>
      </w:rPr>
    </w:lvl>
    <w:lvl w:ilvl="1" w:tplc="8138D764">
      <w:start w:val="1"/>
      <w:numFmt w:val="bullet"/>
      <w:lvlText w:val=""/>
      <w:lvlJc w:val="left"/>
      <w:pPr>
        <w:tabs>
          <w:tab w:val="num" w:pos="720"/>
        </w:tabs>
        <w:ind w:left="72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5467405C"/>
    <w:multiLevelType w:val="hybridMultilevel"/>
    <w:tmpl w:val="96081E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B6A2C41"/>
    <w:multiLevelType w:val="hybridMultilevel"/>
    <w:tmpl w:val="E42AC3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CA90FB5"/>
    <w:multiLevelType w:val="hybridMultilevel"/>
    <w:tmpl w:val="8BCA6A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5D4141EE"/>
    <w:multiLevelType w:val="hybridMultilevel"/>
    <w:tmpl w:val="F9F01B34"/>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40" w15:restartNumberingAfterBreak="0">
    <w:nsid w:val="64607920"/>
    <w:multiLevelType w:val="hybridMultilevel"/>
    <w:tmpl w:val="4456F9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D1B7B1D"/>
    <w:multiLevelType w:val="multilevel"/>
    <w:tmpl w:val="C0A062DA"/>
    <w:styleLink w:val="Style1"/>
    <w:lvl w:ilvl="0">
      <w:start w:val="1"/>
      <w:numFmt w:val="decimal"/>
      <w:isLgl/>
      <w:lvlText w:val="%1.1"/>
      <w:lvlJc w:val="left"/>
      <w:pPr>
        <w:ind w:left="720" w:hanging="360"/>
      </w:pPr>
      <w:rPr>
        <w:rFonts w:hint="default" w:ascii="Calibri" w:hAnsi="Calibri"/>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2"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1F80E47"/>
    <w:multiLevelType w:val="hybridMultilevel"/>
    <w:tmpl w:val="F1783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914FA5"/>
    <w:multiLevelType w:val="hybridMultilevel"/>
    <w:tmpl w:val="6B10E1C0"/>
    <w:lvl w:ilvl="0" w:tplc="0409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3BD5959"/>
    <w:multiLevelType w:val="hybridMultilevel"/>
    <w:tmpl w:val="7AD856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6" w15:restartNumberingAfterBreak="0">
    <w:nsid w:val="75545A5B"/>
    <w:multiLevelType w:val="hybridMultilevel"/>
    <w:tmpl w:val="262836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91A25E1"/>
    <w:multiLevelType w:val="hybridMultilevel"/>
    <w:tmpl w:val="CBE6D7E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8" w15:restartNumberingAfterBreak="0">
    <w:nsid w:val="799B03BC"/>
    <w:multiLevelType w:val="hybridMultilevel"/>
    <w:tmpl w:val="064254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5"/>
  </w:num>
  <w:num w:numId="2">
    <w:abstractNumId w:val="41"/>
  </w:num>
  <w:num w:numId="3">
    <w:abstractNumId w:val="13"/>
  </w:num>
  <w:num w:numId="4">
    <w:abstractNumId w:val="16"/>
  </w:num>
  <w:num w:numId="5">
    <w:abstractNumId w:val="12"/>
  </w:num>
  <w:num w:numId="6">
    <w:abstractNumId w:val="27"/>
  </w:num>
  <w:num w:numId="7">
    <w:abstractNumId w:val="29"/>
  </w:num>
  <w:num w:numId="8">
    <w:abstractNumId w:val="22"/>
  </w:num>
  <w:num w:numId="9">
    <w:abstractNumId w:val="19"/>
  </w:num>
  <w:num w:numId="10">
    <w:abstractNumId w:val="14"/>
  </w:num>
  <w:num w:numId="11">
    <w:abstractNumId w:val="36"/>
  </w:num>
  <w:num w:numId="12">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46"/>
  </w:num>
  <w:num w:numId="15">
    <w:abstractNumId w:val="38"/>
  </w:num>
  <w:num w:numId="16">
    <w:abstractNumId w:val="42"/>
  </w:num>
  <w:num w:numId="17">
    <w:abstractNumId w:val="28"/>
  </w:num>
  <w:num w:numId="18">
    <w:abstractNumId w:val="33"/>
  </w:num>
  <w:num w:numId="19">
    <w:abstractNumId w:val="10"/>
  </w:num>
  <w:num w:numId="20">
    <w:abstractNumId w:val="35"/>
  </w:num>
  <w:num w:numId="21">
    <w:abstractNumId w:val="32"/>
  </w:num>
  <w:num w:numId="22">
    <w:abstractNumId w:val="43"/>
  </w:num>
  <w:num w:numId="23">
    <w:abstractNumId w:val="4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7"/>
  </w:num>
  <w:num w:numId="35">
    <w:abstractNumId w:val="31"/>
  </w:num>
  <w:num w:numId="36">
    <w:abstractNumId w:val="11"/>
  </w:num>
  <w:num w:numId="37">
    <w:abstractNumId w:val="26"/>
  </w:num>
  <w:num w:numId="38">
    <w:abstractNumId w:val="47"/>
  </w:num>
  <w:num w:numId="39">
    <w:abstractNumId w:val="40"/>
  </w:num>
  <w:num w:numId="40">
    <w:abstractNumId w:val="20"/>
  </w:num>
  <w:num w:numId="41">
    <w:abstractNumId w:val="48"/>
  </w:num>
  <w:num w:numId="42">
    <w:abstractNumId w:val="25"/>
  </w:num>
  <w:num w:numId="43">
    <w:abstractNumId w:val="24"/>
  </w:num>
  <w:num w:numId="44">
    <w:abstractNumId w:val="23"/>
  </w:num>
  <w:num w:numId="45">
    <w:abstractNumId w:val="44"/>
  </w:num>
  <w:num w:numId="46">
    <w:abstractNumId w:val="34"/>
  </w:num>
  <w:num w:numId="47">
    <w:abstractNumId w:val="17"/>
  </w:num>
  <w:num w:numId="48">
    <w:abstractNumId w:val="18"/>
  </w:num>
  <w:num w:numId="49">
    <w:abstractNumId w:val="21"/>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embedSystemFonts/>
  <w:activeWritingStyle w:lang="fr-FR" w:vendorID="64" w:dllVersion="0" w:nlCheck="1" w:checkStyle="0" w:appName="MSWord"/>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3A3"/>
    <w:rsid w:val="0000078E"/>
    <w:rsid w:val="00001135"/>
    <w:rsid w:val="000012E5"/>
    <w:rsid w:val="000015ED"/>
    <w:rsid w:val="000102F4"/>
    <w:rsid w:val="00010F46"/>
    <w:rsid w:val="000158DE"/>
    <w:rsid w:val="00024A44"/>
    <w:rsid w:val="00025A37"/>
    <w:rsid w:val="00031835"/>
    <w:rsid w:val="00032CBF"/>
    <w:rsid w:val="00040EC6"/>
    <w:rsid w:val="0004265C"/>
    <w:rsid w:val="0004337E"/>
    <w:rsid w:val="0004780C"/>
    <w:rsid w:val="00051DEC"/>
    <w:rsid w:val="00057131"/>
    <w:rsid w:val="00060548"/>
    <w:rsid w:val="00061AE1"/>
    <w:rsid w:val="000670A6"/>
    <w:rsid w:val="0006790A"/>
    <w:rsid w:val="00067D28"/>
    <w:rsid w:val="00067ED0"/>
    <w:rsid w:val="00071DD7"/>
    <w:rsid w:val="000722E4"/>
    <w:rsid w:val="00072800"/>
    <w:rsid w:val="0007648D"/>
    <w:rsid w:val="00077201"/>
    <w:rsid w:val="0008023C"/>
    <w:rsid w:val="0008249E"/>
    <w:rsid w:val="00082718"/>
    <w:rsid w:val="00085B43"/>
    <w:rsid w:val="00086DA3"/>
    <w:rsid w:val="00087239"/>
    <w:rsid w:val="000876C4"/>
    <w:rsid w:val="00091723"/>
    <w:rsid w:val="000974FC"/>
    <w:rsid w:val="000A06E9"/>
    <w:rsid w:val="000A3502"/>
    <w:rsid w:val="000A41F6"/>
    <w:rsid w:val="000A68D5"/>
    <w:rsid w:val="000A72BC"/>
    <w:rsid w:val="000B4A50"/>
    <w:rsid w:val="000B5053"/>
    <w:rsid w:val="000B5AC5"/>
    <w:rsid w:val="000B5EA5"/>
    <w:rsid w:val="000C0512"/>
    <w:rsid w:val="000C1E6A"/>
    <w:rsid w:val="000C4E2B"/>
    <w:rsid w:val="000C5174"/>
    <w:rsid w:val="000C759B"/>
    <w:rsid w:val="000D0AB5"/>
    <w:rsid w:val="000D7B72"/>
    <w:rsid w:val="000E3B9E"/>
    <w:rsid w:val="000E56C6"/>
    <w:rsid w:val="000E62A9"/>
    <w:rsid w:val="000E7CD6"/>
    <w:rsid w:val="000F2131"/>
    <w:rsid w:val="000F3483"/>
    <w:rsid w:val="000F412E"/>
    <w:rsid w:val="000F487C"/>
    <w:rsid w:val="000F5C13"/>
    <w:rsid w:val="000F6B66"/>
    <w:rsid w:val="000F7FEB"/>
    <w:rsid w:val="001009C4"/>
    <w:rsid w:val="00103744"/>
    <w:rsid w:val="00105097"/>
    <w:rsid w:val="0010642F"/>
    <w:rsid w:val="00107073"/>
    <w:rsid w:val="001104CB"/>
    <w:rsid w:val="00111A3F"/>
    <w:rsid w:val="001213C7"/>
    <w:rsid w:val="00132C04"/>
    <w:rsid w:val="00134DE1"/>
    <w:rsid w:val="00140A31"/>
    <w:rsid w:val="00141716"/>
    <w:rsid w:val="00141DDA"/>
    <w:rsid w:val="00142207"/>
    <w:rsid w:val="001424C6"/>
    <w:rsid w:val="001430ED"/>
    <w:rsid w:val="0014659B"/>
    <w:rsid w:val="00152223"/>
    <w:rsid w:val="00152DB1"/>
    <w:rsid w:val="001531BA"/>
    <w:rsid w:val="001567A4"/>
    <w:rsid w:val="00156AB5"/>
    <w:rsid w:val="00162B27"/>
    <w:rsid w:val="00163691"/>
    <w:rsid w:val="00163D43"/>
    <w:rsid w:val="00165752"/>
    <w:rsid w:val="001660D0"/>
    <w:rsid w:val="00170605"/>
    <w:rsid w:val="00170FF5"/>
    <w:rsid w:val="00171A1E"/>
    <w:rsid w:val="00174948"/>
    <w:rsid w:val="00174A17"/>
    <w:rsid w:val="001839BB"/>
    <w:rsid w:val="00183A9D"/>
    <w:rsid w:val="00183E7E"/>
    <w:rsid w:val="00184184"/>
    <w:rsid w:val="00184E99"/>
    <w:rsid w:val="00186F49"/>
    <w:rsid w:val="0018728C"/>
    <w:rsid w:val="001936EB"/>
    <w:rsid w:val="0019440B"/>
    <w:rsid w:val="00195E1D"/>
    <w:rsid w:val="001970F9"/>
    <w:rsid w:val="00197F65"/>
    <w:rsid w:val="001A4B94"/>
    <w:rsid w:val="001A541E"/>
    <w:rsid w:val="001B1A77"/>
    <w:rsid w:val="001B1DE6"/>
    <w:rsid w:val="001B5F57"/>
    <w:rsid w:val="001B6DAB"/>
    <w:rsid w:val="001C28CB"/>
    <w:rsid w:val="001C5BEC"/>
    <w:rsid w:val="001D258D"/>
    <w:rsid w:val="001D3A8A"/>
    <w:rsid w:val="001D611E"/>
    <w:rsid w:val="001D7421"/>
    <w:rsid w:val="001D7746"/>
    <w:rsid w:val="001E3704"/>
    <w:rsid w:val="001E4F2B"/>
    <w:rsid w:val="001E541F"/>
    <w:rsid w:val="001E5AE0"/>
    <w:rsid w:val="001F0FF3"/>
    <w:rsid w:val="001F388E"/>
    <w:rsid w:val="001F7637"/>
    <w:rsid w:val="00202115"/>
    <w:rsid w:val="00203414"/>
    <w:rsid w:val="002039FC"/>
    <w:rsid w:val="00204340"/>
    <w:rsid w:val="002050AB"/>
    <w:rsid w:val="00206A81"/>
    <w:rsid w:val="00206AB4"/>
    <w:rsid w:val="00214C42"/>
    <w:rsid w:val="00216586"/>
    <w:rsid w:val="00220B42"/>
    <w:rsid w:val="002237A1"/>
    <w:rsid w:val="00227B66"/>
    <w:rsid w:val="0023152E"/>
    <w:rsid w:val="00231D73"/>
    <w:rsid w:val="00237B3D"/>
    <w:rsid w:val="0024137D"/>
    <w:rsid w:val="002422B0"/>
    <w:rsid w:val="002446FE"/>
    <w:rsid w:val="002467F1"/>
    <w:rsid w:val="00246AE6"/>
    <w:rsid w:val="00246F0C"/>
    <w:rsid w:val="002561BC"/>
    <w:rsid w:val="00257100"/>
    <w:rsid w:val="00261404"/>
    <w:rsid w:val="0026181C"/>
    <w:rsid w:val="00261B92"/>
    <w:rsid w:val="002623E6"/>
    <w:rsid w:val="00264146"/>
    <w:rsid w:val="002649C3"/>
    <w:rsid w:val="002654CA"/>
    <w:rsid w:val="002756D0"/>
    <w:rsid w:val="00280AB1"/>
    <w:rsid w:val="00281F65"/>
    <w:rsid w:val="00284B37"/>
    <w:rsid w:val="0028610F"/>
    <w:rsid w:val="0029276F"/>
    <w:rsid w:val="00292DBD"/>
    <w:rsid w:val="0029467A"/>
    <w:rsid w:val="0029564C"/>
    <w:rsid w:val="002960F1"/>
    <w:rsid w:val="00297701"/>
    <w:rsid w:val="002A07D8"/>
    <w:rsid w:val="002A7710"/>
    <w:rsid w:val="002A79B8"/>
    <w:rsid w:val="002B0451"/>
    <w:rsid w:val="002B3604"/>
    <w:rsid w:val="002B372A"/>
    <w:rsid w:val="002B656C"/>
    <w:rsid w:val="002C1E4D"/>
    <w:rsid w:val="002C43C3"/>
    <w:rsid w:val="002C5D9F"/>
    <w:rsid w:val="002C6005"/>
    <w:rsid w:val="002C6BA6"/>
    <w:rsid w:val="002D0301"/>
    <w:rsid w:val="002D2192"/>
    <w:rsid w:val="002D29C0"/>
    <w:rsid w:val="002D3ECB"/>
    <w:rsid w:val="002D65DD"/>
    <w:rsid w:val="002E49DE"/>
    <w:rsid w:val="002E4A21"/>
    <w:rsid w:val="002E5645"/>
    <w:rsid w:val="002E5E83"/>
    <w:rsid w:val="002F1660"/>
    <w:rsid w:val="002F1D0B"/>
    <w:rsid w:val="002F584C"/>
    <w:rsid w:val="002F7CD4"/>
    <w:rsid w:val="003005C9"/>
    <w:rsid w:val="00302588"/>
    <w:rsid w:val="00302891"/>
    <w:rsid w:val="0030426C"/>
    <w:rsid w:val="00304791"/>
    <w:rsid w:val="003104CB"/>
    <w:rsid w:val="00310790"/>
    <w:rsid w:val="0031292F"/>
    <w:rsid w:val="003148F3"/>
    <w:rsid w:val="00314B41"/>
    <w:rsid w:val="00325660"/>
    <w:rsid w:val="00325CA1"/>
    <w:rsid w:val="00327B65"/>
    <w:rsid w:val="00330CE5"/>
    <w:rsid w:val="0033335B"/>
    <w:rsid w:val="00333AE8"/>
    <w:rsid w:val="00333B9F"/>
    <w:rsid w:val="00336E67"/>
    <w:rsid w:val="00337163"/>
    <w:rsid w:val="003463DF"/>
    <w:rsid w:val="00346BC5"/>
    <w:rsid w:val="00352125"/>
    <w:rsid w:val="003530DF"/>
    <w:rsid w:val="00353D22"/>
    <w:rsid w:val="0035672D"/>
    <w:rsid w:val="00356C7D"/>
    <w:rsid w:val="00360587"/>
    <w:rsid w:val="00364855"/>
    <w:rsid w:val="003662CA"/>
    <w:rsid w:val="00375108"/>
    <w:rsid w:val="003755FB"/>
    <w:rsid w:val="00375602"/>
    <w:rsid w:val="00376DA0"/>
    <w:rsid w:val="0037715F"/>
    <w:rsid w:val="00377A23"/>
    <w:rsid w:val="00377F53"/>
    <w:rsid w:val="00380A36"/>
    <w:rsid w:val="0038411D"/>
    <w:rsid w:val="003854FB"/>
    <w:rsid w:val="00392805"/>
    <w:rsid w:val="0039590E"/>
    <w:rsid w:val="003A02CB"/>
    <w:rsid w:val="003A2779"/>
    <w:rsid w:val="003A41B4"/>
    <w:rsid w:val="003A42EF"/>
    <w:rsid w:val="003A4C69"/>
    <w:rsid w:val="003A5490"/>
    <w:rsid w:val="003A5922"/>
    <w:rsid w:val="003A5F67"/>
    <w:rsid w:val="003A728C"/>
    <w:rsid w:val="003A7AEA"/>
    <w:rsid w:val="003B1258"/>
    <w:rsid w:val="003B381E"/>
    <w:rsid w:val="003B5C0D"/>
    <w:rsid w:val="003C496B"/>
    <w:rsid w:val="003C5487"/>
    <w:rsid w:val="003C5EEA"/>
    <w:rsid w:val="003C7C28"/>
    <w:rsid w:val="003D5FDA"/>
    <w:rsid w:val="003D7FB1"/>
    <w:rsid w:val="003E121C"/>
    <w:rsid w:val="003E28A9"/>
    <w:rsid w:val="003E354D"/>
    <w:rsid w:val="003E469D"/>
    <w:rsid w:val="003E5A15"/>
    <w:rsid w:val="003F2DFD"/>
    <w:rsid w:val="003F3DB1"/>
    <w:rsid w:val="003F41CC"/>
    <w:rsid w:val="00400DB1"/>
    <w:rsid w:val="00402434"/>
    <w:rsid w:val="004046B2"/>
    <w:rsid w:val="00406219"/>
    <w:rsid w:val="00407B4B"/>
    <w:rsid w:val="00412A68"/>
    <w:rsid w:val="00413F37"/>
    <w:rsid w:val="00414707"/>
    <w:rsid w:val="0041716F"/>
    <w:rsid w:val="00420E4F"/>
    <w:rsid w:val="0042216F"/>
    <w:rsid w:val="00423B93"/>
    <w:rsid w:val="004265EE"/>
    <w:rsid w:val="00434ADD"/>
    <w:rsid w:val="00434B95"/>
    <w:rsid w:val="00437AE9"/>
    <w:rsid w:val="004434D4"/>
    <w:rsid w:val="00444C53"/>
    <w:rsid w:val="004467FB"/>
    <w:rsid w:val="00447515"/>
    <w:rsid w:val="00450A9D"/>
    <w:rsid w:val="00450D84"/>
    <w:rsid w:val="0045374D"/>
    <w:rsid w:val="00455CFD"/>
    <w:rsid w:val="00456CF3"/>
    <w:rsid w:val="00457495"/>
    <w:rsid w:val="00461205"/>
    <w:rsid w:val="00461F7C"/>
    <w:rsid w:val="0046313C"/>
    <w:rsid w:val="00467CF4"/>
    <w:rsid w:val="00467EC8"/>
    <w:rsid w:val="00470DEA"/>
    <w:rsid w:val="00471246"/>
    <w:rsid w:val="00472291"/>
    <w:rsid w:val="00472751"/>
    <w:rsid w:val="00473EBE"/>
    <w:rsid w:val="004745E9"/>
    <w:rsid w:val="00475ABB"/>
    <w:rsid w:val="00476EDB"/>
    <w:rsid w:val="004773D2"/>
    <w:rsid w:val="004804D4"/>
    <w:rsid w:val="004807A8"/>
    <w:rsid w:val="004837DB"/>
    <w:rsid w:val="0048487D"/>
    <w:rsid w:val="004850B7"/>
    <w:rsid w:val="0048702E"/>
    <w:rsid w:val="004876DE"/>
    <w:rsid w:val="0048783C"/>
    <w:rsid w:val="004905DE"/>
    <w:rsid w:val="004915AF"/>
    <w:rsid w:val="00495441"/>
    <w:rsid w:val="0049799A"/>
    <w:rsid w:val="004A02F7"/>
    <w:rsid w:val="004A20AE"/>
    <w:rsid w:val="004A237D"/>
    <w:rsid w:val="004A3530"/>
    <w:rsid w:val="004A3F81"/>
    <w:rsid w:val="004A43C3"/>
    <w:rsid w:val="004A5217"/>
    <w:rsid w:val="004A5974"/>
    <w:rsid w:val="004B08E4"/>
    <w:rsid w:val="004B2755"/>
    <w:rsid w:val="004B30F2"/>
    <w:rsid w:val="004B3B7C"/>
    <w:rsid w:val="004B6C0A"/>
    <w:rsid w:val="004C1142"/>
    <w:rsid w:val="004C1CA9"/>
    <w:rsid w:val="004C2E5C"/>
    <w:rsid w:val="004D1061"/>
    <w:rsid w:val="004D4976"/>
    <w:rsid w:val="004E085F"/>
    <w:rsid w:val="004E08C6"/>
    <w:rsid w:val="004E621B"/>
    <w:rsid w:val="004E6BC8"/>
    <w:rsid w:val="004F01AA"/>
    <w:rsid w:val="004F06C9"/>
    <w:rsid w:val="004F4029"/>
    <w:rsid w:val="004F5CFC"/>
    <w:rsid w:val="004F6641"/>
    <w:rsid w:val="00501483"/>
    <w:rsid w:val="0050493B"/>
    <w:rsid w:val="00504F09"/>
    <w:rsid w:val="0050502B"/>
    <w:rsid w:val="0050685A"/>
    <w:rsid w:val="0050693C"/>
    <w:rsid w:val="005109A5"/>
    <w:rsid w:val="00510EB9"/>
    <w:rsid w:val="005116FB"/>
    <w:rsid w:val="00512C5A"/>
    <w:rsid w:val="0051410D"/>
    <w:rsid w:val="00516063"/>
    <w:rsid w:val="00520085"/>
    <w:rsid w:val="00521FC2"/>
    <w:rsid w:val="005232D3"/>
    <w:rsid w:val="0052359A"/>
    <w:rsid w:val="00523A08"/>
    <w:rsid w:val="0052678F"/>
    <w:rsid w:val="005300C9"/>
    <w:rsid w:val="0053652E"/>
    <w:rsid w:val="005377C0"/>
    <w:rsid w:val="00543509"/>
    <w:rsid w:val="00543D62"/>
    <w:rsid w:val="00546FD5"/>
    <w:rsid w:val="00547BB8"/>
    <w:rsid w:val="005501ED"/>
    <w:rsid w:val="00552621"/>
    <w:rsid w:val="00555A18"/>
    <w:rsid w:val="005564B2"/>
    <w:rsid w:val="005600F8"/>
    <w:rsid w:val="00561CFE"/>
    <w:rsid w:val="005625BD"/>
    <w:rsid w:val="00562BB7"/>
    <w:rsid w:val="00564247"/>
    <w:rsid w:val="005652D0"/>
    <w:rsid w:val="005716E1"/>
    <w:rsid w:val="005718FC"/>
    <w:rsid w:val="00571C45"/>
    <w:rsid w:val="00574447"/>
    <w:rsid w:val="00586E7D"/>
    <w:rsid w:val="00587C8B"/>
    <w:rsid w:val="00587D9B"/>
    <w:rsid w:val="005924DF"/>
    <w:rsid w:val="005A4380"/>
    <w:rsid w:val="005A4D49"/>
    <w:rsid w:val="005A6801"/>
    <w:rsid w:val="005B1F4E"/>
    <w:rsid w:val="005B21F7"/>
    <w:rsid w:val="005B4C89"/>
    <w:rsid w:val="005B65D3"/>
    <w:rsid w:val="005B6611"/>
    <w:rsid w:val="005C1C7A"/>
    <w:rsid w:val="005C469A"/>
    <w:rsid w:val="005C6A7E"/>
    <w:rsid w:val="005D0ADF"/>
    <w:rsid w:val="005D1B44"/>
    <w:rsid w:val="005D7E20"/>
    <w:rsid w:val="005E274E"/>
    <w:rsid w:val="005E47FC"/>
    <w:rsid w:val="005E52D6"/>
    <w:rsid w:val="005E655C"/>
    <w:rsid w:val="005E684E"/>
    <w:rsid w:val="005E6886"/>
    <w:rsid w:val="005F0A5C"/>
    <w:rsid w:val="005F24D4"/>
    <w:rsid w:val="005F2C77"/>
    <w:rsid w:val="005F3A19"/>
    <w:rsid w:val="005F47CF"/>
    <w:rsid w:val="005F6FB5"/>
    <w:rsid w:val="00601DB1"/>
    <w:rsid w:val="00602229"/>
    <w:rsid w:val="00602B65"/>
    <w:rsid w:val="006051C6"/>
    <w:rsid w:val="0060656C"/>
    <w:rsid w:val="00607939"/>
    <w:rsid w:val="00614F95"/>
    <w:rsid w:val="00615652"/>
    <w:rsid w:val="00616641"/>
    <w:rsid w:val="00622BB1"/>
    <w:rsid w:val="00622E10"/>
    <w:rsid w:val="00624129"/>
    <w:rsid w:val="00626AA0"/>
    <w:rsid w:val="0063239F"/>
    <w:rsid w:val="00632DEF"/>
    <w:rsid w:val="006416E9"/>
    <w:rsid w:val="006445C1"/>
    <w:rsid w:val="00650FE3"/>
    <w:rsid w:val="006567D8"/>
    <w:rsid w:val="006575D0"/>
    <w:rsid w:val="006578AE"/>
    <w:rsid w:val="00660858"/>
    <w:rsid w:val="00660A84"/>
    <w:rsid w:val="00660B1A"/>
    <w:rsid w:val="00661330"/>
    <w:rsid w:val="006615DB"/>
    <w:rsid w:val="0066280C"/>
    <w:rsid w:val="00663B45"/>
    <w:rsid w:val="0066765C"/>
    <w:rsid w:val="00667674"/>
    <w:rsid w:val="00667B59"/>
    <w:rsid w:val="0067055D"/>
    <w:rsid w:val="00673C72"/>
    <w:rsid w:val="006748E1"/>
    <w:rsid w:val="006803DD"/>
    <w:rsid w:val="006816E7"/>
    <w:rsid w:val="00682A01"/>
    <w:rsid w:val="0068431C"/>
    <w:rsid w:val="006849BC"/>
    <w:rsid w:val="006917BB"/>
    <w:rsid w:val="00691A88"/>
    <w:rsid w:val="00693412"/>
    <w:rsid w:val="00694C97"/>
    <w:rsid w:val="00696400"/>
    <w:rsid w:val="006977C4"/>
    <w:rsid w:val="006A4D92"/>
    <w:rsid w:val="006B09D9"/>
    <w:rsid w:val="006B2A0F"/>
    <w:rsid w:val="006B3802"/>
    <w:rsid w:val="006B3CFB"/>
    <w:rsid w:val="006B42B8"/>
    <w:rsid w:val="006B5C8D"/>
    <w:rsid w:val="006B5DFA"/>
    <w:rsid w:val="006B6F40"/>
    <w:rsid w:val="006C382B"/>
    <w:rsid w:val="006C41BF"/>
    <w:rsid w:val="006C5657"/>
    <w:rsid w:val="006C6092"/>
    <w:rsid w:val="006D195F"/>
    <w:rsid w:val="006D3EF9"/>
    <w:rsid w:val="006D4B9D"/>
    <w:rsid w:val="006D556B"/>
    <w:rsid w:val="006D7274"/>
    <w:rsid w:val="006D7D86"/>
    <w:rsid w:val="006E0055"/>
    <w:rsid w:val="006E07D1"/>
    <w:rsid w:val="006E1088"/>
    <w:rsid w:val="006E2584"/>
    <w:rsid w:val="006E41F3"/>
    <w:rsid w:val="006E7860"/>
    <w:rsid w:val="006F1653"/>
    <w:rsid w:val="006F3868"/>
    <w:rsid w:val="006F4FA5"/>
    <w:rsid w:val="006F5A26"/>
    <w:rsid w:val="006F71B5"/>
    <w:rsid w:val="00700A09"/>
    <w:rsid w:val="0070295D"/>
    <w:rsid w:val="0070304F"/>
    <w:rsid w:val="00703127"/>
    <w:rsid w:val="007073C5"/>
    <w:rsid w:val="007103A7"/>
    <w:rsid w:val="00710B53"/>
    <w:rsid w:val="00711EAD"/>
    <w:rsid w:val="00713238"/>
    <w:rsid w:val="00716B7F"/>
    <w:rsid w:val="0072401C"/>
    <w:rsid w:val="00724A77"/>
    <w:rsid w:val="007313A0"/>
    <w:rsid w:val="00731648"/>
    <w:rsid w:val="00732856"/>
    <w:rsid w:val="00736697"/>
    <w:rsid w:val="00736A5A"/>
    <w:rsid w:val="0074171F"/>
    <w:rsid w:val="00742ACE"/>
    <w:rsid w:val="00742C72"/>
    <w:rsid w:val="00754C86"/>
    <w:rsid w:val="00757523"/>
    <w:rsid w:val="00760D8A"/>
    <w:rsid w:val="00762908"/>
    <w:rsid w:val="00764E24"/>
    <w:rsid w:val="00765D62"/>
    <w:rsid w:val="007667DC"/>
    <w:rsid w:val="00766F49"/>
    <w:rsid w:val="00770B64"/>
    <w:rsid w:val="00770D6F"/>
    <w:rsid w:val="00775B8D"/>
    <w:rsid w:val="007767E0"/>
    <w:rsid w:val="00777838"/>
    <w:rsid w:val="007811D9"/>
    <w:rsid w:val="0078156A"/>
    <w:rsid w:val="00781AA9"/>
    <w:rsid w:val="00782B87"/>
    <w:rsid w:val="00782D35"/>
    <w:rsid w:val="00783B65"/>
    <w:rsid w:val="007859C0"/>
    <w:rsid w:val="00791D63"/>
    <w:rsid w:val="00791E30"/>
    <w:rsid w:val="007926CC"/>
    <w:rsid w:val="007947D4"/>
    <w:rsid w:val="00794FFB"/>
    <w:rsid w:val="007951C2"/>
    <w:rsid w:val="00796613"/>
    <w:rsid w:val="00796983"/>
    <w:rsid w:val="007A07CE"/>
    <w:rsid w:val="007A1082"/>
    <w:rsid w:val="007A65E7"/>
    <w:rsid w:val="007B073C"/>
    <w:rsid w:val="007B18DC"/>
    <w:rsid w:val="007B1959"/>
    <w:rsid w:val="007B226A"/>
    <w:rsid w:val="007B3834"/>
    <w:rsid w:val="007B46A2"/>
    <w:rsid w:val="007B5B0C"/>
    <w:rsid w:val="007C17A7"/>
    <w:rsid w:val="007C2024"/>
    <w:rsid w:val="007C6038"/>
    <w:rsid w:val="007C687C"/>
    <w:rsid w:val="007D012C"/>
    <w:rsid w:val="007D082A"/>
    <w:rsid w:val="007D7235"/>
    <w:rsid w:val="007E3A0F"/>
    <w:rsid w:val="007E5E2E"/>
    <w:rsid w:val="007E6BDC"/>
    <w:rsid w:val="007F1ACE"/>
    <w:rsid w:val="007F293E"/>
    <w:rsid w:val="007F3751"/>
    <w:rsid w:val="007F5DFC"/>
    <w:rsid w:val="007F5FED"/>
    <w:rsid w:val="007F606D"/>
    <w:rsid w:val="007F6264"/>
    <w:rsid w:val="007F6D9A"/>
    <w:rsid w:val="007F7083"/>
    <w:rsid w:val="007F7274"/>
    <w:rsid w:val="00801955"/>
    <w:rsid w:val="00801D9B"/>
    <w:rsid w:val="00804C23"/>
    <w:rsid w:val="00805CA5"/>
    <w:rsid w:val="00806B86"/>
    <w:rsid w:val="00807C9E"/>
    <w:rsid w:val="00810868"/>
    <w:rsid w:val="00810C9F"/>
    <w:rsid w:val="008143A4"/>
    <w:rsid w:val="00815C7B"/>
    <w:rsid w:val="008224EF"/>
    <w:rsid w:val="008255EA"/>
    <w:rsid w:val="00825F77"/>
    <w:rsid w:val="00832AEE"/>
    <w:rsid w:val="00834AD0"/>
    <w:rsid w:val="00835495"/>
    <w:rsid w:val="00835932"/>
    <w:rsid w:val="008359DA"/>
    <w:rsid w:val="00837147"/>
    <w:rsid w:val="00841062"/>
    <w:rsid w:val="00841C42"/>
    <w:rsid w:val="00842233"/>
    <w:rsid w:val="008463DC"/>
    <w:rsid w:val="0085088A"/>
    <w:rsid w:val="00851FFC"/>
    <w:rsid w:val="008520B5"/>
    <w:rsid w:val="00853D9E"/>
    <w:rsid w:val="00855232"/>
    <w:rsid w:val="00861BBA"/>
    <w:rsid w:val="00862355"/>
    <w:rsid w:val="00862E97"/>
    <w:rsid w:val="0086592C"/>
    <w:rsid w:val="00875845"/>
    <w:rsid w:val="008767DF"/>
    <w:rsid w:val="00895F6F"/>
    <w:rsid w:val="008A00B9"/>
    <w:rsid w:val="008A3028"/>
    <w:rsid w:val="008A3597"/>
    <w:rsid w:val="008A48FC"/>
    <w:rsid w:val="008A5B19"/>
    <w:rsid w:val="008B1383"/>
    <w:rsid w:val="008B41DF"/>
    <w:rsid w:val="008B575D"/>
    <w:rsid w:val="008B58FF"/>
    <w:rsid w:val="008B62E9"/>
    <w:rsid w:val="008C0470"/>
    <w:rsid w:val="008D1338"/>
    <w:rsid w:val="008D459C"/>
    <w:rsid w:val="008D4A54"/>
    <w:rsid w:val="008E72DD"/>
    <w:rsid w:val="008F6156"/>
    <w:rsid w:val="0090136C"/>
    <w:rsid w:val="00902291"/>
    <w:rsid w:val="00903892"/>
    <w:rsid w:val="00906E57"/>
    <w:rsid w:val="0090747E"/>
    <w:rsid w:val="00910F4C"/>
    <w:rsid w:val="0091175A"/>
    <w:rsid w:val="00912B98"/>
    <w:rsid w:val="00914154"/>
    <w:rsid w:val="00914A47"/>
    <w:rsid w:val="00920457"/>
    <w:rsid w:val="00921EF4"/>
    <w:rsid w:val="00922A93"/>
    <w:rsid w:val="009241A7"/>
    <w:rsid w:val="009279FC"/>
    <w:rsid w:val="00933925"/>
    <w:rsid w:val="0093408C"/>
    <w:rsid w:val="009343F4"/>
    <w:rsid w:val="009358F9"/>
    <w:rsid w:val="009440D3"/>
    <w:rsid w:val="009464C9"/>
    <w:rsid w:val="009470C9"/>
    <w:rsid w:val="009479C5"/>
    <w:rsid w:val="00947F3D"/>
    <w:rsid w:val="00957590"/>
    <w:rsid w:val="009602E6"/>
    <w:rsid w:val="00962668"/>
    <w:rsid w:val="00964270"/>
    <w:rsid w:val="009659C2"/>
    <w:rsid w:val="009673CC"/>
    <w:rsid w:val="00967791"/>
    <w:rsid w:val="00967AAC"/>
    <w:rsid w:val="00967EBD"/>
    <w:rsid w:val="00971E1D"/>
    <w:rsid w:val="00973C9C"/>
    <w:rsid w:val="00976224"/>
    <w:rsid w:val="00977269"/>
    <w:rsid w:val="009778EB"/>
    <w:rsid w:val="0098164F"/>
    <w:rsid w:val="00991404"/>
    <w:rsid w:val="00992501"/>
    <w:rsid w:val="00993C46"/>
    <w:rsid w:val="009967F4"/>
    <w:rsid w:val="009B0128"/>
    <w:rsid w:val="009B2C2E"/>
    <w:rsid w:val="009B4961"/>
    <w:rsid w:val="009B72D1"/>
    <w:rsid w:val="009C0735"/>
    <w:rsid w:val="009C0EFF"/>
    <w:rsid w:val="009C2901"/>
    <w:rsid w:val="009C41E6"/>
    <w:rsid w:val="009C4493"/>
    <w:rsid w:val="009D2404"/>
    <w:rsid w:val="009D4E18"/>
    <w:rsid w:val="009D64A3"/>
    <w:rsid w:val="009E4B29"/>
    <w:rsid w:val="009E588D"/>
    <w:rsid w:val="009E6800"/>
    <w:rsid w:val="009F0EDA"/>
    <w:rsid w:val="009F2109"/>
    <w:rsid w:val="009F4100"/>
    <w:rsid w:val="009F4E84"/>
    <w:rsid w:val="009F6769"/>
    <w:rsid w:val="00A0035B"/>
    <w:rsid w:val="00A01D79"/>
    <w:rsid w:val="00A03702"/>
    <w:rsid w:val="00A04606"/>
    <w:rsid w:val="00A07FEC"/>
    <w:rsid w:val="00A14F46"/>
    <w:rsid w:val="00A15023"/>
    <w:rsid w:val="00A16206"/>
    <w:rsid w:val="00A162FE"/>
    <w:rsid w:val="00A16B80"/>
    <w:rsid w:val="00A20E8D"/>
    <w:rsid w:val="00A21E7C"/>
    <w:rsid w:val="00A25915"/>
    <w:rsid w:val="00A25A08"/>
    <w:rsid w:val="00A26EC0"/>
    <w:rsid w:val="00A27E66"/>
    <w:rsid w:val="00A30C0F"/>
    <w:rsid w:val="00A31FAB"/>
    <w:rsid w:val="00A33A0A"/>
    <w:rsid w:val="00A37752"/>
    <w:rsid w:val="00A42DDF"/>
    <w:rsid w:val="00A504FE"/>
    <w:rsid w:val="00A57416"/>
    <w:rsid w:val="00A6174B"/>
    <w:rsid w:val="00A624EB"/>
    <w:rsid w:val="00A627CB"/>
    <w:rsid w:val="00A63E31"/>
    <w:rsid w:val="00A641C4"/>
    <w:rsid w:val="00A64655"/>
    <w:rsid w:val="00A66D9F"/>
    <w:rsid w:val="00A6722A"/>
    <w:rsid w:val="00A67B6A"/>
    <w:rsid w:val="00A72F50"/>
    <w:rsid w:val="00A735D5"/>
    <w:rsid w:val="00A755F2"/>
    <w:rsid w:val="00A7732C"/>
    <w:rsid w:val="00A8206A"/>
    <w:rsid w:val="00A8218B"/>
    <w:rsid w:val="00A82D81"/>
    <w:rsid w:val="00A83862"/>
    <w:rsid w:val="00A9399B"/>
    <w:rsid w:val="00A94197"/>
    <w:rsid w:val="00A961A0"/>
    <w:rsid w:val="00AA0515"/>
    <w:rsid w:val="00AA0869"/>
    <w:rsid w:val="00AA16B3"/>
    <w:rsid w:val="00AA1AF2"/>
    <w:rsid w:val="00AA2718"/>
    <w:rsid w:val="00AA3558"/>
    <w:rsid w:val="00AA4505"/>
    <w:rsid w:val="00AA4CA9"/>
    <w:rsid w:val="00AA5835"/>
    <w:rsid w:val="00AA7B47"/>
    <w:rsid w:val="00AB0FFF"/>
    <w:rsid w:val="00AB57D1"/>
    <w:rsid w:val="00AB683A"/>
    <w:rsid w:val="00AC0E6E"/>
    <w:rsid w:val="00AC1052"/>
    <w:rsid w:val="00AC31E9"/>
    <w:rsid w:val="00AC4C07"/>
    <w:rsid w:val="00AC53E6"/>
    <w:rsid w:val="00AD18A1"/>
    <w:rsid w:val="00AD18A3"/>
    <w:rsid w:val="00AD4B88"/>
    <w:rsid w:val="00AD6A32"/>
    <w:rsid w:val="00AE27BB"/>
    <w:rsid w:val="00AF0D40"/>
    <w:rsid w:val="00AF29FB"/>
    <w:rsid w:val="00AF48DD"/>
    <w:rsid w:val="00AF6338"/>
    <w:rsid w:val="00AF6956"/>
    <w:rsid w:val="00AF7E8A"/>
    <w:rsid w:val="00B00820"/>
    <w:rsid w:val="00B03A5B"/>
    <w:rsid w:val="00B102B2"/>
    <w:rsid w:val="00B13F90"/>
    <w:rsid w:val="00B1554E"/>
    <w:rsid w:val="00B156D1"/>
    <w:rsid w:val="00B15EF6"/>
    <w:rsid w:val="00B16FA1"/>
    <w:rsid w:val="00B21731"/>
    <w:rsid w:val="00B21A0B"/>
    <w:rsid w:val="00B22C7A"/>
    <w:rsid w:val="00B23B58"/>
    <w:rsid w:val="00B24AE2"/>
    <w:rsid w:val="00B25A81"/>
    <w:rsid w:val="00B25FBC"/>
    <w:rsid w:val="00B26163"/>
    <w:rsid w:val="00B31C06"/>
    <w:rsid w:val="00B37136"/>
    <w:rsid w:val="00B418CC"/>
    <w:rsid w:val="00B447A9"/>
    <w:rsid w:val="00B46C62"/>
    <w:rsid w:val="00B47D56"/>
    <w:rsid w:val="00B52802"/>
    <w:rsid w:val="00B52872"/>
    <w:rsid w:val="00B52D65"/>
    <w:rsid w:val="00B5399C"/>
    <w:rsid w:val="00B54FF0"/>
    <w:rsid w:val="00B5527D"/>
    <w:rsid w:val="00B5653F"/>
    <w:rsid w:val="00B573BF"/>
    <w:rsid w:val="00B6177E"/>
    <w:rsid w:val="00B63C85"/>
    <w:rsid w:val="00B6703A"/>
    <w:rsid w:val="00B7343D"/>
    <w:rsid w:val="00B737C1"/>
    <w:rsid w:val="00B73930"/>
    <w:rsid w:val="00B76345"/>
    <w:rsid w:val="00B76D86"/>
    <w:rsid w:val="00B82E51"/>
    <w:rsid w:val="00B83BE8"/>
    <w:rsid w:val="00B84774"/>
    <w:rsid w:val="00B90747"/>
    <w:rsid w:val="00B910DF"/>
    <w:rsid w:val="00B942A8"/>
    <w:rsid w:val="00B94A95"/>
    <w:rsid w:val="00B9615F"/>
    <w:rsid w:val="00B97208"/>
    <w:rsid w:val="00B973A2"/>
    <w:rsid w:val="00B9755A"/>
    <w:rsid w:val="00BA189C"/>
    <w:rsid w:val="00BA1D32"/>
    <w:rsid w:val="00BA21C6"/>
    <w:rsid w:val="00BA2235"/>
    <w:rsid w:val="00BA2DA6"/>
    <w:rsid w:val="00BA5B0E"/>
    <w:rsid w:val="00BA7D9C"/>
    <w:rsid w:val="00BB179B"/>
    <w:rsid w:val="00BB198B"/>
    <w:rsid w:val="00BB1A61"/>
    <w:rsid w:val="00BB3467"/>
    <w:rsid w:val="00BB56BB"/>
    <w:rsid w:val="00BB618D"/>
    <w:rsid w:val="00BB649C"/>
    <w:rsid w:val="00BB68A1"/>
    <w:rsid w:val="00BB7AF9"/>
    <w:rsid w:val="00BB7E8B"/>
    <w:rsid w:val="00BC072F"/>
    <w:rsid w:val="00BC3C97"/>
    <w:rsid w:val="00BC6DF9"/>
    <w:rsid w:val="00BD0024"/>
    <w:rsid w:val="00BD7872"/>
    <w:rsid w:val="00BE3681"/>
    <w:rsid w:val="00BE548A"/>
    <w:rsid w:val="00BE6F04"/>
    <w:rsid w:val="00BF1977"/>
    <w:rsid w:val="00C0268C"/>
    <w:rsid w:val="00C02B31"/>
    <w:rsid w:val="00C03398"/>
    <w:rsid w:val="00C039F1"/>
    <w:rsid w:val="00C119D3"/>
    <w:rsid w:val="00C11C6C"/>
    <w:rsid w:val="00C16AC9"/>
    <w:rsid w:val="00C21E39"/>
    <w:rsid w:val="00C258B6"/>
    <w:rsid w:val="00C27341"/>
    <w:rsid w:val="00C30FF0"/>
    <w:rsid w:val="00C3125D"/>
    <w:rsid w:val="00C35BB6"/>
    <w:rsid w:val="00C369E2"/>
    <w:rsid w:val="00C407F2"/>
    <w:rsid w:val="00C40CCC"/>
    <w:rsid w:val="00C4181F"/>
    <w:rsid w:val="00C41F65"/>
    <w:rsid w:val="00C42234"/>
    <w:rsid w:val="00C504DF"/>
    <w:rsid w:val="00C52E51"/>
    <w:rsid w:val="00C55D73"/>
    <w:rsid w:val="00C57333"/>
    <w:rsid w:val="00C64D95"/>
    <w:rsid w:val="00C6538E"/>
    <w:rsid w:val="00C661AF"/>
    <w:rsid w:val="00C700F7"/>
    <w:rsid w:val="00C709EC"/>
    <w:rsid w:val="00C70A3B"/>
    <w:rsid w:val="00C7219D"/>
    <w:rsid w:val="00C72BEA"/>
    <w:rsid w:val="00C739D7"/>
    <w:rsid w:val="00C75975"/>
    <w:rsid w:val="00C75E91"/>
    <w:rsid w:val="00C75F64"/>
    <w:rsid w:val="00C76D30"/>
    <w:rsid w:val="00C77B0D"/>
    <w:rsid w:val="00C77BFB"/>
    <w:rsid w:val="00C80800"/>
    <w:rsid w:val="00C873F7"/>
    <w:rsid w:val="00C91640"/>
    <w:rsid w:val="00C91B24"/>
    <w:rsid w:val="00C95198"/>
    <w:rsid w:val="00C95CBE"/>
    <w:rsid w:val="00C97BD2"/>
    <w:rsid w:val="00CA0809"/>
    <w:rsid w:val="00CA2121"/>
    <w:rsid w:val="00CA3B66"/>
    <w:rsid w:val="00CA52F3"/>
    <w:rsid w:val="00CA5887"/>
    <w:rsid w:val="00CA6087"/>
    <w:rsid w:val="00CA6852"/>
    <w:rsid w:val="00CA734D"/>
    <w:rsid w:val="00CA75B6"/>
    <w:rsid w:val="00CB033B"/>
    <w:rsid w:val="00CB2977"/>
    <w:rsid w:val="00CB7111"/>
    <w:rsid w:val="00CB71C0"/>
    <w:rsid w:val="00CB7367"/>
    <w:rsid w:val="00CC5169"/>
    <w:rsid w:val="00CC58AF"/>
    <w:rsid w:val="00CC5DD7"/>
    <w:rsid w:val="00CD2FA0"/>
    <w:rsid w:val="00CD3DE5"/>
    <w:rsid w:val="00CE08FE"/>
    <w:rsid w:val="00CE10D5"/>
    <w:rsid w:val="00CE1A7E"/>
    <w:rsid w:val="00CE347B"/>
    <w:rsid w:val="00CE5429"/>
    <w:rsid w:val="00CE5C76"/>
    <w:rsid w:val="00CF100A"/>
    <w:rsid w:val="00CF154D"/>
    <w:rsid w:val="00CF5354"/>
    <w:rsid w:val="00CF5417"/>
    <w:rsid w:val="00CF7FDA"/>
    <w:rsid w:val="00D01DF2"/>
    <w:rsid w:val="00D02500"/>
    <w:rsid w:val="00D0354D"/>
    <w:rsid w:val="00D044D7"/>
    <w:rsid w:val="00D04B45"/>
    <w:rsid w:val="00D0500F"/>
    <w:rsid w:val="00D05932"/>
    <w:rsid w:val="00D05935"/>
    <w:rsid w:val="00D0642F"/>
    <w:rsid w:val="00D068AC"/>
    <w:rsid w:val="00D07874"/>
    <w:rsid w:val="00D11CE9"/>
    <w:rsid w:val="00D12B72"/>
    <w:rsid w:val="00D165A2"/>
    <w:rsid w:val="00D17E40"/>
    <w:rsid w:val="00D20B30"/>
    <w:rsid w:val="00D229CC"/>
    <w:rsid w:val="00D27F3F"/>
    <w:rsid w:val="00D353D3"/>
    <w:rsid w:val="00D35A7C"/>
    <w:rsid w:val="00D35BF7"/>
    <w:rsid w:val="00D36F6C"/>
    <w:rsid w:val="00D43437"/>
    <w:rsid w:val="00D43910"/>
    <w:rsid w:val="00D52D23"/>
    <w:rsid w:val="00D538C9"/>
    <w:rsid w:val="00D53F54"/>
    <w:rsid w:val="00D555CD"/>
    <w:rsid w:val="00D572B6"/>
    <w:rsid w:val="00D57493"/>
    <w:rsid w:val="00D63372"/>
    <w:rsid w:val="00D636A8"/>
    <w:rsid w:val="00D642EA"/>
    <w:rsid w:val="00D66C40"/>
    <w:rsid w:val="00D71BAF"/>
    <w:rsid w:val="00D720A5"/>
    <w:rsid w:val="00D73190"/>
    <w:rsid w:val="00D762AD"/>
    <w:rsid w:val="00D8043E"/>
    <w:rsid w:val="00D82935"/>
    <w:rsid w:val="00D85622"/>
    <w:rsid w:val="00D85EA1"/>
    <w:rsid w:val="00D8715F"/>
    <w:rsid w:val="00D90C61"/>
    <w:rsid w:val="00D913E3"/>
    <w:rsid w:val="00D93EC8"/>
    <w:rsid w:val="00D93F82"/>
    <w:rsid w:val="00DA282E"/>
    <w:rsid w:val="00DA2B61"/>
    <w:rsid w:val="00DA572C"/>
    <w:rsid w:val="00DB16CF"/>
    <w:rsid w:val="00DB2461"/>
    <w:rsid w:val="00DB28F5"/>
    <w:rsid w:val="00DB343D"/>
    <w:rsid w:val="00DB426F"/>
    <w:rsid w:val="00DB58FC"/>
    <w:rsid w:val="00DC0940"/>
    <w:rsid w:val="00DC1193"/>
    <w:rsid w:val="00DC2F8A"/>
    <w:rsid w:val="00DC4D08"/>
    <w:rsid w:val="00DC5E13"/>
    <w:rsid w:val="00DD24CC"/>
    <w:rsid w:val="00DD3696"/>
    <w:rsid w:val="00DD3DD2"/>
    <w:rsid w:val="00DD4C80"/>
    <w:rsid w:val="00DD5236"/>
    <w:rsid w:val="00DD5777"/>
    <w:rsid w:val="00DE24DE"/>
    <w:rsid w:val="00DE7262"/>
    <w:rsid w:val="00DF0BC5"/>
    <w:rsid w:val="00DF0D7B"/>
    <w:rsid w:val="00DF5447"/>
    <w:rsid w:val="00E0189E"/>
    <w:rsid w:val="00E01B44"/>
    <w:rsid w:val="00E02B2B"/>
    <w:rsid w:val="00E03D9C"/>
    <w:rsid w:val="00E060CF"/>
    <w:rsid w:val="00E07899"/>
    <w:rsid w:val="00E07C83"/>
    <w:rsid w:val="00E11B5E"/>
    <w:rsid w:val="00E12C07"/>
    <w:rsid w:val="00E12CEF"/>
    <w:rsid w:val="00E14A0B"/>
    <w:rsid w:val="00E2397E"/>
    <w:rsid w:val="00E25011"/>
    <w:rsid w:val="00E251E6"/>
    <w:rsid w:val="00E25D61"/>
    <w:rsid w:val="00E30162"/>
    <w:rsid w:val="00E33084"/>
    <w:rsid w:val="00E35A46"/>
    <w:rsid w:val="00E3611C"/>
    <w:rsid w:val="00E36651"/>
    <w:rsid w:val="00E400FD"/>
    <w:rsid w:val="00E41A09"/>
    <w:rsid w:val="00E42710"/>
    <w:rsid w:val="00E4354D"/>
    <w:rsid w:val="00E4521E"/>
    <w:rsid w:val="00E45A23"/>
    <w:rsid w:val="00E4618B"/>
    <w:rsid w:val="00E4682F"/>
    <w:rsid w:val="00E46E0D"/>
    <w:rsid w:val="00E474C7"/>
    <w:rsid w:val="00E5134D"/>
    <w:rsid w:val="00E520DD"/>
    <w:rsid w:val="00E61BF7"/>
    <w:rsid w:val="00E63539"/>
    <w:rsid w:val="00E642A3"/>
    <w:rsid w:val="00E6623A"/>
    <w:rsid w:val="00E6722A"/>
    <w:rsid w:val="00E7076D"/>
    <w:rsid w:val="00E7697C"/>
    <w:rsid w:val="00E77A62"/>
    <w:rsid w:val="00E81306"/>
    <w:rsid w:val="00E83F46"/>
    <w:rsid w:val="00E85730"/>
    <w:rsid w:val="00E85C14"/>
    <w:rsid w:val="00E87F8C"/>
    <w:rsid w:val="00E905F5"/>
    <w:rsid w:val="00E91318"/>
    <w:rsid w:val="00E924C0"/>
    <w:rsid w:val="00E9300A"/>
    <w:rsid w:val="00E93CE1"/>
    <w:rsid w:val="00E957D0"/>
    <w:rsid w:val="00EA1A33"/>
    <w:rsid w:val="00EA1F4D"/>
    <w:rsid w:val="00EA627B"/>
    <w:rsid w:val="00EB201C"/>
    <w:rsid w:val="00EB5B64"/>
    <w:rsid w:val="00EC0C9E"/>
    <w:rsid w:val="00EC11EF"/>
    <w:rsid w:val="00EC13BD"/>
    <w:rsid w:val="00EC1442"/>
    <w:rsid w:val="00EC2E67"/>
    <w:rsid w:val="00EC3CBC"/>
    <w:rsid w:val="00EC61B2"/>
    <w:rsid w:val="00EC6CA1"/>
    <w:rsid w:val="00EC79F7"/>
    <w:rsid w:val="00ED04FC"/>
    <w:rsid w:val="00ED151B"/>
    <w:rsid w:val="00ED1FE5"/>
    <w:rsid w:val="00ED2C1F"/>
    <w:rsid w:val="00ED3547"/>
    <w:rsid w:val="00ED4DBE"/>
    <w:rsid w:val="00ED521A"/>
    <w:rsid w:val="00ED5BD7"/>
    <w:rsid w:val="00ED5D85"/>
    <w:rsid w:val="00EE0D60"/>
    <w:rsid w:val="00EE1B40"/>
    <w:rsid w:val="00EE3149"/>
    <w:rsid w:val="00EE31B4"/>
    <w:rsid w:val="00EE4871"/>
    <w:rsid w:val="00EE5853"/>
    <w:rsid w:val="00EF13DD"/>
    <w:rsid w:val="00EF77CC"/>
    <w:rsid w:val="00EF79F7"/>
    <w:rsid w:val="00F009DA"/>
    <w:rsid w:val="00F0241B"/>
    <w:rsid w:val="00F02CA8"/>
    <w:rsid w:val="00F04716"/>
    <w:rsid w:val="00F103CA"/>
    <w:rsid w:val="00F10C96"/>
    <w:rsid w:val="00F11099"/>
    <w:rsid w:val="00F135D0"/>
    <w:rsid w:val="00F14B2F"/>
    <w:rsid w:val="00F15726"/>
    <w:rsid w:val="00F16359"/>
    <w:rsid w:val="00F22365"/>
    <w:rsid w:val="00F2257B"/>
    <w:rsid w:val="00F22BA4"/>
    <w:rsid w:val="00F230BD"/>
    <w:rsid w:val="00F2382D"/>
    <w:rsid w:val="00F24243"/>
    <w:rsid w:val="00F24C5C"/>
    <w:rsid w:val="00F25729"/>
    <w:rsid w:val="00F25CF1"/>
    <w:rsid w:val="00F312E9"/>
    <w:rsid w:val="00F31DA0"/>
    <w:rsid w:val="00F3342A"/>
    <w:rsid w:val="00F33A13"/>
    <w:rsid w:val="00F34D23"/>
    <w:rsid w:val="00F35733"/>
    <w:rsid w:val="00F366F8"/>
    <w:rsid w:val="00F3797D"/>
    <w:rsid w:val="00F4676C"/>
    <w:rsid w:val="00F52EDA"/>
    <w:rsid w:val="00F5351D"/>
    <w:rsid w:val="00F53FEB"/>
    <w:rsid w:val="00F5567B"/>
    <w:rsid w:val="00F56014"/>
    <w:rsid w:val="00F5649D"/>
    <w:rsid w:val="00F6121C"/>
    <w:rsid w:val="00F61658"/>
    <w:rsid w:val="00F62511"/>
    <w:rsid w:val="00F6256A"/>
    <w:rsid w:val="00F65832"/>
    <w:rsid w:val="00F70CF6"/>
    <w:rsid w:val="00F71415"/>
    <w:rsid w:val="00F73258"/>
    <w:rsid w:val="00F76DC9"/>
    <w:rsid w:val="00F80660"/>
    <w:rsid w:val="00F82653"/>
    <w:rsid w:val="00F831A1"/>
    <w:rsid w:val="00F847AA"/>
    <w:rsid w:val="00F85629"/>
    <w:rsid w:val="00F866EC"/>
    <w:rsid w:val="00F87E50"/>
    <w:rsid w:val="00F91521"/>
    <w:rsid w:val="00F916F4"/>
    <w:rsid w:val="00F93034"/>
    <w:rsid w:val="00F93267"/>
    <w:rsid w:val="00F9331F"/>
    <w:rsid w:val="00F95517"/>
    <w:rsid w:val="00F96935"/>
    <w:rsid w:val="00FA236E"/>
    <w:rsid w:val="00FA28D6"/>
    <w:rsid w:val="00FA3BEE"/>
    <w:rsid w:val="00FA444B"/>
    <w:rsid w:val="00FA4962"/>
    <w:rsid w:val="00FA5D4A"/>
    <w:rsid w:val="00FA7FDB"/>
    <w:rsid w:val="00FB2110"/>
    <w:rsid w:val="00FB3827"/>
    <w:rsid w:val="00FB4AAE"/>
    <w:rsid w:val="00FC161C"/>
    <w:rsid w:val="00FC3566"/>
    <w:rsid w:val="00FC5353"/>
    <w:rsid w:val="00FC67C2"/>
    <w:rsid w:val="00FD0458"/>
    <w:rsid w:val="00FD1853"/>
    <w:rsid w:val="00FD4934"/>
    <w:rsid w:val="00FD543D"/>
    <w:rsid w:val="00FD56AC"/>
    <w:rsid w:val="00FD59B7"/>
    <w:rsid w:val="00FD6EAA"/>
    <w:rsid w:val="00FE0B65"/>
    <w:rsid w:val="00FE0DD0"/>
    <w:rsid w:val="00FE16C9"/>
    <w:rsid w:val="00FE19B5"/>
    <w:rsid w:val="00FE32D2"/>
    <w:rsid w:val="00FE35A1"/>
    <w:rsid w:val="00FE44EB"/>
    <w:rsid w:val="00FE5DC7"/>
    <w:rsid w:val="00FE742E"/>
    <w:rsid w:val="00FF72B6"/>
    <w:rsid w:val="10C89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E582F"/>
  <w15:chartTrackingRefBased/>
  <w15:docId w15:val="{D934A95A-5A76-46C6-A3B0-2EF4410458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C1442"/>
    <w:pPr>
      <w:spacing w:after="220" w:line="264" w:lineRule="auto"/>
    </w:pPr>
    <w:rPr>
      <w:rFonts w:ascii="Times New Roman" w:hAnsi="Times New Roman"/>
      <w:color w:val="000000"/>
      <w:sz w:val="22"/>
      <w:szCs w:val="21"/>
    </w:rPr>
  </w:style>
  <w:style w:type="paragraph" w:styleId="Heading1">
    <w:name w:val="heading 1"/>
    <w:basedOn w:val="Normal"/>
    <w:next w:val="Normal"/>
    <w:link w:val="Heading1Char"/>
    <w:uiPriority w:val="9"/>
    <w:qFormat/>
    <w:rsid w:val="000C1E6A"/>
    <w:pPr>
      <w:keepNext/>
      <w:keepLines/>
      <w:pBdr>
        <w:bottom w:val="single" w:color="5B9BD5" w:sz="4" w:space="1"/>
      </w:pBdr>
      <w:spacing w:before="240" w:after="40" w:line="240" w:lineRule="auto"/>
      <w:jc w:val="center"/>
      <w:outlineLvl w:val="0"/>
    </w:pPr>
    <w:rPr>
      <w:rFonts w:eastAsia="SimSun"/>
      <w:b/>
      <w:color w:val="1F4E79" w:themeColor="accent1" w:themeShade="80"/>
      <w:sz w:val="36"/>
      <w:szCs w:val="36"/>
    </w:rPr>
  </w:style>
  <w:style w:type="paragraph" w:styleId="Heading2">
    <w:name w:val="heading 2"/>
    <w:basedOn w:val="Normal"/>
    <w:next w:val="Normal"/>
    <w:link w:val="Heading2Char"/>
    <w:uiPriority w:val="9"/>
    <w:qFormat/>
    <w:rsid w:val="00077201"/>
    <w:pPr>
      <w:keepNext/>
      <w:keepLines/>
      <w:spacing w:after="240" w:line="240" w:lineRule="auto"/>
      <w:jc w:val="center"/>
      <w:outlineLvl w:val="1"/>
    </w:pPr>
    <w:rPr>
      <w:rFonts w:eastAsia="SimSun"/>
      <w:b/>
      <w:color w:val="1F4E79" w:themeColor="accent1" w:themeShade="80"/>
      <w:sz w:val="26"/>
      <w:szCs w:val="26"/>
    </w:rPr>
  </w:style>
  <w:style w:type="paragraph" w:styleId="Heading3">
    <w:name w:val="heading 3"/>
    <w:basedOn w:val="Heading2"/>
    <w:next w:val="Normal"/>
    <w:link w:val="Heading3Char"/>
    <w:autoRedefine/>
    <w:uiPriority w:val="9"/>
    <w:qFormat/>
    <w:rsid w:val="00F11099"/>
    <w:pPr>
      <w:jc w:val="left"/>
      <w:outlineLvl w:val="2"/>
    </w:pPr>
    <w:rPr>
      <w:b w:val="0"/>
      <w:color w:val="44546A" w:themeColor="text2"/>
      <w:sz w:val="24"/>
      <w:szCs w:val="24"/>
    </w:rPr>
  </w:style>
  <w:style w:type="paragraph" w:styleId="Heading4">
    <w:name w:val="heading 4"/>
    <w:basedOn w:val="Normal"/>
    <w:next w:val="Normal"/>
    <w:link w:val="Heading4Char"/>
    <w:uiPriority w:val="4"/>
    <w:qFormat/>
    <w:rsid w:val="00B25A81"/>
    <w:pPr>
      <w:spacing w:before="120" w:after="120"/>
      <w:outlineLvl w:val="3"/>
    </w:pPr>
    <w:rPr>
      <w:b/>
      <w:bCs/>
      <w:sz w:val="24"/>
    </w:rPr>
  </w:style>
  <w:style w:type="paragraph" w:styleId="Heading5">
    <w:name w:val="heading 5"/>
    <w:basedOn w:val="Normal"/>
    <w:next w:val="Normal"/>
    <w:link w:val="Heading5Char"/>
    <w:uiPriority w:val="9"/>
    <w:qFormat/>
    <w:rsid w:val="00FD1853"/>
    <w:pPr>
      <w:keepNext/>
      <w:keepLines/>
      <w:spacing w:before="240" w:after="240"/>
      <w:outlineLvl w:val="4"/>
    </w:pPr>
    <w:rPr>
      <w:rFonts w:ascii="Calibri Light" w:hAnsi="Calibri Light" w:eastAsia="SimSun"/>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hAnsi="Calibri Light" w:eastAsia="SimSun"/>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hAnsi="Calibri Light" w:eastAsia="SimSun"/>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hAnsi="Calibri Light" w:eastAsia="SimSun"/>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hAnsi="Calibri Light" w:eastAsia="SimSun"/>
      <w:i/>
      <w:iCs/>
      <w:smallCaps/>
      <w:color w:val="595959"/>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semiHidden/>
    <w:unhideWhenUsed/>
    <w:rsid w:val="00D93EC8"/>
    <w:rPr>
      <w:sz w:val="16"/>
      <w:szCs w:val="16"/>
    </w:rPr>
  </w:style>
  <w:style w:type="paragraph" w:styleId="CommentText">
    <w:name w:val="annotation text"/>
    <w:basedOn w:val="Normal"/>
    <w:link w:val="CommentTextChar"/>
    <w:unhideWhenUsed/>
    <w:rsid w:val="00D93EC8"/>
    <w:rPr>
      <w:sz w:val="20"/>
    </w:rPr>
  </w:style>
  <w:style w:type="character" w:styleId="CommentTextChar" w:customStyle="1">
    <w:name w:val="Comment Text Char"/>
    <w:basedOn w:val="DefaultParagraphFont"/>
    <w:link w:val="CommentText"/>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styleId="CommentSubjectChar" w:customStyle="1">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unhideWhenUsed/>
    <w:rsid w:val="00E14A0B"/>
    <w:pPr>
      <w:spacing w:before="100" w:beforeAutospacing="1" w:after="100" w:afterAutospacing="1"/>
    </w:pPr>
    <w:rPr>
      <w:szCs w:val="24"/>
    </w:rPr>
  </w:style>
  <w:style w:type="paragraph" w:styleId="NonRegBody" w:customStyle="1">
    <w:name w:val="Non Reg Body"/>
    <w:basedOn w:val="Normal"/>
    <w:link w:val="NonRegBodyChar"/>
    <w:rsid w:val="00B94A95"/>
    <w:pPr>
      <w:autoSpaceDE w:val="0"/>
      <w:autoSpaceDN w:val="0"/>
      <w:adjustRightInd w:val="0"/>
      <w:ind w:left="1296"/>
    </w:pPr>
    <w:rPr>
      <w:sz w:val="23"/>
      <w:szCs w:val="23"/>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uiPriority w:val="9"/>
    <w:semiHidden/>
    <w:rsid w:val="00FD1853"/>
    <w:rPr>
      <w:rFonts w:ascii="Calibri Light" w:hAnsi="Calibri Light" w:eastAsia="SimSun" w:cs="Times New Roman"/>
      <w:i/>
      <w:iCs/>
      <w:smallCaps/>
      <w:color w:val="595959"/>
    </w:rPr>
  </w:style>
  <w:style w:type="character" w:styleId="BodyText3Char" w:customStyle="1">
    <w:name w:val="Body Text 3 Char"/>
    <w:link w:val="BodyText3"/>
    <w:uiPriority w:val="99"/>
    <w:rsid w:val="00C27341"/>
    <w:rPr>
      <w:b/>
      <w:sz w:val="24"/>
    </w:rPr>
  </w:style>
  <w:style w:type="character" w:styleId="Heading1Char" w:customStyle="1">
    <w:name w:val="Heading 1 Char"/>
    <w:link w:val="Heading1"/>
    <w:uiPriority w:val="9"/>
    <w:rsid w:val="000C1E6A"/>
    <w:rPr>
      <w:rFonts w:ascii="Times New Roman" w:hAnsi="Times New Roman" w:eastAsia="SimSun"/>
      <w:b/>
      <w:color w:val="1F4E79" w:themeColor="accent1" w:themeShade="80"/>
      <w:sz w:val="36"/>
      <w:szCs w:val="36"/>
    </w:rPr>
  </w:style>
  <w:style w:type="character" w:styleId="Heading2Char" w:customStyle="1">
    <w:name w:val="Heading 2 Char"/>
    <w:link w:val="Heading2"/>
    <w:uiPriority w:val="9"/>
    <w:rsid w:val="00077201"/>
    <w:rPr>
      <w:rFonts w:ascii="Times New Roman" w:hAnsi="Times New Roman" w:eastAsia="SimSun"/>
      <w:b/>
      <w:color w:val="1F4E79" w:themeColor="accent1" w:themeShade="80"/>
      <w:sz w:val="26"/>
      <w:szCs w:val="26"/>
    </w:rPr>
  </w:style>
  <w:style w:type="character" w:styleId="Heading3Char" w:customStyle="1">
    <w:name w:val="Heading 3 Char"/>
    <w:link w:val="Heading3"/>
    <w:uiPriority w:val="9"/>
    <w:rsid w:val="00F11099"/>
    <w:rPr>
      <w:rFonts w:ascii="Times New Roman" w:hAnsi="Times New Roman" w:eastAsia="SimSun"/>
      <w:color w:val="44546A" w:themeColor="text2"/>
      <w:sz w:val="24"/>
      <w:szCs w:val="24"/>
    </w:rPr>
  </w:style>
  <w:style w:type="character" w:styleId="Heading4Char" w:customStyle="1">
    <w:name w:val="Heading 4 Char"/>
    <w:link w:val="Heading4"/>
    <w:uiPriority w:val="4"/>
    <w:rsid w:val="00B25A81"/>
    <w:rPr>
      <w:rFonts w:ascii="Times New Roman" w:hAnsi="Times New Roman"/>
      <w:b/>
      <w:bCs/>
      <w:color w:val="000000"/>
      <w:sz w:val="24"/>
      <w:szCs w:val="21"/>
    </w:rPr>
  </w:style>
  <w:style w:type="character" w:styleId="Heading5Char" w:customStyle="1">
    <w:name w:val="Heading 5 Char"/>
    <w:link w:val="Heading5"/>
    <w:uiPriority w:val="9"/>
    <w:rsid w:val="00FD1853"/>
    <w:rPr>
      <w:rFonts w:ascii="Calibri Light" w:hAnsi="Calibri Light" w:eastAsia="SimSun" w:cs="Times New Roman"/>
      <w:b/>
      <w:i/>
      <w:iCs/>
      <w:sz w:val="22"/>
      <w:szCs w:val="22"/>
    </w:rPr>
  </w:style>
  <w:style w:type="character" w:styleId="Heading6Char" w:customStyle="1">
    <w:name w:val="Heading 6 Char"/>
    <w:link w:val="Heading6"/>
    <w:uiPriority w:val="9"/>
    <w:semiHidden/>
    <w:rsid w:val="00FD1853"/>
    <w:rPr>
      <w:rFonts w:ascii="Calibri Light" w:hAnsi="Calibri Light" w:eastAsia="SimSun" w:cs="Times New Roman"/>
      <w:color w:val="595959"/>
    </w:rPr>
  </w:style>
  <w:style w:type="character" w:styleId="Heading7Char" w:customStyle="1">
    <w:name w:val="Heading 7 Char"/>
    <w:link w:val="Heading7"/>
    <w:uiPriority w:val="9"/>
    <w:rsid w:val="00FD1853"/>
    <w:rPr>
      <w:rFonts w:ascii="Calibri Light" w:hAnsi="Calibri Light" w:eastAsia="SimSun" w:cs="Times New Roman"/>
      <w:iCs/>
      <w:color w:val="000000"/>
      <w:sz w:val="22"/>
    </w:rPr>
  </w:style>
  <w:style w:type="character" w:styleId="Heading8Char" w:customStyle="1">
    <w:name w:val="Heading 8 Char"/>
    <w:link w:val="Heading8"/>
    <w:uiPriority w:val="9"/>
    <w:semiHidden/>
    <w:rsid w:val="00FD1853"/>
    <w:rPr>
      <w:rFonts w:ascii="Calibri Light" w:hAnsi="Calibri Light" w:eastAsia="SimSun"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hAnsi="Calibri Light" w:eastAsia="SimSun"/>
      <w:color w:val="2E74B5"/>
      <w:spacing w:val="-7"/>
      <w:sz w:val="80"/>
      <w:szCs w:val="80"/>
    </w:rPr>
  </w:style>
  <w:style w:type="character" w:styleId="TitleChar" w:customStyle="1">
    <w:name w:val="Title Char"/>
    <w:link w:val="Title"/>
    <w:uiPriority w:val="10"/>
    <w:rsid w:val="00FD1853"/>
    <w:rPr>
      <w:rFonts w:ascii="Calibri Light" w:hAnsi="Calibri Light" w:eastAsia="SimSun"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hAnsi="Calibri Light" w:eastAsia="SimSun"/>
      <w:color w:val="404040"/>
      <w:sz w:val="30"/>
      <w:szCs w:val="30"/>
    </w:rPr>
  </w:style>
  <w:style w:type="character" w:styleId="SubtitleChar" w:customStyle="1">
    <w:name w:val="Subtitle Char"/>
    <w:link w:val="Subtitle"/>
    <w:uiPriority w:val="11"/>
    <w:rsid w:val="00FD1853"/>
    <w:rPr>
      <w:rFonts w:ascii="Calibri Light" w:hAnsi="Calibri Light" w:eastAsia="SimSun" w:cs="Times New Roman"/>
      <w:color w:val="404040"/>
      <w:sz w:val="30"/>
      <w:szCs w:val="30"/>
    </w:rPr>
  </w:style>
  <w:style w:type="character" w:styleId="Strong">
    <w:name w:val="Strong"/>
    <w:uiPriority w:val="22"/>
    <w:qFormat/>
    <w:rsid w:val="009D64A3"/>
    <w:rPr>
      <w:rFonts w:ascii="Times New Roman" w:hAnsi="Times New Roman"/>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styleId="QuoteChar" w:customStyle="1">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hAnsi="Calibri Light" w:eastAsia="SimSun"/>
      <w:color w:val="5B9BD5"/>
      <w:sz w:val="28"/>
      <w:szCs w:val="28"/>
    </w:rPr>
  </w:style>
  <w:style w:type="character" w:styleId="IntenseQuoteChar" w:customStyle="1">
    <w:name w:val="Intense Quote Char"/>
    <w:link w:val="IntenseQuote"/>
    <w:uiPriority w:val="30"/>
    <w:rsid w:val="00FD1853"/>
    <w:rPr>
      <w:rFonts w:ascii="Calibri Light" w:hAnsi="Calibri Light" w:eastAsia="SimSun"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D66C40"/>
    <w:pPr>
      <w:spacing w:after="100"/>
    </w:pPr>
  </w:style>
  <w:style w:type="paragraph" w:styleId="TOC2">
    <w:name w:val="toc 2"/>
    <w:basedOn w:val="Normal"/>
    <w:next w:val="Normal"/>
    <w:autoRedefine/>
    <w:uiPriority w:val="39"/>
    <w:unhideWhenUsed/>
    <w:rsid w:val="00D66C40"/>
    <w:pPr>
      <w:spacing w:after="100"/>
      <w:ind w:left="220"/>
    </w:pPr>
  </w:style>
  <w:style w:type="paragraph" w:styleId="TOC3">
    <w:name w:val="toc 3"/>
    <w:basedOn w:val="Normal"/>
    <w:next w:val="Normal"/>
    <w:autoRedefine/>
    <w:uiPriority w:val="39"/>
    <w:unhideWhenUsed/>
    <w:rsid w:val="00456CF3"/>
    <w:pPr>
      <w:tabs>
        <w:tab w:val="left" w:pos="1100"/>
        <w:tab w:val="right" w:leader="dot" w:pos="9350"/>
      </w:tabs>
      <w:spacing w:after="100"/>
    </w:pPr>
  </w:style>
  <w:style w:type="paragraph" w:styleId="TOC4">
    <w:name w:val="toc 4"/>
    <w:basedOn w:val="Normal"/>
    <w:next w:val="Normal"/>
    <w:autoRedefine/>
    <w:uiPriority w:val="39"/>
    <w:unhideWhenUsed/>
    <w:rsid w:val="00D66C40"/>
    <w:pPr>
      <w:spacing w:after="100"/>
      <w:ind w:left="660"/>
    </w:pPr>
  </w:style>
  <w:style w:type="numbering" w:styleId="Style1" w:customStyle="1">
    <w:name w:val="Style1"/>
    <w:uiPriority w:val="99"/>
    <w:rsid w:val="00C80800"/>
    <w:pPr>
      <w:numPr>
        <w:numId w:val="2"/>
      </w:numPr>
    </w:pPr>
  </w:style>
  <w:style w:type="table" w:styleId="TableGrid1" w:customStyle="1">
    <w:name w:val="Table Grid1"/>
    <w:basedOn w:val="TableNormal"/>
    <w:next w:val="TableGrid"/>
    <w:uiPriority w:val="59"/>
    <w:rsid w:val="005F24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051DEC"/>
    <w:rPr>
      <w:color w:val="000000"/>
      <w:sz w:val="22"/>
      <w:szCs w:val="21"/>
    </w:rPr>
  </w:style>
  <w:style w:type="paragraph" w:styleId="Default" w:customStyle="1">
    <w:name w:val="Default"/>
    <w:rsid w:val="009C0EFF"/>
    <w:pPr>
      <w:autoSpaceDE w:val="0"/>
      <w:autoSpaceDN w:val="0"/>
      <w:adjustRightInd w:val="0"/>
    </w:pPr>
    <w:rPr>
      <w:rFonts w:ascii="Times New Roman" w:hAnsi="Times New Roman"/>
      <w:color w:val="000000"/>
      <w:sz w:val="24"/>
      <w:szCs w:val="24"/>
    </w:rPr>
  </w:style>
  <w:style w:type="character" w:styleId="UnresolvedMention1" w:customStyle="1">
    <w:name w:val="Unresolved Mention1"/>
    <w:basedOn w:val="DefaultParagraphFont"/>
    <w:uiPriority w:val="99"/>
    <w:semiHidden/>
    <w:unhideWhenUsed/>
    <w:rsid w:val="001009C4"/>
    <w:rPr>
      <w:color w:val="605E5C"/>
      <w:shd w:val="clear" w:color="auto" w:fill="E1DFDD"/>
    </w:rPr>
  </w:style>
  <w:style w:type="paragraph" w:styleId="BodyText2">
    <w:name w:val="Body Text 2"/>
    <w:basedOn w:val="Normal"/>
    <w:link w:val="BodyText2Char"/>
    <w:uiPriority w:val="99"/>
    <w:unhideWhenUsed/>
    <w:rsid w:val="00D05935"/>
    <w:pPr>
      <w:spacing w:after="120" w:line="480" w:lineRule="auto"/>
    </w:pPr>
  </w:style>
  <w:style w:type="character" w:styleId="BodyText2Char" w:customStyle="1">
    <w:name w:val="Body Text 2 Char"/>
    <w:basedOn w:val="DefaultParagraphFont"/>
    <w:link w:val="BodyText2"/>
    <w:uiPriority w:val="99"/>
    <w:rsid w:val="00D05935"/>
    <w:rPr>
      <w:color w:val="000000"/>
      <w:sz w:val="22"/>
      <w:szCs w:val="21"/>
    </w:rPr>
  </w:style>
  <w:style w:type="paragraph" w:styleId="c1" w:customStyle="1">
    <w:name w:val="c1"/>
    <w:basedOn w:val="Normal"/>
    <w:uiPriority w:val="99"/>
    <w:rsid w:val="003A4C69"/>
    <w:pPr>
      <w:widowControl w:val="0"/>
      <w:autoSpaceDE w:val="0"/>
      <w:autoSpaceDN w:val="0"/>
      <w:adjustRightInd w:val="0"/>
      <w:spacing w:after="0" w:line="240" w:lineRule="atLeast"/>
      <w:jc w:val="center"/>
    </w:pPr>
    <w:rPr>
      <w:color w:val="auto"/>
      <w:sz w:val="24"/>
      <w:szCs w:val="24"/>
    </w:rPr>
  </w:style>
  <w:style w:type="character" w:styleId="HeaderChar" w:customStyle="1">
    <w:name w:val="Header Char"/>
    <w:link w:val="Header"/>
    <w:uiPriority w:val="99"/>
    <w:rsid w:val="003A4C69"/>
    <w:rPr>
      <w:color w:val="000000"/>
      <w:sz w:val="22"/>
      <w:szCs w:val="21"/>
    </w:rPr>
  </w:style>
  <w:style w:type="paragraph" w:styleId="UMText" w:customStyle="1">
    <w:name w:val="UMText"/>
    <w:basedOn w:val="Normal"/>
    <w:rsid w:val="00C258B6"/>
    <w:pPr>
      <w:spacing w:before="80" w:after="120" w:line="240" w:lineRule="auto"/>
    </w:pPr>
    <w:rPr>
      <w:rFonts w:ascii="Arial" w:hAnsi="Arial"/>
      <w:color w:val="auto"/>
      <w:sz w:val="24"/>
      <w:szCs w:val="20"/>
    </w:rPr>
  </w:style>
  <w:style w:type="paragraph" w:styleId="Revision">
    <w:name w:val="Revision"/>
    <w:hidden/>
    <w:uiPriority w:val="99"/>
    <w:semiHidden/>
    <w:rsid w:val="00ED521A"/>
    <w:rPr>
      <w:color w:val="000000"/>
      <w:sz w:val="22"/>
      <w:szCs w:val="21"/>
    </w:rPr>
  </w:style>
  <w:style w:type="character" w:styleId="UnresolvedMention">
    <w:name w:val="Unresolved Mention"/>
    <w:basedOn w:val="DefaultParagraphFont"/>
    <w:uiPriority w:val="99"/>
    <w:semiHidden/>
    <w:unhideWhenUsed/>
    <w:rsid w:val="007767E0"/>
    <w:rPr>
      <w:color w:val="605E5C"/>
      <w:shd w:val="clear" w:color="auto" w:fill="E1DFDD"/>
    </w:rPr>
  </w:style>
  <w:style w:type="numbering" w:styleId="Numberedlist6ptafter" w:customStyle="1">
    <w:name w:val="Numbered list 6 pt after"/>
    <w:basedOn w:val="NoList"/>
    <w:uiPriority w:val="99"/>
    <w:rsid w:val="00EC1442"/>
    <w:pPr>
      <w:numPr>
        <w:numId w:val="10"/>
      </w:numPr>
    </w:pPr>
  </w:style>
  <w:style w:type="character" w:styleId="BodyTextChar" w:customStyle="1">
    <w:name w:val="Body Text Char"/>
    <w:basedOn w:val="DefaultParagraphFont"/>
    <w:link w:val="BodyText"/>
    <w:rsid w:val="00EC1442"/>
    <w:rPr>
      <w:rFonts w:ascii="Times New Roman" w:hAnsi="Times New Roman"/>
      <w:snapToGrid w:val="0"/>
      <w:color w:val="000000"/>
      <w:sz w:val="22"/>
      <w:szCs w:val="21"/>
    </w:rPr>
  </w:style>
  <w:style w:type="character" w:styleId="BodyTextIndentChar" w:customStyle="1">
    <w:name w:val="Body Text Indent Char"/>
    <w:basedOn w:val="DefaultParagraphFont"/>
    <w:link w:val="BodyTextIndent"/>
    <w:rsid w:val="00EC1442"/>
    <w:rPr>
      <w:rFonts w:ascii="Times New Roman" w:hAnsi="Times New Roman"/>
      <w:snapToGrid w:val="0"/>
      <w:color w:val="000000"/>
      <w:sz w:val="22"/>
      <w:szCs w:val="21"/>
    </w:rPr>
  </w:style>
  <w:style w:type="character" w:styleId="apple-converted-space" w:customStyle="1">
    <w:name w:val="apple-converted-space"/>
    <w:basedOn w:val="DefaultParagraphFont"/>
    <w:rsid w:val="00E4521E"/>
  </w:style>
  <w:style w:type="character" w:styleId="BodyTextChar2" w:customStyle="1">
    <w:name w:val="Body Text Char2"/>
    <w:aliases w:val="Body Text Char Char,Body Text Char1 Char1"/>
    <w:basedOn w:val="DefaultParagraphFont"/>
    <w:rsid w:val="00B973A2"/>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96374795">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state.nj.us/education/grants/discretionary/apps/" TargetMode="External" Id="rId18" /><Relationship Type="http://schemas.openxmlformats.org/officeDocument/2006/relationships/hyperlink" Target="http://www.ecfr.gov/" TargetMode="External" Id="rId26" /><Relationship Type="http://schemas.openxmlformats.org/officeDocument/2006/relationships/customXml" Target="../customXml/item3.xml" Id="rId3" /><Relationship Type="http://schemas.openxmlformats.org/officeDocument/2006/relationships/hyperlink" Target="mailto:AAIUNIT@treas.nj.gov"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homeroom.state.nj.us/" TargetMode="External" Id="rId17" /><Relationship Type="http://schemas.openxmlformats.org/officeDocument/2006/relationships/hyperlink" Target="http://www.state.nj.us/education/grants/discretionary/apps" TargetMode="External" Id="rId25" /><Relationship Type="http://schemas.openxmlformats.org/officeDocument/2006/relationships/customXml" Target="../customXml/item2.xml" Id="rId2" /><Relationship Type="http://schemas.openxmlformats.org/officeDocument/2006/relationships/hyperlink" Target="http://www.sam.gov/" TargetMode="External" Id="rId16" /><Relationship Type="http://schemas.openxmlformats.org/officeDocument/2006/relationships/hyperlink" Target="https://www.nj.gov/treasury/omb/pdf/forms/W9.pdf" TargetMode="External" Id="rId20" /><Relationship Type="http://schemas.openxmlformats.org/officeDocument/2006/relationships/hyperlink" Target="mailto:haydee.perez@doe.nj.gov"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www.state.nj.us/education/21cclc/casp/"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www.nj.gov/education/grants/discretionary" TargetMode="External" Id="rId15" /><Relationship Type="http://schemas.openxmlformats.org/officeDocument/2006/relationships/hyperlink" Target="https://y4y.ed.gov/" TargetMode="External" Id="rId23" /><Relationship Type="http://schemas.openxmlformats.org/officeDocument/2006/relationships/hyperlink" Target="http://www.sam.gov/" TargetMode="External" Id="rId28" /><Relationship Type="http://schemas.openxmlformats.org/officeDocument/2006/relationships/endnotes" Target="endnotes.xml" Id="rId10" /><Relationship Type="http://schemas.openxmlformats.org/officeDocument/2006/relationships/hyperlink" Target="http://homeroom.state.nj.us/"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homeroom.state.nj.us/" TargetMode="External" Id="rId14" /><Relationship Type="http://schemas.openxmlformats.org/officeDocument/2006/relationships/hyperlink" Target="http://homeroom.state.nj.us/" TargetMode="External" Id="rId22" /><Relationship Type="http://schemas.openxmlformats.org/officeDocument/2006/relationships/hyperlink" Target="http://homeroom.state.nj.us/" TargetMode="External" Id="rId27" /><Relationship Type="http://schemas.openxmlformats.org/officeDocument/2006/relationships/header" Target="header1.xml" Id="rId30" /><Relationship Type="http://schemas.openxmlformats.org/officeDocument/2006/relationships/glossaryDocument" Target="glossary/document.xml" Id="R327329b5d701457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65d4fff-a8c4-4468-9d91-d80874d444d0}"/>
      </w:docPartPr>
      <w:docPartBody>
        <w:p w14:paraId="25BA1E3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F54E0E635474CA4C31E1F9406FD4F" ma:contentTypeVersion="9" ma:contentTypeDescription="Create a new document." ma:contentTypeScope="" ma:versionID="d98b8092a20f2ec01459844dcdca28b4">
  <xsd:schema xmlns:xsd="http://www.w3.org/2001/XMLSchema" xmlns:xs="http://www.w3.org/2001/XMLSchema" xmlns:p="http://schemas.microsoft.com/office/2006/metadata/properties" xmlns:ns3="2e0cc14b-3433-47d2-9ecb-c039442521bb" targetNamespace="http://schemas.microsoft.com/office/2006/metadata/properties" ma:root="true" ma:fieldsID="095e53bac0de884daed1e57c90771759" ns3:_="">
    <xsd:import namespace="2e0cc14b-3433-47d2-9ecb-c039442521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cc14b-3433-47d2-9ecb-c03944252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0EDF9-EC25-4160-B80B-B0B609320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cc14b-3433-47d2-9ecb-c03944252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A531B-4A50-411F-B4C7-DE89FF5D19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B09634-06A7-4903-BF50-1F79161604CE}">
  <ds:schemaRefs>
    <ds:schemaRef ds:uri="http://schemas.microsoft.com/sharepoint/v3/contenttype/forms"/>
  </ds:schemaRefs>
</ds:datastoreItem>
</file>

<file path=customXml/itemProps4.xml><?xml version="1.0" encoding="utf-8"?>
<ds:datastoreItem xmlns:ds="http://schemas.openxmlformats.org/officeDocument/2006/customXml" ds:itemID="{96DB8E9D-AD01-4C8F-92E9-207B59752F4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Notice of Grant Opportunity:Restorative Justice in Education Pilot Program (Year 1 of 3)</dc:title>
  <dc:subject/>
  <dc:creator/>
  <keywords>NGO; restorative justice; grant; NJDOE</keywords>
  <lastModifiedBy>Angelucci, Maria</lastModifiedBy>
  <revision>2</revision>
  <dcterms:created xsi:type="dcterms:W3CDTF">2022-04-28T20:51:00.0000000Z</dcterms:created>
  <dcterms:modified xsi:type="dcterms:W3CDTF">2022-06-22T14:23:20.7207820Z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0x010100367F54E0E635474CA4C31E1F9406FD4F</vt:lpwstr>
  </property>
</Properties>
</file>