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3D2A5" w14:textId="77777777" w:rsidR="003D0331" w:rsidRPr="00A16B80" w:rsidRDefault="6A7466AF" w:rsidP="003D0331">
      <w:pPr>
        <w:pStyle w:val="Heading1"/>
        <w:rPr>
          <w:b w:val="0"/>
        </w:rPr>
      </w:pPr>
      <w:bookmarkStart w:id="0" w:name="_Toc533681875"/>
      <w:bookmarkStart w:id="1" w:name="_Toc63095114"/>
      <w:bookmarkStart w:id="2" w:name="_Toc63095510"/>
      <w:bookmarkStart w:id="3" w:name="_Toc63095870"/>
      <w:bookmarkStart w:id="4" w:name="_Toc63096095"/>
      <w:bookmarkStart w:id="5" w:name="_Toc63243889"/>
      <w:bookmarkStart w:id="6" w:name="_Toc63250978"/>
      <w:bookmarkStart w:id="7" w:name="_Toc81921636"/>
      <w:bookmarkStart w:id="8" w:name="_Toc81925907"/>
      <w:bookmarkStart w:id="9" w:name="_Toc1118911326"/>
      <w:bookmarkStart w:id="10" w:name="_Toc172890033"/>
      <w:r>
        <w:rPr>
          <w:b w:val="0"/>
        </w:rPr>
        <w:t>New Jersey Department of Education</w:t>
      </w:r>
      <w:bookmarkEnd w:id="0"/>
      <w:bookmarkEnd w:id="1"/>
      <w:bookmarkEnd w:id="2"/>
      <w:bookmarkEnd w:id="3"/>
      <w:bookmarkEnd w:id="4"/>
      <w:bookmarkEnd w:id="5"/>
      <w:bookmarkEnd w:id="6"/>
      <w:bookmarkEnd w:id="7"/>
      <w:bookmarkEnd w:id="8"/>
      <w:bookmarkEnd w:id="9"/>
      <w:bookmarkEnd w:id="10"/>
    </w:p>
    <w:p w14:paraId="0394CE0D" w14:textId="77777777" w:rsidR="003D0331" w:rsidRPr="00051DEC" w:rsidRDefault="6A7466AF" w:rsidP="1AE24D0C">
      <w:pPr>
        <w:pStyle w:val="Heading1"/>
        <w:rPr>
          <w:i/>
          <w:iCs/>
        </w:rPr>
      </w:pPr>
      <w:bookmarkStart w:id="11" w:name="_Toc63095871"/>
      <w:bookmarkStart w:id="12" w:name="_Toc63096096"/>
      <w:bookmarkStart w:id="13" w:name="_Toc63243890"/>
      <w:bookmarkStart w:id="14" w:name="_Toc63250979"/>
      <w:bookmarkStart w:id="15" w:name="_Toc81921637"/>
      <w:bookmarkStart w:id="16" w:name="_Toc81925908"/>
      <w:bookmarkStart w:id="17" w:name="_Toc1766202161"/>
      <w:bookmarkStart w:id="18" w:name="_Toc172890034"/>
      <w:bookmarkStart w:id="19" w:name="_Toc533681876"/>
      <w:bookmarkStart w:id="20" w:name="_Toc63095115"/>
      <w:bookmarkStart w:id="21" w:name="_Toc63095511"/>
      <w:r w:rsidRPr="1AE24D0C">
        <w:rPr>
          <w:i/>
          <w:iCs/>
        </w:rPr>
        <w:t>Notice of Grant Opportunity</w:t>
      </w:r>
      <w:bookmarkEnd w:id="11"/>
      <w:bookmarkEnd w:id="12"/>
      <w:bookmarkEnd w:id="13"/>
      <w:bookmarkEnd w:id="14"/>
      <w:bookmarkEnd w:id="15"/>
      <w:bookmarkEnd w:id="16"/>
      <w:bookmarkEnd w:id="17"/>
      <w:bookmarkEnd w:id="18"/>
      <w:r w:rsidRPr="1AE24D0C">
        <w:rPr>
          <w:i/>
          <w:iCs/>
        </w:rPr>
        <w:t xml:space="preserve"> </w:t>
      </w:r>
      <w:bookmarkEnd w:id="19"/>
      <w:bookmarkEnd w:id="20"/>
      <w:bookmarkEnd w:id="21"/>
    </w:p>
    <w:p w14:paraId="7EB16E7C" w14:textId="77777777" w:rsidR="003D0331" w:rsidRPr="00A16B80" w:rsidRDefault="003D0331" w:rsidP="003D0331">
      <w:pPr>
        <w:spacing w:after="120" w:line="312" w:lineRule="auto"/>
        <w:rPr>
          <w:color w:val="auto"/>
        </w:rPr>
      </w:pPr>
    </w:p>
    <w:p w14:paraId="77E879DD" w14:textId="77777777" w:rsidR="003D0331" w:rsidRPr="00A16B80" w:rsidRDefault="003D0331" w:rsidP="003D0331">
      <w:pPr>
        <w:spacing w:after="120" w:line="312" w:lineRule="auto"/>
        <w:rPr>
          <w:color w:val="auto"/>
        </w:rPr>
      </w:pPr>
    </w:p>
    <w:p w14:paraId="2C980600" w14:textId="77777777" w:rsidR="003D0331" w:rsidRPr="00A16B80" w:rsidRDefault="003D0331" w:rsidP="003D0331">
      <w:pPr>
        <w:spacing w:after="120" w:line="312" w:lineRule="auto"/>
        <w:rPr>
          <w:color w:val="auto"/>
        </w:rPr>
      </w:pPr>
    </w:p>
    <w:p w14:paraId="5F2B0B6F" w14:textId="77777777" w:rsidR="003D0331" w:rsidRDefault="003D0331" w:rsidP="003D0331">
      <w:pPr>
        <w:spacing w:before="1320" w:after="120" w:line="312" w:lineRule="auto"/>
        <w:rPr>
          <w:color w:val="000000" w:themeColor="text1"/>
          <w:szCs w:val="22"/>
        </w:rPr>
      </w:pPr>
      <w:r>
        <w:t xml:space="preserve">                                                </w:t>
      </w:r>
      <w:r>
        <w:rPr>
          <w:noProof/>
          <w:color w:val="2B579A"/>
          <w:shd w:val="clear" w:color="auto" w:fill="E6E6E6"/>
        </w:rPr>
        <w:drawing>
          <wp:inline distT="0" distB="0" distL="0" distR="0" wp14:anchorId="21139231" wp14:editId="06DC2A1C">
            <wp:extent cx="2825115" cy="2825115"/>
            <wp:effectExtent l="0" t="0" r="0" b="0"/>
            <wp:docPr id="2" name="Picture 2" descr="http://doeintranet/sites/default/files/DOEcomm/images/DO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825115" cy="2825115"/>
                    </a:xfrm>
                    <a:prstGeom prst="rect">
                      <a:avLst/>
                    </a:prstGeom>
                    <a:noFill/>
                    <a:ln>
                      <a:noFill/>
                    </a:ln>
                  </pic:spPr>
                </pic:pic>
              </a:graphicData>
            </a:graphic>
          </wp:inline>
        </w:drawing>
      </w:r>
    </w:p>
    <w:p w14:paraId="11628E93" w14:textId="77777777" w:rsidR="003D0331" w:rsidRPr="00A16B80" w:rsidRDefault="003D0331" w:rsidP="003D0331">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14:paraId="0D044A70" w14:textId="77777777" w:rsidR="003D0331" w:rsidRPr="00A16B80" w:rsidRDefault="003D0331" w:rsidP="003D0331">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14:paraId="78A86487" w14:textId="44829E4E" w:rsidR="003D0331" w:rsidRPr="00AA42FE" w:rsidRDefault="00115B71" w:rsidP="003D0331">
      <w:pPr>
        <w:spacing w:before="360" w:after="0" w:line="240" w:lineRule="auto"/>
        <w:jc w:val="center"/>
        <w:rPr>
          <w:rFonts w:eastAsia="Calibri"/>
          <w:color w:val="2E74B5"/>
          <w:sz w:val="28"/>
          <w:szCs w:val="28"/>
        </w:rPr>
      </w:pPr>
      <w:r w:rsidRPr="1A9196EB">
        <w:rPr>
          <w:rFonts w:eastAsia="Calibri"/>
          <w:color w:val="2F5496" w:themeColor="accent1" w:themeShade="BF"/>
          <w:sz w:val="28"/>
          <w:szCs w:val="28"/>
        </w:rPr>
        <w:t>October</w:t>
      </w:r>
      <w:r w:rsidR="003D0331" w:rsidRPr="1A9196EB">
        <w:rPr>
          <w:rFonts w:eastAsia="Calibri"/>
          <w:color w:val="2F5496" w:themeColor="accent1" w:themeShade="BF"/>
          <w:sz w:val="28"/>
          <w:szCs w:val="28"/>
        </w:rPr>
        <w:t xml:space="preserve"> 202</w:t>
      </w:r>
      <w:r w:rsidR="00C34CEF" w:rsidRPr="1A9196EB">
        <w:rPr>
          <w:rFonts w:eastAsia="Calibri"/>
          <w:color w:val="2F5496" w:themeColor="accent1" w:themeShade="BF"/>
          <w:sz w:val="28"/>
          <w:szCs w:val="28"/>
        </w:rPr>
        <w:t>4</w:t>
      </w:r>
    </w:p>
    <w:p w14:paraId="6F2597EF" w14:textId="562A933E" w:rsidR="003D0331" w:rsidRPr="00AA42FE" w:rsidRDefault="6A7466AF" w:rsidP="1AE24D0C">
      <w:pPr>
        <w:spacing w:before="360" w:after="0" w:line="240" w:lineRule="auto"/>
        <w:jc w:val="center"/>
        <w:rPr>
          <w:rFonts w:eastAsia="Calibri"/>
          <w:color w:val="2F5496" w:themeColor="accent1" w:themeShade="BF"/>
          <w:sz w:val="28"/>
          <w:szCs w:val="28"/>
        </w:rPr>
        <w:sectPr w:rsidR="003D0331" w:rsidRPr="00AA42FE" w:rsidSect="00283387">
          <w:footerReference w:type="default" r:id="rId11"/>
          <w:pgSz w:w="12240" w:h="15840" w:code="1"/>
          <w:pgMar w:top="1440" w:right="1440" w:bottom="1440" w:left="1440" w:header="720" w:footer="720" w:gutter="0"/>
          <w:cols w:space="720"/>
          <w:titlePg/>
          <w:docGrid w:linePitch="299"/>
        </w:sectPr>
      </w:pPr>
      <w:r w:rsidRPr="1A9196EB">
        <w:rPr>
          <w:rFonts w:eastAsia="Calibri"/>
          <w:color w:val="2F5496" w:themeColor="accent1" w:themeShade="BF"/>
          <w:sz w:val="28"/>
          <w:szCs w:val="28"/>
        </w:rPr>
        <w:t xml:space="preserve">Application Due Date: </w:t>
      </w:r>
      <w:r w:rsidR="00352154" w:rsidRPr="1A9196EB">
        <w:rPr>
          <w:rFonts w:eastAsia="Calibri"/>
          <w:color w:val="2F5496" w:themeColor="accent1" w:themeShade="BF"/>
          <w:sz w:val="28"/>
          <w:szCs w:val="28"/>
        </w:rPr>
        <w:t>December</w:t>
      </w:r>
      <w:r w:rsidRPr="1A9196EB">
        <w:rPr>
          <w:rFonts w:eastAsia="Calibri"/>
          <w:color w:val="2F5496" w:themeColor="accent1" w:themeShade="BF"/>
          <w:sz w:val="28"/>
          <w:szCs w:val="28"/>
        </w:rPr>
        <w:t xml:space="preserve"> </w:t>
      </w:r>
      <w:r w:rsidR="00054339">
        <w:rPr>
          <w:rFonts w:eastAsia="Calibri"/>
          <w:color w:val="2F5496" w:themeColor="accent1" w:themeShade="BF"/>
          <w:sz w:val="28"/>
          <w:szCs w:val="28"/>
        </w:rPr>
        <w:t>5</w:t>
      </w:r>
      <w:r w:rsidRPr="1A9196EB">
        <w:rPr>
          <w:rFonts w:eastAsia="Calibri"/>
          <w:color w:val="2F5496" w:themeColor="accent1" w:themeShade="BF"/>
          <w:sz w:val="28"/>
          <w:szCs w:val="28"/>
        </w:rPr>
        <w:t>, 202</w:t>
      </w:r>
      <w:r w:rsidR="00352154" w:rsidRPr="1A9196EB">
        <w:rPr>
          <w:rFonts w:eastAsia="Calibri"/>
          <w:color w:val="2F5496" w:themeColor="accent1" w:themeShade="BF"/>
          <w:sz w:val="28"/>
          <w:szCs w:val="28"/>
        </w:rPr>
        <w:t>4</w:t>
      </w:r>
      <w:r w:rsidRPr="1A9196EB">
        <w:rPr>
          <w:rFonts w:eastAsia="Calibri"/>
          <w:color w:val="2F5496" w:themeColor="accent1" w:themeShade="BF"/>
          <w:sz w:val="28"/>
          <w:szCs w:val="28"/>
        </w:rPr>
        <w:t>, 4:00 p.m.</w:t>
      </w:r>
    </w:p>
    <w:p w14:paraId="1042A6A3" w14:textId="77777777" w:rsidR="003D0331" w:rsidRPr="00A16B80" w:rsidRDefault="6A7466AF" w:rsidP="003D0331">
      <w:pPr>
        <w:pStyle w:val="Heading1"/>
      </w:pPr>
      <w:bookmarkStart w:id="22" w:name="_Toc533681877"/>
      <w:bookmarkStart w:id="23" w:name="_Toc63095116"/>
      <w:bookmarkStart w:id="24" w:name="_Toc63095512"/>
      <w:bookmarkStart w:id="25" w:name="_Toc63095872"/>
      <w:bookmarkStart w:id="26" w:name="_Toc63096097"/>
      <w:bookmarkStart w:id="27" w:name="_Toc63243891"/>
      <w:bookmarkStart w:id="28" w:name="_Toc63250980"/>
      <w:bookmarkStart w:id="29" w:name="_Toc81921638"/>
      <w:bookmarkStart w:id="30" w:name="_Toc81925909"/>
      <w:bookmarkStart w:id="31" w:name="_Toc1481583523"/>
      <w:bookmarkStart w:id="32" w:name="_Toc172890035"/>
      <w:r>
        <w:lastRenderedPageBreak/>
        <w:t>Notice of Grant Opportunity</w:t>
      </w:r>
      <w:bookmarkEnd w:id="22"/>
      <w:bookmarkEnd w:id="23"/>
      <w:bookmarkEnd w:id="24"/>
      <w:bookmarkEnd w:id="25"/>
      <w:bookmarkEnd w:id="26"/>
      <w:bookmarkEnd w:id="27"/>
      <w:bookmarkEnd w:id="28"/>
      <w:bookmarkEnd w:id="29"/>
      <w:bookmarkEnd w:id="30"/>
      <w:bookmarkEnd w:id="31"/>
      <w:bookmarkEnd w:id="32"/>
    </w:p>
    <w:p w14:paraId="67FF6399" w14:textId="0FBB9E69" w:rsidR="003D0331" w:rsidRPr="00A16B80" w:rsidRDefault="6A7466AF" w:rsidP="003D0331">
      <w:pPr>
        <w:pStyle w:val="Heading1"/>
      </w:pPr>
      <w:bookmarkStart w:id="33" w:name="_Toc63095117"/>
      <w:bookmarkStart w:id="34" w:name="_Toc63095513"/>
      <w:bookmarkStart w:id="35" w:name="_Toc63095873"/>
      <w:bookmarkStart w:id="36" w:name="_Toc63096098"/>
      <w:bookmarkStart w:id="37" w:name="_Toc63243892"/>
      <w:bookmarkStart w:id="38" w:name="_Toc63250981"/>
      <w:bookmarkStart w:id="39" w:name="_Toc81921639"/>
      <w:bookmarkStart w:id="40" w:name="_Toc81925910"/>
      <w:bookmarkStart w:id="41" w:name="_Toc1165609126"/>
      <w:bookmarkStart w:id="42" w:name="_Toc172890036"/>
      <w:r>
        <w:t xml:space="preserve">Building Capacity for Career Pathways in </w:t>
      </w:r>
      <w:r>
        <w:br/>
        <w:t>Comprehensive Schools</w:t>
      </w:r>
      <w:bookmarkEnd w:id="33"/>
      <w:bookmarkEnd w:id="34"/>
      <w:bookmarkEnd w:id="35"/>
      <w:bookmarkEnd w:id="36"/>
      <w:bookmarkEnd w:id="37"/>
      <w:bookmarkEnd w:id="38"/>
      <w:bookmarkEnd w:id="39"/>
      <w:bookmarkEnd w:id="40"/>
      <w:r>
        <w:t xml:space="preserve"> (Cohort 2) Year </w:t>
      </w:r>
      <w:r w:rsidR="00C34CEF">
        <w:t>4</w:t>
      </w:r>
      <w:r>
        <w:t xml:space="preserve"> of 4</w:t>
      </w:r>
      <w:bookmarkEnd w:id="41"/>
      <w:bookmarkEnd w:id="42"/>
    </w:p>
    <w:p w14:paraId="0632AC98" w14:textId="65D8AE16" w:rsidR="002B4EEE" w:rsidRDefault="1FA98C51" w:rsidP="4AB90917">
      <w:pPr>
        <w:pStyle w:val="NoSpacing"/>
        <w:spacing w:before="600"/>
        <w:jc w:val="center"/>
        <w:rPr>
          <w:rStyle w:val="Strong"/>
          <w:sz w:val="22"/>
          <w:szCs w:val="22"/>
        </w:rPr>
      </w:pPr>
      <w:bookmarkStart w:id="43" w:name="_Toc63095118"/>
      <w:r w:rsidRPr="4AB90917">
        <w:rPr>
          <w:rStyle w:val="Strong"/>
          <w:sz w:val="28"/>
          <w:szCs w:val="28"/>
        </w:rPr>
        <w:t>25-AG48-G06</w:t>
      </w:r>
    </w:p>
    <w:bookmarkEnd w:id="43"/>
    <w:p w14:paraId="4B9CE11D" w14:textId="28C03971" w:rsidR="003D0331" w:rsidRPr="006825FE" w:rsidRDefault="00C34CEF" w:rsidP="1A9196EB">
      <w:pPr>
        <w:pStyle w:val="NoSpacing"/>
        <w:spacing w:before="600"/>
        <w:jc w:val="center"/>
        <w:rPr>
          <w:rStyle w:val="Strong"/>
          <w:sz w:val="22"/>
          <w:szCs w:val="22"/>
        </w:rPr>
      </w:pPr>
      <w:r w:rsidRPr="1A9196EB">
        <w:rPr>
          <w:rStyle w:val="Strong"/>
          <w:sz w:val="22"/>
          <w:szCs w:val="22"/>
        </w:rPr>
        <w:t>Kevin Dehmer</w:t>
      </w:r>
    </w:p>
    <w:p w14:paraId="5C74EB07" w14:textId="77777777" w:rsidR="003D0331" w:rsidRPr="006825FE" w:rsidRDefault="003D0331" w:rsidP="003D0331">
      <w:pPr>
        <w:pStyle w:val="NoSpacing"/>
        <w:spacing w:after="800"/>
        <w:jc w:val="center"/>
        <w:rPr>
          <w:rStyle w:val="Strong"/>
          <w:sz w:val="22"/>
        </w:rPr>
      </w:pPr>
      <w:bookmarkStart w:id="44" w:name="_Toc63095119"/>
      <w:r w:rsidRPr="006825FE">
        <w:rPr>
          <w:rStyle w:val="Strong"/>
          <w:sz w:val="22"/>
        </w:rPr>
        <w:t>Acting Commissioner of Education</w:t>
      </w:r>
      <w:bookmarkEnd w:id="44"/>
    </w:p>
    <w:p w14:paraId="0C694F0D" w14:textId="77777777" w:rsidR="003D0331" w:rsidRPr="006825FE" w:rsidRDefault="003D0331" w:rsidP="003D0331">
      <w:pPr>
        <w:pStyle w:val="NoSpacing"/>
        <w:jc w:val="center"/>
        <w:rPr>
          <w:rStyle w:val="Strong"/>
          <w:sz w:val="22"/>
        </w:rPr>
      </w:pPr>
      <w:r>
        <w:rPr>
          <w:rStyle w:val="Strong"/>
          <w:sz w:val="22"/>
        </w:rPr>
        <w:t>Jorden Schiff, Ed.D.</w:t>
      </w:r>
    </w:p>
    <w:p w14:paraId="3F0A6197" w14:textId="77777777" w:rsidR="003D0331" w:rsidRPr="006825FE" w:rsidRDefault="003D0331" w:rsidP="003D0331">
      <w:pPr>
        <w:pStyle w:val="NoSpacing"/>
        <w:jc w:val="center"/>
        <w:rPr>
          <w:rStyle w:val="Strong"/>
          <w:sz w:val="22"/>
          <w:szCs w:val="22"/>
        </w:rPr>
      </w:pPr>
      <w:bookmarkStart w:id="45" w:name="_Toc63095121"/>
      <w:r w:rsidRPr="401147A9">
        <w:rPr>
          <w:rStyle w:val="Strong"/>
          <w:sz w:val="22"/>
          <w:szCs w:val="22"/>
        </w:rPr>
        <w:t>Assistant Commissioner</w:t>
      </w:r>
      <w:bookmarkEnd w:id="45"/>
    </w:p>
    <w:p w14:paraId="0C4EBCB8" w14:textId="77777777" w:rsidR="003D0331" w:rsidRDefault="003D0331" w:rsidP="003D0331">
      <w:pPr>
        <w:pStyle w:val="NoSpacing"/>
        <w:spacing w:after="1000"/>
        <w:jc w:val="center"/>
        <w:rPr>
          <w:rStyle w:val="Strong"/>
          <w:sz w:val="22"/>
        </w:rPr>
      </w:pPr>
      <w:r>
        <w:rPr>
          <w:rStyle w:val="Strong"/>
          <w:sz w:val="22"/>
        </w:rPr>
        <w:t>Division of Teaching and Learning Services</w:t>
      </w:r>
    </w:p>
    <w:p w14:paraId="2C3E8AB5" w14:textId="4C1EEAE9" w:rsidR="003D0331" w:rsidRPr="00063CDE" w:rsidRDefault="00C34CEF" w:rsidP="402ADDC3">
      <w:pPr>
        <w:pStyle w:val="NoSpacing"/>
        <w:jc w:val="center"/>
        <w:rPr>
          <w:rStyle w:val="Strong"/>
          <w:sz w:val="22"/>
          <w:szCs w:val="22"/>
        </w:rPr>
      </w:pPr>
      <w:r w:rsidRPr="1A9196EB">
        <w:rPr>
          <w:rStyle w:val="Strong"/>
          <w:sz w:val="22"/>
          <w:szCs w:val="22"/>
        </w:rPr>
        <w:t>Kathleen Paquette</w:t>
      </w:r>
    </w:p>
    <w:p w14:paraId="43AA90AC" w14:textId="124A6370" w:rsidR="003D0331" w:rsidRPr="00063CDE" w:rsidRDefault="003D0331" w:rsidP="402ADDC3">
      <w:pPr>
        <w:pStyle w:val="NoSpacing"/>
        <w:jc w:val="center"/>
        <w:rPr>
          <w:rStyle w:val="Strong"/>
          <w:sz w:val="22"/>
          <w:szCs w:val="22"/>
        </w:rPr>
      </w:pPr>
      <w:r w:rsidRPr="1A9196EB">
        <w:rPr>
          <w:rStyle w:val="Strong"/>
          <w:sz w:val="22"/>
          <w:szCs w:val="22"/>
        </w:rPr>
        <w:t>Director</w:t>
      </w:r>
    </w:p>
    <w:p w14:paraId="017CE84F" w14:textId="77777777" w:rsidR="003D0331" w:rsidRPr="00063CDE" w:rsidRDefault="003D0331" w:rsidP="003D0331">
      <w:pPr>
        <w:pStyle w:val="NoSpacing"/>
        <w:spacing w:after="840"/>
        <w:jc w:val="center"/>
        <w:rPr>
          <w:rStyle w:val="Strong"/>
          <w:sz w:val="22"/>
        </w:rPr>
      </w:pPr>
      <w:r w:rsidRPr="00063CDE">
        <w:rPr>
          <w:rStyle w:val="Strong"/>
          <w:sz w:val="22"/>
        </w:rPr>
        <w:t>Office of Career Readiness</w:t>
      </w:r>
    </w:p>
    <w:p w14:paraId="2FE8DFAA" w14:textId="38C59368" w:rsidR="003D0331" w:rsidRPr="00063CDE" w:rsidRDefault="00B611C9" w:rsidP="003D0331">
      <w:pPr>
        <w:spacing w:after="1000"/>
        <w:jc w:val="center"/>
        <w:rPr>
          <w:rStyle w:val="Strong"/>
        </w:rPr>
      </w:pPr>
      <w:r w:rsidRPr="1A9196EB">
        <w:rPr>
          <w:rStyle w:val="Strong"/>
        </w:rPr>
        <w:t>October</w:t>
      </w:r>
      <w:r w:rsidR="003D0331" w:rsidRPr="1A9196EB">
        <w:rPr>
          <w:rStyle w:val="Strong"/>
        </w:rPr>
        <w:t xml:space="preserve"> 202</w:t>
      </w:r>
      <w:r w:rsidR="00C34CEF" w:rsidRPr="1A9196EB">
        <w:rPr>
          <w:rStyle w:val="Strong"/>
        </w:rPr>
        <w:t>4</w:t>
      </w:r>
    </w:p>
    <w:p w14:paraId="13D942BF" w14:textId="77777777" w:rsidR="003D0331" w:rsidRPr="00063CDE" w:rsidRDefault="003D0331" w:rsidP="003D0331">
      <w:pPr>
        <w:spacing w:after="600"/>
        <w:jc w:val="center"/>
        <w:rPr>
          <w:rStyle w:val="Strong"/>
        </w:rPr>
      </w:pPr>
      <w:bookmarkStart w:id="46" w:name="_Toc63095127"/>
      <w:r w:rsidRPr="00063CDE">
        <w:rPr>
          <w:rStyle w:val="Strong"/>
        </w:rPr>
        <w:t xml:space="preserve">ORG/APU # </w:t>
      </w:r>
      <w:bookmarkEnd w:id="46"/>
      <w:r w:rsidRPr="00063CDE">
        <w:rPr>
          <w:rStyle w:val="Strong"/>
        </w:rPr>
        <w:t>5062-032</w:t>
      </w:r>
    </w:p>
    <w:p w14:paraId="10E24B08" w14:textId="0DAE188F" w:rsidR="003D0331" w:rsidRPr="006825FE" w:rsidRDefault="003D0331" w:rsidP="003D0331">
      <w:pPr>
        <w:spacing w:after="600"/>
        <w:jc w:val="center"/>
        <w:rPr>
          <w:rStyle w:val="Strong"/>
        </w:rPr>
      </w:pPr>
      <w:bookmarkStart w:id="47" w:name="_Toc63095128"/>
      <w:r w:rsidRPr="1A9196EB">
        <w:rPr>
          <w:rStyle w:val="Strong"/>
        </w:rPr>
        <w:t>Application Due Date:</w:t>
      </w:r>
      <w:bookmarkEnd w:id="47"/>
      <w:r w:rsidRPr="1A9196EB">
        <w:rPr>
          <w:rStyle w:val="Strong"/>
        </w:rPr>
        <w:t xml:space="preserve"> </w:t>
      </w:r>
      <w:r w:rsidR="00352154" w:rsidRPr="1A9196EB">
        <w:rPr>
          <w:rStyle w:val="Strong"/>
        </w:rPr>
        <w:t>December</w:t>
      </w:r>
      <w:r w:rsidRPr="1A9196EB">
        <w:rPr>
          <w:rStyle w:val="Strong"/>
        </w:rPr>
        <w:t xml:space="preserve"> </w:t>
      </w:r>
      <w:r w:rsidR="00054339">
        <w:rPr>
          <w:rStyle w:val="Strong"/>
        </w:rPr>
        <w:t>5</w:t>
      </w:r>
      <w:r w:rsidRPr="1A9196EB">
        <w:rPr>
          <w:rStyle w:val="Strong"/>
        </w:rPr>
        <w:t>, 202</w:t>
      </w:r>
      <w:r w:rsidR="00352154" w:rsidRPr="1A9196EB">
        <w:rPr>
          <w:rStyle w:val="Strong"/>
        </w:rPr>
        <w:t>4</w:t>
      </w:r>
    </w:p>
    <w:p w14:paraId="54651F20" w14:textId="77777777" w:rsidR="003D0331" w:rsidRPr="006825FE" w:rsidRDefault="00D534DE" w:rsidP="003D0331">
      <w:pPr>
        <w:jc w:val="center"/>
        <w:rPr>
          <w:b/>
        </w:rPr>
      </w:pPr>
      <w:hyperlink r:id="rId12" w:history="1">
        <w:bookmarkStart w:id="48" w:name="_Toc63095129"/>
        <w:r w:rsidR="003D0331" w:rsidRPr="006825FE">
          <w:rPr>
            <w:rStyle w:val="Hyperlink"/>
            <w:rFonts w:eastAsia="SimSun"/>
            <w:b/>
          </w:rPr>
          <w:t>New Jersey Department of Education</w:t>
        </w:r>
        <w:bookmarkEnd w:id="48"/>
      </w:hyperlink>
    </w:p>
    <w:p w14:paraId="4667ED12" w14:textId="77777777" w:rsidR="003D0331" w:rsidRPr="006825FE" w:rsidRDefault="003D0331" w:rsidP="003D0331">
      <w:pPr>
        <w:pStyle w:val="NoSpacing"/>
        <w:jc w:val="center"/>
        <w:rPr>
          <w:rStyle w:val="Strong"/>
        </w:rPr>
      </w:pPr>
      <w:bookmarkStart w:id="49" w:name="_Toc63095130"/>
      <w:r w:rsidRPr="006825FE">
        <w:rPr>
          <w:rStyle w:val="Strong"/>
        </w:rPr>
        <w:t>P.O. Box 500</w:t>
      </w:r>
      <w:bookmarkEnd w:id="49"/>
    </w:p>
    <w:p w14:paraId="1BFEB6FD" w14:textId="77777777" w:rsidR="003D0331" w:rsidRPr="006825FE" w:rsidRDefault="003D0331" w:rsidP="003D0331">
      <w:pPr>
        <w:pStyle w:val="NoSpacing"/>
        <w:jc w:val="center"/>
        <w:rPr>
          <w:rStyle w:val="Strong"/>
        </w:rPr>
      </w:pPr>
      <w:bookmarkStart w:id="50" w:name="_Toc63095131"/>
      <w:r w:rsidRPr="006825FE">
        <w:rPr>
          <w:rStyle w:val="Strong"/>
        </w:rPr>
        <w:t>Trenton, NJ  08625-0500</w:t>
      </w:r>
      <w:bookmarkEnd w:id="50"/>
    </w:p>
    <w:p w14:paraId="15BECD85" w14:textId="77777777" w:rsidR="003D0331" w:rsidRDefault="003D0331" w:rsidP="003D0331">
      <w:pPr>
        <w:spacing w:after="0" w:line="240" w:lineRule="auto"/>
        <w:rPr>
          <w:rFonts w:eastAsia="SimSun" w:cs="Calibri"/>
          <w:b/>
          <w:color w:val="2E74B5"/>
          <w:sz w:val="24"/>
          <w:szCs w:val="28"/>
        </w:rPr>
      </w:pPr>
      <w:r>
        <w:rPr>
          <w:rFonts w:cs="Calibri"/>
        </w:rPr>
        <w:br w:type="page"/>
      </w:r>
    </w:p>
    <w:p w14:paraId="53DF3757" w14:textId="77777777" w:rsidR="003D0331" w:rsidRDefault="6A7466AF" w:rsidP="003D0331">
      <w:pPr>
        <w:pStyle w:val="Heading2"/>
        <w:rPr>
          <w:rFonts w:cs="Calibri"/>
        </w:rPr>
      </w:pPr>
      <w:bookmarkStart w:id="51" w:name="_Toc533681879"/>
      <w:bookmarkStart w:id="52" w:name="_Toc63095132"/>
      <w:bookmarkStart w:id="53" w:name="_Toc63095514"/>
      <w:bookmarkStart w:id="54" w:name="_Toc63095874"/>
      <w:bookmarkStart w:id="55" w:name="_Toc63096099"/>
      <w:bookmarkStart w:id="56" w:name="_Toc63243893"/>
      <w:bookmarkStart w:id="57" w:name="_Toc63250982"/>
      <w:bookmarkStart w:id="58" w:name="_Toc81921640"/>
      <w:bookmarkStart w:id="59" w:name="_Toc81925911"/>
      <w:bookmarkStart w:id="60" w:name="_Toc473808929"/>
      <w:bookmarkStart w:id="61" w:name="_Toc172890037"/>
      <w:r w:rsidRPr="1AE24D0C">
        <w:rPr>
          <w:rFonts w:cs="Calibri"/>
        </w:rPr>
        <w:lastRenderedPageBreak/>
        <w:t>State Board of Education</w:t>
      </w:r>
      <w:bookmarkEnd w:id="51"/>
      <w:bookmarkEnd w:id="52"/>
      <w:bookmarkEnd w:id="53"/>
      <w:bookmarkEnd w:id="54"/>
      <w:bookmarkEnd w:id="55"/>
      <w:bookmarkEnd w:id="56"/>
      <w:bookmarkEnd w:id="57"/>
      <w:bookmarkEnd w:id="58"/>
      <w:bookmarkEnd w:id="59"/>
      <w:bookmarkEnd w:id="60"/>
      <w:bookmarkEnd w:id="61"/>
    </w:p>
    <w:p w14:paraId="23F8907C" w14:textId="77777777" w:rsidR="00054339" w:rsidRPr="00054339" w:rsidRDefault="00054339" w:rsidP="00054339"/>
    <w:tbl>
      <w:tblPr>
        <w:tblW w:w="7380" w:type="dxa"/>
        <w:tblInd w:w="1342" w:type="dxa"/>
        <w:tblCellMar>
          <w:left w:w="0" w:type="dxa"/>
          <w:right w:w="0" w:type="dxa"/>
        </w:tblCellMar>
        <w:tblLook w:val="04A0" w:firstRow="1" w:lastRow="0" w:firstColumn="1" w:lastColumn="0" w:noHBand="0" w:noVBand="1"/>
      </w:tblPr>
      <w:tblGrid>
        <w:gridCol w:w="4050"/>
        <w:gridCol w:w="3330"/>
      </w:tblGrid>
      <w:tr w:rsidR="00054339" w:rsidRPr="00054339" w14:paraId="6E98A0C9" w14:textId="77777777" w:rsidTr="00064317">
        <w:trPr>
          <w:trHeight w:val="300"/>
        </w:trPr>
        <w:tc>
          <w:tcPr>
            <w:tcW w:w="4050" w:type="dxa"/>
            <w:shd w:val="clear" w:color="auto" w:fill="auto"/>
            <w:vAlign w:val="bottom"/>
            <w:hideMark/>
          </w:tcPr>
          <w:p w14:paraId="5486CD21"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Kathy A. Goldenberg – President  </w:t>
            </w:r>
          </w:p>
        </w:tc>
        <w:tc>
          <w:tcPr>
            <w:tcW w:w="3330" w:type="dxa"/>
            <w:shd w:val="clear" w:color="auto" w:fill="auto"/>
            <w:vAlign w:val="bottom"/>
            <w:hideMark/>
          </w:tcPr>
          <w:p w14:paraId="52785D1A"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Burlington </w:t>
            </w:r>
          </w:p>
        </w:tc>
      </w:tr>
      <w:tr w:rsidR="00054339" w:rsidRPr="00054339" w14:paraId="20493F47" w14:textId="77777777" w:rsidTr="00064317">
        <w:trPr>
          <w:trHeight w:val="300"/>
        </w:trPr>
        <w:tc>
          <w:tcPr>
            <w:tcW w:w="4050" w:type="dxa"/>
            <w:shd w:val="clear" w:color="auto" w:fill="auto"/>
            <w:vAlign w:val="bottom"/>
          </w:tcPr>
          <w:p w14:paraId="705D1FE6" w14:textId="77777777" w:rsidR="00054339" w:rsidRPr="00054339" w:rsidRDefault="00054339" w:rsidP="00054339">
            <w:pPr>
              <w:spacing w:after="0" w:line="240" w:lineRule="auto"/>
              <w:jc w:val="both"/>
              <w:rPr>
                <w:rFonts w:asciiTheme="minorHAnsi" w:hAnsiTheme="minorHAnsi" w:cstheme="minorHAnsi"/>
                <w:color w:val="auto"/>
                <w:szCs w:val="22"/>
              </w:rPr>
            </w:pPr>
            <w:proofErr w:type="spellStart"/>
            <w:r w:rsidRPr="00054339">
              <w:rPr>
                <w:rFonts w:asciiTheme="minorHAnsi" w:hAnsiTheme="minorHAnsi" w:cstheme="minorHAnsi"/>
                <w:color w:val="auto"/>
                <w:szCs w:val="22"/>
              </w:rPr>
              <w:t>Nedd</w:t>
            </w:r>
            <w:proofErr w:type="spellEnd"/>
            <w:r w:rsidRPr="00054339">
              <w:rPr>
                <w:rFonts w:asciiTheme="minorHAnsi" w:hAnsiTheme="minorHAnsi" w:cstheme="minorHAnsi"/>
                <w:color w:val="auto"/>
                <w:szCs w:val="22"/>
              </w:rPr>
              <w:t xml:space="preserve"> James Johnson – Vice President </w:t>
            </w:r>
          </w:p>
        </w:tc>
        <w:tc>
          <w:tcPr>
            <w:tcW w:w="3330" w:type="dxa"/>
            <w:shd w:val="clear" w:color="auto" w:fill="auto"/>
            <w:vAlign w:val="bottom"/>
          </w:tcPr>
          <w:p w14:paraId="3F9DB583"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Salem </w:t>
            </w:r>
          </w:p>
        </w:tc>
      </w:tr>
      <w:tr w:rsidR="00054339" w:rsidRPr="00054339" w14:paraId="22CF4175" w14:textId="77777777" w:rsidTr="00064317">
        <w:trPr>
          <w:trHeight w:val="300"/>
        </w:trPr>
        <w:tc>
          <w:tcPr>
            <w:tcW w:w="4050" w:type="dxa"/>
            <w:shd w:val="clear" w:color="auto" w:fill="auto"/>
            <w:vAlign w:val="bottom"/>
            <w:hideMark/>
          </w:tcPr>
          <w:p w14:paraId="350D54B8"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Arcelio Aponte</w:t>
            </w:r>
          </w:p>
        </w:tc>
        <w:tc>
          <w:tcPr>
            <w:tcW w:w="3330" w:type="dxa"/>
            <w:shd w:val="clear" w:color="auto" w:fill="auto"/>
            <w:vAlign w:val="bottom"/>
            <w:hideMark/>
          </w:tcPr>
          <w:p w14:paraId="5B77ED16"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Middlesex </w:t>
            </w:r>
          </w:p>
        </w:tc>
      </w:tr>
      <w:tr w:rsidR="00054339" w:rsidRPr="00054339" w14:paraId="264DD4DC" w14:textId="77777777" w:rsidTr="00064317">
        <w:trPr>
          <w:trHeight w:val="300"/>
        </w:trPr>
        <w:tc>
          <w:tcPr>
            <w:tcW w:w="4050" w:type="dxa"/>
            <w:shd w:val="clear" w:color="auto" w:fill="auto"/>
            <w:vAlign w:val="bottom"/>
            <w:hideMark/>
          </w:tcPr>
          <w:p w14:paraId="040EDE87"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Mary G. Bennett</w:t>
            </w:r>
          </w:p>
        </w:tc>
        <w:tc>
          <w:tcPr>
            <w:tcW w:w="3330" w:type="dxa"/>
            <w:shd w:val="clear" w:color="auto" w:fill="auto"/>
            <w:vAlign w:val="bottom"/>
            <w:hideMark/>
          </w:tcPr>
          <w:p w14:paraId="497B9D49"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Essex</w:t>
            </w:r>
          </w:p>
        </w:tc>
      </w:tr>
      <w:tr w:rsidR="00054339" w:rsidRPr="00054339" w14:paraId="299C8074" w14:textId="77777777" w:rsidTr="00064317">
        <w:trPr>
          <w:trHeight w:val="300"/>
        </w:trPr>
        <w:tc>
          <w:tcPr>
            <w:tcW w:w="4050" w:type="dxa"/>
            <w:shd w:val="clear" w:color="auto" w:fill="auto"/>
            <w:vAlign w:val="bottom"/>
            <w:hideMark/>
          </w:tcPr>
          <w:p w14:paraId="12EBBF83"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lang w:val="de-DE"/>
              </w:rPr>
              <w:t>Mary Beth Berry</w:t>
            </w:r>
            <w:r w:rsidRPr="00054339">
              <w:rPr>
                <w:rFonts w:asciiTheme="minorHAnsi" w:hAnsiTheme="minorHAnsi" w:cstheme="minorHAnsi"/>
                <w:color w:val="auto"/>
                <w:szCs w:val="22"/>
              </w:rPr>
              <w:t> </w:t>
            </w:r>
          </w:p>
        </w:tc>
        <w:tc>
          <w:tcPr>
            <w:tcW w:w="3330" w:type="dxa"/>
            <w:shd w:val="clear" w:color="auto" w:fill="auto"/>
            <w:vAlign w:val="bottom"/>
            <w:hideMark/>
          </w:tcPr>
          <w:p w14:paraId="791EB1EB"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Hunterdon </w:t>
            </w:r>
          </w:p>
        </w:tc>
      </w:tr>
      <w:tr w:rsidR="00054339" w:rsidRPr="00054339" w14:paraId="61926F78" w14:textId="77777777" w:rsidTr="00064317">
        <w:trPr>
          <w:trHeight w:val="300"/>
        </w:trPr>
        <w:tc>
          <w:tcPr>
            <w:tcW w:w="4050" w:type="dxa"/>
            <w:shd w:val="clear" w:color="auto" w:fill="auto"/>
            <w:vAlign w:val="bottom"/>
            <w:hideMark/>
          </w:tcPr>
          <w:p w14:paraId="73F8B42F"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lang w:val="de-DE"/>
              </w:rPr>
              <w:t>Elaine Bobrove</w:t>
            </w:r>
            <w:r w:rsidRPr="00054339">
              <w:rPr>
                <w:rFonts w:asciiTheme="minorHAnsi" w:hAnsiTheme="minorHAnsi" w:cstheme="minorHAnsi"/>
                <w:color w:val="auto"/>
                <w:szCs w:val="22"/>
              </w:rPr>
              <w:t> </w:t>
            </w:r>
          </w:p>
        </w:tc>
        <w:tc>
          <w:tcPr>
            <w:tcW w:w="3330" w:type="dxa"/>
            <w:shd w:val="clear" w:color="auto" w:fill="auto"/>
            <w:vAlign w:val="bottom"/>
            <w:hideMark/>
          </w:tcPr>
          <w:p w14:paraId="27256B4F"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Camden </w:t>
            </w:r>
          </w:p>
        </w:tc>
      </w:tr>
      <w:tr w:rsidR="00054339" w:rsidRPr="00054339" w14:paraId="0155C284" w14:textId="77777777" w:rsidTr="00064317">
        <w:trPr>
          <w:trHeight w:val="300"/>
        </w:trPr>
        <w:tc>
          <w:tcPr>
            <w:tcW w:w="4050" w:type="dxa"/>
            <w:shd w:val="clear" w:color="auto" w:fill="auto"/>
            <w:vAlign w:val="bottom"/>
            <w:hideMark/>
          </w:tcPr>
          <w:p w14:paraId="49CB2A28"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lang w:val="de-DE"/>
              </w:rPr>
              <w:t>Ronald K. Butcher</w:t>
            </w:r>
            <w:r w:rsidRPr="00054339">
              <w:rPr>
                <w:rFonts w:asciiTheme="minorHAnsi" w:hAnsiTheme="minorHAnsi" w:cstheme="minorHAnsi"/>
                <w:color w:val="auto"/>
                <w:szCs w:val="22"/>
              </w:rPr>
              <w:t> </w:t>
            </w:r>
          </w:p>
        </w:tc>
        <w:tc>
          <w:tcPr>
            <w:tcW w:w="3330" w:type="dxa"/>
            <w:shd w:val="clear" w:color="auto" w:fill="auto"/>
            <w:vAlign w:val="bottom"/>
          </w:tcPr>
          <w:p w14:paraId="121D1906"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Gloucester </w:t>
            </w:r>
          </w:p>
        </w:tc>
      </w:tr>
      <w:tr w:rsidR="00054339" w:rsidRPr="00054339" w14:paraId="0BC3F615" w14:textId="77777777" w:rsidTr="00064317">
        <w:trPr>
          <w:trHeight w:val="300"/>
        </w:trPr>
        <w:tc>
          <w:tcPr>
            <w:tcW w:w="4050" w:type="dxa"/>
            <w:shd w:val="clear" w:color="auto" w:fill="auto"/>
            <w:vAlign w:val="bottom"/>
            <w:hideMark/>
          </w:tcPr>
          <w:p w14:paraId="5213F26E"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Jack Fornaro </w:t>
            </w:r>
          </w:p>
        </w:tc>
        <w:tc>
          <w:tcPr>
            <w:tcW w:w="3330" w:type="dxa"/>
            <w:shd w:val="clear" w:color="auto" w:fill="auto"/>
            <w:vAlign w:val="bottom"/>
            <w:hideMark/>
          </w:tcPr>
          <w:p w14:paraId="624853CE"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Warren </w:t>
            </w:r>
          </w:p>
        </w:tc>
      </w:tr>
      <w:tr w:rsidR="00054339" w:rsidRPr="00054339" w14:paraId="69786E9B" w14:textId="77777777" w:rsidTr="00064317">
        <w:trPr>
          <w:trHeight w:val="300"/>
        </w:trPr>
        <w:tc>
          <w:tcPr>
            <w:tcW w:w="4050" w:type="dxa"/>
            <w:shd w:val="clear" w:color="auto" w:fill="auto"/>
            <w:vAlign w:val="bottom"/>
            <w:hideMark/>
          </w:tcPr>
          <w:p w14:paraId="77C43AD9"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Dr. Claudine Keenan</w:t>
            </w:r>
          </w:p>
        </w:tc>
        <w:tc>
          <w:tcPr>
            <w:tcW w:w="3330" w:type="dxa"/>
            <w:shd w:val="clear" w:color="auto" w:fill="auto"/>
            <w:vAlign w:val="bottom"/>
            <w:hideMark/>
          </w:tcPr>
          <w:p w14:paraId="3E129204"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 xml:space="preserve">Atlantic </w:t>
            </w:r>
          </w:p>
        </w:tc>
      </w:tr>
      <w:tr w:rsidR="00054339" w:rsidRPr="00054339" w14:paraId="49CDDE53" w14:textId="77777777" w:rsidTr="00064317">
        <w:trPr>
          <w:trHeight w:val="300"/>
        </w:trPr>
        <w:tc>
          <w:tcPr>
            <w:tcW w:w="4050" w:type="dxa"/>
            <w:shd w:val="clear" w:color="auto" w:fill="auto"/>
            <w:vAlign w:val="bottom"/>
            <w:hideMark/>
          </w:tcPr>
          <w:p w14:paraId="4C381144"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Jeanette Pena</w:t>
            </w:r>
          </w:p>
        </w:tc>
        <w:tc>
          <w:tcPr>
            <w:tcW w:w="3330" w:type="dxa"/>
            <w:shd w:val="clear" w:color="auto" w:fill="auto"/>
            <w:vAlign w:val="bottom"/>
            <w:hideMark/>
          </w:tcPr>
          <w:p w14:paraId="1DFB3931"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Hudson </w:t>
            </w:r>
          </w:p>
        </w:tc>
      </w:tr>
      <w:tr w:rsidR="00054339" w:rsidRPr="00054339" w14:paraId="7E781671" w14:textId="77777777" w:rsidTr="00064317">
        <w:trPr>
          <w:trHeight w:val="300"/>
        </w:trPr>
        <w:tc>
          <w:tcPr>
            <w:tcW w:w="4050" w:type="dxa"/>
            <w:shd w:val="clear" w:color="auto" w:fill="auto"/>
            <w:vAlign w:val="bottom"/>
            <w:hideMark/>
          </w:tcPr>
          <w:p w14:paraId="79D6E19A"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Ahmed Shehata</w:t>
            </w:r>
          </w:p>
        </w:tc>
        <w:tc>
          <w:tcPr>
            <w:tcW w:w="3330" w:type="dxa"/>
            <w:shd w:val="clear" w:color="auto" w:fill="auto"/>
            <w:vAlign w:val="bottom"/>
            <w:hideMark/>
          </w:tcPr>
          <w:p w14:paraId="4399CDC7"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 Union </w:t>
            </w:r>
          </w:p>
        </w:tc>
      </w:tr>
      <w:tr w:rsidR="00054339" w:rsidRPr="00054339" w14:paraId="5826DD43" w14:textId="77777777" w:rsidTr="00064317">
        <w:trPr>
          <w:trHeight w:val="300"/>
        </w:trPr>
        <w:tc>
          <w:tcPr>
            <w:tcW w:w="4050" w:type="dxa"/>
            <w:shd w:val="clear" w:color="auto" w:fill="auto"/>
            <w:vAlign w:val="bottom"/>
            <w:hideMark/>
          </w:tcPr>
          <w:p w14:paraId="6001F45F"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Joseph Ricca, Jr </w:t>
            </w:r>
          </w:p>
        </w:tc>
        <w:tc>
          <w:tcPr>
            <w:tcW w:w="3330" w:type="dxa"/>
            <w:shd w:val="clear" w:color="auto" w:fill="auto"/>
            <w:vAlign w:val="bottom"/>
            <w:hideMark/>
          </w:tcPr>
          <w:p w14:paraId="4608BC26"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Morris</w:t>
            </w:r>
          </w:p>
        </w:tc>
      </w:tr>
    </w:tbl>
    <w:p w14:paraId="0E31329E" w14:textId="77777777" w:rsidR="00054339" w:rsidRDefault="00054339" w:rsidP="00054339">
      <w:pPr>
        <w:spacing w:after="0" w:line="240" w:lineRule="auto"/>
        <w:jc w:val="both"/>
        <w:rPr>
          <w:rFonts w:asciiTheme="minorHAnsi" w:hAnsiTheme="minorHAnsi" w:cstheme="minorHAnsi"/>
          <w:color w:val="auto"/>
          <w:szCs w:val="22"/>
        </w:rPr>
      </w:pPr>
    </w:p>
    <w:p w14:paraId="66033CE9" w14:textId="1A5A1DAD" w:rsidR="00054339" w:rsidRPr="00054339" w:rsidRDefault="00054339" w:rsidP="00054339">
      <w:pPr>
        <w:spacing w:after="0" w:line="240" w:lineRule="auto"/>
        <w:jc w:val="center"/>
        <w:rPr>
          <w:rFonts w:asciiTheme="minorHAnsi" w:hAnsiTheme="minorHAnsi" w:cstheme="minorHAnsi"/>
          <w:color w:val="auto"/>
          <w:szCs w:val="22"/>
        </w:rPr>
      </w:pPr>
      <w:r w:rsidRPr="00054339">
        <w:rPr>
          <w:rFonts w:asciiTheme="minorHAnsi" w:hAnsiTheme="minorHAnsi" w:cstheme="minorHAnsi"/>
          <w:color w:val="auto"/>
          <w:szCs w:val="22"/>
        </w:rPr>
        <w:t>Kevin Dehmer, Acting Commissioner</w:t>
      </w:r>
    </w:p>
    <w:p w14:paraId="2544B43A" w14:textId="77777777" w:rsidR="00054339" w:rsidRPr="00054339" w:rsidRDefault="00054339" w:rsidP="00054339">
      <w:pPr>
        <w:spacing w:after="0" w:line="240" w:lineRule="auto"/>
        <w:jc w:val="center"/>
        <w:rPr>
          <w:rFonts w:asciiTheme="minorHAnsi" w:hAnsiTheme="minorHAnsi" w:cstheme="minorHAnsi"/>
          <w:color w:val="auto"/>
          <w:szCs w:val="22"/>
        </w:rPr>
      </w:pPr>
      <w:r w:rsidRPr="00054339">
        <w:rPr>
          <w:rFonts w:asciiTheme="minorHAnsi" w:hAnsiTheme="minorHAnsi" w:cstheme="minorHAnsi"/>
          <w:color w:val="auto"/>
          <w:szCs w:val="22"/>
        </w:rPr>
        <w:t>Acting Secretary, State Board of Education</w:t>
      </w:r>
    </w:p>
    <w:p w14:paraId="57C2D907" w14:textId="77777777" w:rsidR="00054339" w:rsidRPr="00054339" w:rsidRDefault="00054339" w:rsidP="00054339">
      <w:pPr>
        <w:spacing w:after="0" w:line="240" w:lineRule="auto"/>
        <w:jc w:val="both"/>
        <w:rPr>
          <w:rFonts w:asciiTheme="minorHAnsi" w:hAnsiTheme="minorHAnsi" w:cstheme="minorHAnsi"/>
          <w:color w:val="auto"/>
          <w:szCs w:val="22"/>
        </w:rPr>
      </w:pPr>
    </w:p>
    <w:p w14:paraId="690CD814" w14:textId="77777777" w:rsidR="00054339" w:rsidRPr="00054339" w:rsidRDefault="00054339" w:rsidP="00054339">
      <w:pPr>
        <w:spacing w:after="0" w:line="240" w:lineRule="auto"/>
        <w:jc w:val="both"/>
        <w:rPr>
          <w:rFonts w:asciiTheme="minorHAnsi" w:hAnsiTheme="minorHAnsi" w:cstheme="minorHAnsi"/>
          <w:color w:val="auto"/>
          <w:szCs w:val="22"/>
        </w:rPr>
      </w:pPr>
      <w:r w:rsidRPr="00054339">
        <w:rPr>
          <w:rFonts w:asciiTheme="minorHAnsi" w:hAnsiTheme="minorHAnsi" w:cstheme="minorHAnsi"/>
          <w:color w:val="auto"/>
          <w:szCs w:val="22"/>
        </w:rPr>
        <w:t xml:space="preserve">It is a policy of the New Jersey State Board of Education and the State Department of Education that no person, </w:t>
      </w:r>
      <w:proofErr w:type="gramStart"/>
      <w:r w:rsidRPr="00054339">
        <w:rPr>
          <w:rFonts w:asciiTheme="minorHAnsi" w:hAnsiTheme="minorHAnsi" w:cstheme="minorHAnsi"/>
          <w:color w:val="auto"/>
          <w:szCs w:val="22"/>
        </w:rPr>
        <w:t>on the basis of</w:t>
      </w:r>
      <w:proofErr w:type="gramEnd"/>
      <w:r w:rsidRPr="00054339">
        <w:rPr>
          <w:rFonts w:asciiTheme="minorHAnsi" w:hAnsiTheme="minorHAnsi" w:cstheme="minorHAnsi"/>
          <w:color w:val="auto"/>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1C0E1F8B" w14:textId="77777777" w:rsidR="00111268" w:rsidRPr="00054339" w:rsidRDefault="00111268" w:rsidP="00111268">
      <w:pPr>
        <w:spacing w:after="0" w:line="240" w:lineRule="auto"/>
        <w:jc w:val="both"/>
        <w:rPr>
          <w:rFonts w:asciiTheme="minorHAnsi" w:hAnsiTheme="minorHAnsi" w:cstheme="minorHAnsi"/>
          <w:color w:val="auto"/>
          <w:szCs w:val="22"/>
        </w:rPr>
      </w:pPr>
    </w:p>
    <w:p w14:paraId="7A090D9A" w14:textId="77777777" w:rsidR="003D0331" w:rsidRPr="00B9755A" w:rsidRDefault="003D0331" w:rsidP="003D0331">
      <w:pPr>
        <w:pStyle w:val="Heading2"/>
        <w:rPr>
          <w:rFonts w:cs="Calibri"/>
        </w:rPr>
      </w:pPr>
      <w:bookmarkStart w:id="62" w:name="_Toc677312186"/>
      <w:r w:rsidRPr="1AE24D0C">
        <w:rPr>
          <w:rFonts w:cs="Calibri"/>
          <w:highlight w:val="yellow"/>
        </w:rPr>
        <w:br w:type="page"/>
      </w:r>
      <w:bookmarkStart w:id="63" w:name="_Toc533681880"/>
      <w:bookmarkStart w:id="64" w:name="_Toc63095133"/>
      <w:bookmarkStart w:id="65" w:name="_Toc63095515"/>
      <w:bookmarkStart w:id="66" w:name="_Toc63095875"/>
      <w:bookmarkStart w:id="67" w:name="_Toc63096100"/>
      <w:bookmarkStart w:id="68" w:name="_Toc63243894"/>
      <w:bookmarkStart w:id="69" w:name="_Toc63250983"/>
      <w:bookmarkStart w:id="70" w:name="_Toc81921641"/>
      <w:bookmarkStart w:id="71" w:name="_Toc81925912"/>
      <w:bookmarkStart w:id="72" w:name="_Toc172890038"/>
      <w:r w:rsidR="6A7466AF" w:rsidRPr="1AE24D0C">
        <w:rPr>
          <w:rFonts w:cs="Calibri"/>
        </w:rPr>
        <w:lastRenderedPageBreak/>
        <w:t>Table of Contents</w:t>
      </w:r>
      <w:bookmarkEnd w:id="62"/>
      <w:bookmarkEnd w:id="63"/>
      <w:bookmarkEnd w:id="64"/>
      <w:bookmarkEnd w:id="65"/>
      <w:bookmarkEnd w:id="66"/>
      <w:bookmarkEnd w:id="67"/>
      <w:bookmarkEnd w:id="68"/>
      <w:bookmarkEnd w:id="69"/>
      <w:bookmarkEnd w:id="70"/>
      <w:bookmarkEnd w:id="71"/>
      <w:bookmarkEnd w:id="72"/>
    </w:p>
    <w:p w14:paraId="485BB6D2" w14:textId="0B6DFF1B" w:rsidR="003D0331" w:rsidRDefault="003D0331" w:rsidP="003D0331">
      <w:r w:rsidRPr="00B9755A">
        <w:t>When responding to this Notice of Grant Opportunity (NGO), applicants must use the Electronic Web Enabled Grant (EWEG) online application system on the New Jersey Department of Education</w:t>
      </w:r>
      <w:r w:rsidR="000D5A24">
        <w:t>'</w:t>
      </w:r>
      <w:r w:rsidRPr="00B9755A">
        <w:t xml:space="preserve">s </w:t>
      </w:r>
      <w:r>
        <w:t>(NJDOE</w:t>
      </w:r>
      <w:r w:rsidR="000D5A24">
        <w:t>'</w:t>
      </w:r>
      <w:r>
        <w:t xml:space="preserve">s) </w:t>
      </w:r>
      <w:hyperlink r:id="rId13" w:history="1">
        <w:r w:rsidRPr="00B9755A">
          <w:rPr>
            <w:rStyle w:val="Hyperlink"/>
            <w:rFonts w:eastAsia="SimSun" w:cs="Calibri"/>
          </w:rPr>
          <w:t>Homeroom</w:t>
        </w:r>
      </w:hyperlink>
      <w:r w:rsidRPr="00B9755A">
        <w:t xml:space="preserve"> webpage. Please refer to the </w:t>
      </w:r>
      <w:r>
        <w:t>NJDOE</w:t>
      </w:r>
      <w:r w:rsidR="000D5A24">
        <w:t>'</w:t>
      </w:r>
      <w:r>
        <w:t xml:space="preserve">s </w:t>
      </w:r>
      <w:hyperlink r:id="rId14" w:history="1">
        <w:r w:rsidRPr="000F7FEB">
          <w:rPr>
            <w:rStyle w:val="Hyperlink"/>
            <w:rFonts w:eastAsia="SimSun" w:cs="Calibri"/>
          </w:rPr>
          <w:t>Discretionary Grants</w:t>
        </w:r>
      </w:hyperlink>
      <w:r>
        <w:t xml:space="preserve"> </w:t>
      </w:r>
      <w:r w:rsidRPr="00B9755A">
        <w:t xml:space="preserve">web page for the NGO </w:t>
      </w:r>
      <w:r>
        <w:t xml:space="preserve">and </w:t>
      </w:r>
      <w:r w:rsidRPr="00B9755A">
        <w:t>(click on available grants) for information on when the EWEG application will be online.</w:t>
      </w:r>
    </w:p>
    <w:p w14:paraId="3C53DF7B" w14:textId="77777777" w:rsidR="00111268" w:rsidRPr="00111268" w:rsidRDefault="00111268" w:rsidP="00111268">
      <w:pPr>
        <w:rPr>
          <w:bCs/>
        </w:rPr>
      </w:pPr>
      <w:r w:rsidRPr="00111268">
        <w:rPr>
          <w:bCs/>
        </w:rPr>
        <w:t>Please note that beginning Fiscal Year 2023, all applicants for discretionary grants must complete and submit a System for Award Management (SAM) application in EWEG prior to being able to create and submit a grant application in EWEG.</w:t>
      </w:r>
    </w:p>
    <w:sdt>
      <w:sdtPr>
        <w:id w:val="1706849685"/>
        <w:docPartObj>
          <w:docPartGallery w:val="Table of Contents"/>
          <w:docPartUnique/>
        </w:docPartObj>
      </w:sdtPr>
      <w:sdtEndPr/>
      <w:sdtContent>
        <w:p w14:paraId="1D57B152" w14:textId="48270A3E" w:rsidR="0018480D" w:rsidRDefault="1AE24D0C" w:rsidP="0018480D">
          <w:pPr>
            <w:pStyle w:val="TOC1"/>
            <w:tabs>
              <w:tab w:val="right" w:leader="dot" w:pos="9350"/>
            </w:tabs>
            <w:rPr>
              <w:rFonts w:asciiTheme="minorHAnsi" w:eastAsiaTheme="minorEastAsia" w:hAnsiTheme="minorHAnsi" w:cstheme="minorBidi"/>
              <w:noProof/>
              <w:color w:val="auto"/>
              <w:kern w:val="2"/>
              <w:sz w:val="24"/>
              <w:szCs w:val="24"/>
              <w14:ligatures w14:val="standardContextual"/>
            </w:rPr>
          </w:pPr>
          <w:r>
            <w:fldChar w:fldCharType="begin"/>
          </w:r>
          <w:r w:rsidR="00A325D1">
            <w:instrText>TOC \o "1-3" \h \z \u</w:instrText>
          </w:r>
          <w:r>
            <w:fldChar w:fldCharType="separate"/>
          </w:r>
        </w:p>
        <w:p w14:paraId="483A50A2" w14:textId="244B9D8F" w:rsidR="0018480D" w:rsidRDefault="00D534DE">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39" w:history="1">
            <w:r w:rsidR="0018480D" w:rsidRPr="006C786F">
              <w:rPr>
                <w:rStyle w:val="Hyperlink"/>
                <w:noProof/>
              </w:rPr>
              <w:t>Section 1:  Grant Program Information</w:t>
            </w:r>
            <w:r w:rsidR="0018480D">
              <w:rPr>
                <w:noProof/>
                <w:webHidden/>
              </w:rPr>
              <w:tab/>
            </w:r>
            <w:r w:rsidR="0018480D">
              <w:rPr>
                <w:noProof/>
                <w:webHidden/>
              </w:rPr>
              <w:fldChar w:fldCharType="begin"/>
            </w:r>
            <w:r w:rsidR="0018480D">
              <w:rPr>
                <w:noProof/>
                <w:webHidden/>
              </w:rPr>
              <w:instrText xml:space="preserve"> PAGEREF _Toc172890039 \h </w:instrText>
            </w:r>
            <w:r w:rsidR="0018480D">
              <w:rPr>
                <w:noProof/>
                <w:webHidden/>
              </w:rPr>
            </w:r>
            <w:r w:rsidR="0018480D">
              <w:rPr>
                <w:noProof/>
                <w:webHidden/>
              </w:rPr>
              <w:fldChar w:fldCharType="separate"/>
            </w:r>
            <w:r w:rsidR="0018480D">
              <w:rPr>
                <w:noProof/>
                <w:webHidden/>
              </w:rPr>
              <w:t>5</w:t>
            </w:r>
            <w:r w:rsidR="0018480D">
              <w:rPr>
                <w:noProof/>
                <w:webHidden/>
              </w:rPr>
              <w:fldChar w:fldCharType="end"/>
            </w:r>
          </w:hyperlink>
        </w:p>
        <w:p w14:paraId="00343963" w14:textId="0A41F71D"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40" w:history="1">
            <w:r w:rsidR="0018480D" w:rsidRPr="006C786F">
              <w:rPr>
                <w:rStyle w:val="Hyperlink"/>
                <w:noProof/>
              </w:rPr>
              <w:t>1.1</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Description of the Grant Program</w:t>
            </w:r>
            <w:r w:rsidR="0018480D">
              <w:rPr>
                <w:noProof/>
                <w:webHidden/>
              </w:rPr>
              <w:tab/>
            </w:r>
            <w:r w:rsidR="0018480D">
              <w:rPr>
                <w:noProof/>
                <w:webHidden/>
              </w:rPr>
              <w:fldChar w:fldCharType="begin"/>
            </w:r>
            <w:r w:rsidR="0018480D">
              <w:rPr>
                <w:noProof/>
                <w:webHidden/>
              </w:rPr>
              <w:instrText xml:space="preserve"> PAGEREF _Toc172890040 \h </w:instrText>
            </w:r>
            <w:r w:rsidR="0018480D">
              <w:rPr>
                <w:noProof/>
                <w:webHidden/>
              </w:rPr>
            </w:r>
            <w:r w:rsidR="0018480D">
              <w:rPr>
                <w:noProof/>
                <w:webHidden/>
              </w:rPr>
              <w:fldChar w:fldCharType="separate"/>
            </w:r>
            <w:r w:rsidR="0018480D">
              <w:rPr>
                <w:noProof/>
                <w:webHidden/>
              </w:rPr>
              <w:t>5</w:t>
            </w:r>
            <w:r w:rsidR="0018480D">
              <w:rPr>
                <w:noProof/>
                <w:webHidden/>
              </w:rPr>
              <w:fldChar w:fldCharType="end"/>
            </w:r>
          </w:hyperlink>
        </w:p>
        <w:p w14:paraId="6E8A38F8" w14:textId="5AA8F48A"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41" w:history="1">
            <w:r w:rsidR="0018480D" w:rsidRPr="006C786F">
              <w:rPr>
                <w:rStyle w:val="Hyperlink"/>
                <w:noProof/>
              </w:rPr>
              <w:t>1.2</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Eligibility to Apply</w:t>
            </w:r>
            <w:r w:rsidR="0018480D">
              <w:rPr>
                <w:noProof/>
                <w:webHidden/>
              </w:rPr>
              <w:tab/>
            </w:r>
            <w:r w:rsidR="0018480D">
              <w:rPr>
                <w:noProof/>
                <w:webHidden/>
              </w:rPr>
              <w:fldChar w:fldCharType="begin"/>
            </w:r>
            <w:r w:rsidR="0018480D">
              <w:rPr>
                <w:noProof/>
                <w:webHidden/>
              </w:rPr>
              <w:instrText xml:space="preserve"> PAGEREF _Toc172890041 \h </w:instrText>
            </w:r>
            <w:r w:rsidR="0018480D">
              <w:rPr>
                <w:noProof/>
                <w:webHidden/>
              </w:rPr>
            </w:r>
            <w:r w:rsidR="0018480D">
              <w:rPr>
                <w:noProof/>
                <w:webHidden/>
              </w:rPr>
              <w:fldChar w:fldCharType="separate"/>
            </w:r>
            <w:r w:rsidR="0018480D">
              <w:rPr>
                <w:noProof/>
                <w:webHidden/>
              </w:rPr>
              <w:t>6</w:t>
            </w:r>
            <w:r w:rsidR="0018480D">
              <w:rPr>
                <w:noProof/>
                <w:webHidden/>
              </w:rPr>
              <w:fldChar w:fldCharType="end"/>
            </w:r>
          </w:hyperlink>
        </w:p>
        <w:p w14:paraId="47B8702A" w14:textId="51155994"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42" w:history="1">
            <w:r w:rsidR="0018480D" w:rsidRPr="006C786F">
              <w:rPr>
                <w:rStyle w:val="Hyperlink"/>
                <w:noProof/>
              </w:rPr>
              <w:t>1.3</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Federal Compliance requirements (UEI, SAM)</w:t>
            </w:r>
            <w:r w:rsidR="0018480D">
              <w:rPr>
                <w:noProof/>
                <w:webHidden/>
              </w:rPr>
              <w:tab/>
            </w:r>
            <w:r w:rsidR="0018480D">
              <w:rPr>
                <w:noProof/>
                <w:webHidden/>
              </w:rPr>
              <w:fldChar w:fldCharType="begin"/>
            </w:r>
            <w:r w:rsidR="0018480D">
              <w:rPr>
                <w:noProof/>
                <w:webHidden/>
              </w:rPr>
              <w:instrText xml:space="preserve"> PAGEREF _Toc172890042 \h </w:instrText>
            </w:r>
            <w:r w:rsidR="0018480D">
              <w:rPr>
                <w:noProof/>
                <w:webHidden/>
              </w:rPr>
            </w:r>
            <w:r w:rsidR="0018480D">
              <w:rPr>
                <w:noProof/>
                <w:webHidden/>
              </w:rPr>
              <w:fldChar w:fldCharType="separate"/>
            </w:r>
            <w:r w:rsidR="0018480D">
              <w:rPr>
                <w:noProof/>
                <w:webHidden/>
              </w:rPr>
              <w:t>7</w:t>
            </w:r>
            <w:r w:rsidR="0018480D">
              <w:rPr>
                <w:noProof/>
                <w:webHidden/>
              </w:rPr>
              <w:fldChar w:fldCharType="end"/>
            </w:r>
          </w:hyperlink>
        </w:p>
        <w:p w14:paraId="09B3DD0B" w14:textId="50467630"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43" w:history="1">
            <w:r w:rsidR="0018480D" w:rsidRPr="006C786F">
              <w:rPr>
                <w:rStyle w:val="Hyperlink"/>
                <w:noProof/>
              </w:rPr>
              <w:t>1.4</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Statutory/Regulatory Source and Funding</w:t>
            </w:r>
            <w:r w:rsidR="0018480D">
              <w:rPr>
                <w:noProof/>
                <w:webHidden/>
              </w:rPr>
              <w:tab/>
            </w:r>
            <w:r w:rsidR="0018480D">
              <w:rPr>
                <w:noProof/>
                <w:webHidden/>
              </w:rPr>
              <w:fldChar w:fldCharType="begin"/>
            </w:r>
            <w:r w:rsidR="0018480D">
              <w:rPr>
                <w:noProof/>
                <w:webHidden/>
              </w:rPr>
              <w:instrText xml:space="preserve"> PAGEREF _Toc172890043 \h </w:instrText>
            </w:r>
            <w:r w:rsidR="0018480D">
              <w:rPr>
                <w:noProof/>
                <w:webHidden/>
              </w:rPr>
            </w:r>
            <w:r w:rsidR="0018480D">
              <w:rPr>
                <w:noProof/>
                <w:webHidden/>
              </w:rPr>
              <w:fldChar w:fldCharType="separate"/>
            </w:r>
            <w:r w:rsidR="0018480D">
              <w:rPr>
                <w:noProof/>
                <w:webHidden/>
              </w:rPr>
              <w:t>7</w:t>
            </w:r>
            <w:r w:rsidR="0018480D">
              <w:rPr>
                <w:noProof/>
                <w:webHidden/>
              </w:rPr>
              <w:fldChar w:fldCharType="end"/>
            </w:r>
          </w:hyperlink>
        </w:p>
        <w:p w14:paraId="5433A40B" w14:textId="34A312A0"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44" w:history="1">
            <w:r w:rsidR="0018480D" w:rsidRPr="006C786F">
              <w:rPr>
                <w:rStyle w:val="Hyperlink"/>
                <w:noProof/>
              </w:rPr>
              <w:t>1.5</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Dissemination of This Notice</w:t>
            </w:r>
            <w:r w:rsidR="0018480D">
              <w:rPr>
                <w:noProof/>
                <w:webHidden/>
              </w:rPr>
              <w:tab/>
            </w:r>
            <w:r w:rsidR="0018480D">
              <w:rPr>
                <w:noProof/>
                <w:webHidden/>
              </w:rPr>
              <w:fldChar w:fldCharType="begin"/>
            </w:r>
            <w:r w:rsidR="0018480D">
              <w:rPr>
                <w:noProof/>
                <w:webHidden/>
              </w:rPr>
              <w:instrText xml:space="preserve"> PAGEREF _Toc172890044 \h </w:instrText>
            </w:r>
            <w:r w:rsidR="0018480D">
              <w:rPr>
                <w:noProof/>
                <w:webHidden/>
              </w:rPr>
            </w:r>
            <w:r w:rsidR="0018480D">
              <w:rPr>
                <w:noProof/>
                <w:webHidden/>
              </w:rPr>
              <w:fldChar w:fldCharType="separate"/>
            </w:r>
            <w:r w:rsidR="0018480D">
              <w:rPr>
                <w:noProof/>
                <w:webHidden/>
              </w:rPr>
              <w:t>8</w:t>
            </w:r>
            <w:r w:rsidR="0018480D">
              <w:rPr>
                <w:noProof/>
                <w:webHidden/>
              </w:rPr>
              <w:fldChar w:fldCharType="end"/>
            </w:r>
          </w:hyperlink>
        </w:p>
        <w:p w14:paraId="5C292AE9" w14:textId="73C9FC34"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45" w:history="1">
            <w:r w:rsidR="0018480D" w:rsidRPr="006C786F">
              <w:rPr>
                <w:rStyle w:val="Hyperlink"/>
                <w:noProof/>
              </w:rPr>
              <w:t>1.6</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Technical Assistance</w:t>
            </w:r>
            <w:r w:rsidR="0018480D">
              <w:rPr>
                <w:noProof/>
                <w:webHidden/>
              </w:rPr>
              <w:tab/>
            </w:r>
            <w:r w:rsidR="0018480D">
              <w:rPr>
                <w:noProof/>
                <w:webHidden/>
              </w:rPr>
              <w:fldChar w:fldCharType="begin"/>
            </w:r>
            <w:r w:rsidR="0018480D">
              <w:rPr>
                <w:noProof/>
                <w:webHidden/>
              </w:rPr>
              <w:instrText xml:space="preserve"> PAGEREF _Toc172890045 \h </w:instrText>
            </w:r>
            <w:r w:rsidR="0018480D">
              <w:rPr>
                <w:noProof/>
                <w:webHidden/>
              </w:rPr>
            </w:r>
            <w:r w:rsidR="0018480D">
              <w:rPr>
                <w:noProof/>
                <w:webHidden/>
              </w:rPr>
              <w:fldChar w:fldCharType="separate"/>
            </w:r>
            <w:r w:rsidR="0018480D">
              <w:rPr>
                <w:noProof/>
                <w:webHidden/>
              </w:rPr>
              <w:t>8</w:t>
            </w:r>
            <w:r w:rsidR="0018480D">
              <w:rPr>
                <w:noProof/>
                <w:webHidden/>
              </w:rPr>
              <w:fldChar w:fldCharType="end"/>
            </w:r>
          </w:hyperlink>
        </w:p>
        <w:p w14:paraId="32602295" w14:textId="2643EEA1"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46" w:history="1">
            <w:r w:rsidR="0018480D" w:rsidRPr="006C786F">
              <w:rPr>
                <w:rStyle w:val="Hyperlink"/>
                <w:noProof/>
              </w:rPr>
              <w:t>1.7</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Application Submission</w:t>
            </w:r>
            <w:r w:rsidR="0018480D">
              <w:rPr>
                <w:noProof/>
                <w:webHidden/>
              </w:rPr>
              <w:tab/>
            </w:r>
            <w:r w:rsidR="0018480D">
              <w:rPr>
                <w:noProof/>
                <w:webHidden/>
              </w:rPr>
              <w:fldChar w:fldCharType="begin"/>
            </w:r>
            <w:r w:rsidR="0018480D">
              <w:rPr>
                <w:noProof/>
                <w:webHidden/>
              </w:rPr>
              <w:instrText xml:space="preserve"> PAGEREF _Toc172890046 \h </w:instrText>
            </w:r>
            <w:r w:rsidR="0018480D">
              <w:rPr>
                <w:noProof/>
                <w:webHidden/>
              </w:rPr>
            </w:r>
            <w:r w:rsidR="0018480D">
              <w:rPr>
                <w:noProof/>
                <w:webHidden/>
              </w:rPr>
              <w:fldChar w:fldCharType="separate"/>
            </w:r>
            <w:r w:rsidR="0018480D">
              <w:rPr>
                <w:noProof/>
                <w:webHidden/>
              </w:rPr>
              <w:t>8</w:t>
            </w:r>
            <w:r w:rsidR="0018480D">
              <w:rPr>
                <w:noProof/>
                <w:webHidden/>
              </w:rPr>
              <w:fldChar w:fldCharType="end"/>
            </w:r>
          </w:hyperlink>
        </w:p>
        <w:p w14:paraId="2D1B8439" w14:textId="6EA696A9"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47" w:history="1">
            <w:r w:rsidR="0018480D" w:rsidRPr="006C786F">
              <w:rPr>
                <w:rStyle w:val="Hyperlink"/>
                <w:noProof/>
              </w:rPr>
              <w:t>1.8</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Reporting Requirements</w:t>
            </w:r>
            <w:r w:rsidR="0018480D">
              <w:rPr>
                <w:noProof/>
                <w:webHidden/>
              </w:rPr>
              <w:tab/>
            </w:r>
            <w:r w:rsidR="0018480D">
              <w:rPr>
                <w:noProof/>
                <w:webHidden/>
              </w:rPr>
              <w:fldChar w:fldCharType="begin"/>
            </w:r>
            <w:r w:rsidR="0018480D">
              <w:rPr>
                <w:noProof/>
                <w:webHidden/>
              </w:rPr>
              <w:instrText xml:space="preserve"> PAGEREF _Toc172890047 \h </w:instrText>
            </w:r>
            <w:r w:rsidR="0018480D">
              <w:rPr>
                <w:noProof/>
                <w:webHidden/>
              </w:rPr>
            </w:r>
            <w:r w:rsidR="0018480D">
              <w:rPr>
                <w:noProof/>
                <w:webHidden/>
              </w:rPr>
              <w:fldChar w:fldCharType="separate"/>
            </w:r>
            <w:r w:rsidR="0018480D">
              <w:rPr>
                <w:noProof/>
                <w:webHidden/>
              </w:rPr>
              <w:t>9</w:t>
            </w:r>
            <w:r w:rsidR="0018480D">
              <w:rPr>
                <w:noProof/>
                <w:webHidden/>
              </w:rPr>
              <w:fldChar w:fldCharType="end"/>
            </w:r>
          </w:hyperlink>
        </w:p>
        <w:p w14:paraId="13AC4D3C" w14:textId="0C7868E9"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48" w:history="1">
            <w:r w:rsidR="0018480D" w:rsidRPr="006C786F">
              <w:rPr>
                <w:rStyle w:val="Hyperlink"/>
                <w:noProof/>
              </w:rPr>
              <w:t>1.9</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Assessment of Statewide Program Results</w:t>
            </w:r>
            <w:r w:rsidR="0018480D">
              <w:rPr>
                <w:noProof/>
                <w:webHidden/>
              </w:rPr>
              <w:tab/>
            </w:r>
            <w:r w:rsidR="0018480D">
              <w:rPr>
                <w:noProof/>
                <w:webHidden/>
              </w:rPr>
              <w:fldChar w:fldCharType="begin"/>
            </w:r>
            <w:r w:rsidR="0018480D">
              <w:rPr>
                <w:noProof/>
                <w:webHidden/>
              </w:rPr>
              <w:instrText xml:space="preserve"> PAGEREF _Toc172890048 \h </w:instrText>
            </w:r>
            <w:r w:rsidR="0018480D">
              <w:rPr>
                <w:noProof/>
                <w:webHidden/>
              </w:rPr>
            </w:r>
            <w:r w:rsidR="0018480D">
              <w:rPr>
                <w:noProof/>
                <w:webHidden/>
              </w:rPr>
              <w:fldChar w:fldCharType="separate"/>
            </w:r>
            <w:r w:rsidR="0018480D">
              <w:rPr>
                <w:noProof/>
                <w:webHidden/>
              </w:rPr>
              <w:t>9</w:t>
            </w:r>
            <w:r w:rsidR="0018480D">
              <w:rPr>
                <w:noProof/>
                <w:webHidden/>
              </w:rPr>
              <w:fldChar w:fldCharType="end"/>
            </w:r>
          </w:hyperlink>
        </w:p>
        <w:p w14:paraId="541BB80F" w14:textId="4FE51BD9" w:rsidR="0018480D" w:rsidRDefault="00D534DE">
          <w:pPr>
            <w:pStyle w:val="TOC3"/>
            <w:tabs>
              <w:tab w:val="left" w:pos="120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49" w:history="1">
            <w:r w:rsidR="0018480D" w:rsidRPr="006C786F">
              <w:rPr>
                <w:rStyle w:val="Hyperlink"/>
                <w:noProof/>
              </w:rPr>
              <w:t>1.10</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Reimbursement Requests</w:t>
            </w:r>
            <w:r w:rsidR="0018480D">
              <w:rPr>
                <w:noProof/>
                <w:webHidden/>
              </w:rPr>
              <w:tab/>
            </w:r>
            <w:r w:rsidR="0018480D">
              <w:rPr>
                <w:noProof/>
                <w:webHidden/>
              </w:rPr>
              <w:fldChar w:fldCharType="begin"/>
            </w:r>
            <w:r w:rsidR="0018480D">
              <w:rPr>
                <w:noProof/>
                <w:webHidden/>
              </w:rPr>
              <w:instrText xml:space="preserve"> PAGEREF _Toc172890049 \h </w:instrText>
            </w:r>
            <w:r w:rsidR="0018480D">
              <w:rPr>
                <w:noProof/>
                <w:webHidden/>
              </w:rPr>
            </w:r>
            <w:r w:rsidR="0018480D">
              <w:rPr>
                <w:noProof/>
                <w:webHidden/>
              </w:rPr>
              <w:fldChar w:fldCharType="separate"/>
            </w:r>
            <w:r w:rsidR="0018480D">
              <w:rPr>
                <w:noProof/>
                <w:webHidden/>
              </w:rPr>
              <w:t>9</w:t>
            </w:r>
            <w:r w:rsidR="0018480D">
              <w:rPr>
                <w:noProof/>
                <w:webHidden/>
              </w:rPr>
              <w:fldChar w:fldCharType="end"/>
            </w:r>
          </w:hyperlink>
        </w:p>
        <w:p w14:paraId="4670F94E" w14:textId="2E71286C" w:rsidR="0018480D" w:rsidRDefault="00D534DE">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50" w:history="1">
            <w:r w:rsidR="0018480D" w:rsidRPr="006C786F">
              <w:rPr>
                <w:rStyle w:val="Hyperlink"/>
                <w:noProof/>
              </w:rPr>
              <w:t>Section 2:  Project Guidelines</w:t>
            </w:r>
            <w:r w:rsidR="0018480D">
              <w:rPr>
                <w:noProof/>
                <w:webHidden/>
              </w:rPr>
              <w:tab/>
            </w:r>
            <w:r w:rsidR="0018480D">
              <w:rPr>
                <w:noProof/>
                <w:webHidden/>
              </w:rPr>
              <w:fldChar w:fldCharType="begin"/>
            </w:r>
            <w:r w:rsidR="0018480D">
              <w:rPr>
                <w:noProof/>
                <w:webHidden/>
              </w:rPr>
              <w:instrText xml:space="preserve"> PAGEREF _Toc172890050 \h </w:instrText>
            </w:r>
            <w:r w:rsidR="0018480D">
              <w:rPr>
                <w:noProof/>
                <w:webHidden/>
              </w:rPr>
            </w:r>
            <w:r w:rsidR="0018480D">
              <w:rPr>
                <w:noProof/>
                <w:webHidden/>
              </w:rPr>
              <w:fldChar w:fldCharType="separate"/>
            </w:r>
            <w:r w:rsidR="0018480D">
              <w:rPr>
                <w:noProof/>
                <w:webHidden/>
              </w:rPr>
              <w:t>10</w:t>
            </w:r>
            <w:r w:rsidR="0018480D">
              <w:rPr>
                <w:noProof/>
                <w:webHidden/>
              </w:rPr>
              <w:fldChar w:fldCharType="end"/>
            </w:r>
          </w:hyperlink>
        </w:p>
        <w:p w14:paraId="771907B7" w14:textId="4A52303C"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51" w:history="1">
            <w:r w:rsidR="0018480D" w:rsidRPr="006C786F">
              <w:rPr>
                <w:rStyle w:val="Hyperlink"/>
                <w:noProof/>
              </w:rPr>
              <w:t>2.1</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Project Requirements</w:t>
            </w:r>
            <w:r w:rsidR="0018480D">
              <w:rPr>
                <w:noProof/>
                <w:webHidden/>
              </w:rPr>
              <w:tab/>
            </w:r>
            <w:r w:rsidR="0018480D">
              <w:rPr>
                <w:noProof/>
                <w:webHidden/>
              </w:rPr>
              <w:fldChar w:fldCharType="begin"/>
            </w:r>
            <w:r w:rsidR="0018480D">
              <w:rPr>
                <w:noProof/>
                <w:webHidden/>
              </w:rPr>
              <w:instrText xml:space="preserve"> PAGEREF _Toc172890051 \h </w:instrText>
            </w:r>
            <w:r w:rsidR="0018480D">
              <w:rPr>
                <w:noProof/>
                <w:webHidden/>
              </w:rPr>
            </w:r>
            <w:r w:rsidR="0018480D">
              <w:rPr>
                <w:noProof/>
                <w:webHidden/>
              </w:rPr>
              <w:fldChar w:fldCharType="separate"/>
            </w:r>
            <w:r w:rsidR="0018480D">
              <w:rPr>
                <w:noProof/>
                <w:webHidden/>
              </w:rPr>
              <w:t>12</w:t>
            </w:r>
            <w:r w:rsidR="0018480D">
              <w:rPr>
                <w:noProof/>
                <w:webHidden/>
              </w:rPr>
              <w:fldChar w:fldCharType="end"/>
            </w:r>
          </w:hyperlink>
        </w:p>
        <w:p w14:paraId="1649E447" w14:textId="7389E410"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52" w:history="1">
            <w:r w:rsidR="0018480D" w:rsidRPr="006C786F">
              <w:rPr>
                <w:rStyle w:val="Hyperlink"/>
                <w:noProof/>
              </w:rPr>
              <w:t>2.2</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Budget Design Considerations</w:t>
            </w:r>
            <w:r w:rsidR="0018480D">
              <w:rPr>
                <w:noProof/>
                <w:webHidden/>
              </w:rPr>
              <w:tab/>
            </w:r>
            <w:r w:rsidR="0018480D">
              <w:rPr>
                <w:noProof/>
                <w:webHidden/>
              </w:rPr>
              <w:fldChar w:fldCharType="begin"/>
            </w:r>
            <w:r w:rsidR="0018480D">
              <w:rPr>
                <w:noProof/>
                <w:webHidden/>
              </w:rPr>
              <w:instrText xml:space="preserve"> PAGEREF _Toc172890052 \h </w:instrText>
            </w:r>
            <w:r w:rsidR="0018480D">
              <w:rPr>
                <w:noProof/>
                <w:webHidden/>
              </w:rPr>
            </w:r>
            <w:r w:rsidR="0018480D">
              <w:rPr>
                <w:noProof/>
                <w:webHidden/>
              </w:rPr>
              <w:fldChar w:fldCharType="separate"/>
            </w:r>
            <w:r w:rsidR="0018480D">
              <w:rPr>
                <w:noProof/>
                <w:webHidden/>
              </w:rPr>
              <w:t>13</w:t>
            </w:r>
            <w:r w:rsidR="0018480D">
              <w:rPr>
                <w:noProof/>
                <w:webHidden/>
              </w:rPr>
              <w:fldChar w:fldCharType="end"/>
            </w:r>
          </w:hyperlink>
        </w:p>
        <w:p w14:paraId="2BC747BE" w14:textId="0A4806CD" w:rsidR="0018480D" w:rsidRDefault="00D534DE">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53" w:history="1">
            <w:r w:rsidR="0018480D" w:rsidRPr="006C786F">
              <w:rPr>
                <w:rStyle w:val="Hyperlink"/>
                <w:noProof/>
              </w:rPr>
              <w:t>Section 3:  Completing the Application</w:t>
            </w:r>
            <w:r w:rsidR="0018480D">
              <w:rPr>
                <w:noProof/>
                <w:webHidden/>
              </w:rPr>
              <w:tab/>
            </w:r>
            <w:r w:rsidR="0018480D">
              <w:rPr>
                <w:noProof/>
                <w:webHidden/>
              </w:rPr>
              <w:fldChar w:fldCharType="begin"/>
            </w:r>
            <w:r w:rsidR="0018480D">
              <w:rPr>
                <w:noProof/>
                <w:webHidden/>
              </w:rPr>
              <w:instrText xml:space="preserve"> PAGEREF _Toc172890053 \h </w:instrText>
            </w:r>
            <w:r w:rsidR="0018480D">
              <w:rPr>
                <w:noProof/>
                <w:webHidden/>
              </w:rPr>
            </w:r>
            <w:r w:rsidR="0018480D">
              <w:rPr>
                <w:noProof/>
                <w:webHidden/>
              </w:rPr>
              <w:fldChar w:fldCharType="separate"/>
            </w:r>
            <w:r w:rsidR="0018480D">
              <w:rPr>
                <w:noProof/>
                <w:webHidden/>
              </w:rPr>
              <w:t>14</w:t>
            </w:r>
            <w:r w:rsidR="0018480D">
              <w:rPr>
                <w:noProof/>
                <w:webHidden/>
              </w:rPr>
              <w:fldChar w:fldCharType="end"/>
            </w:r>
          </w:hyperlink>
        </w:p>
        <w:p w14:paraId="17181699" w14:textId="56E0E3E5"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54" w:history="1">
            <w:r w:rsidR="0018480D" w:rsidRPr="006C786F">
              <w:rPr>
                <w:rStyle w:val="Hyperlink"/>
                <w:noProof/>
              </w:rPr>
              <w:t>3.1</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General Instructions for Applying</w:t>
            </w:r>
            <w:r w:rsidR="0018480D">
              <w:rPr>
                <w:noProof/>
                <w:webHidden/>
              </w:rPr>
              <w:tab/>
            </w:r>
            <w:r w:rsidR="0018480D">
              <w:rPr>
                <w:noProof/>
                <w:webHidden/>
              </w:rPr>
              <w:fldChar w:fldCharType="begin"/>
            </w:r>
            <w:r w:rsidR="0018480D">
              <w:rPr>
                <w:noProof/>
                <w:webHidden/>
              </w:rPr>
              <w:instrText xml:space="preserve"> PAGEREF _Toc172890054 \h </w:instrText>
            </w:r>
            <w:r w:rsidR="0018480D">
              <w:rPr>
                <w:noProof/>
                <w:webHidden/>
              </w:rPr>
            </w:r>
            <w:r w:rsidR="0018480D">
              <w:rPr>
                <w:noProof/>
                <w:webHidden/>
              </w:rPr>
              <w:fldChar w:fldCharType="separate"/>
            </w:r>
            <w:r w:rsidR="0018480D">
              <w:rPr>
                <w:noProof/>
                <w:webHidden/>
              </w:rPr>
              <w:t>14</w:t>
            </w:r>
            <w:r w:rsidR="0018480D">
              <w:rPr>
                <w:noProof/>
                <w:webHidden/>
              </w:rPr>
              <w:fldChar w:fldCharType="end"/>
            </w:r>
          </w:hyperlink>
        </w:p>
        <w:p w14:paraId="1227A581" w14:textId="735E5134"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55" w:history="1">
            <w:r w:rsidR="0018480D" w:rsidRPr="006C786F">
              <w:rPr>
                <w:rStyle w:val="Hyperlink"/>
                <w:noProof/>
              </w:rPr>
              <w:t>3.2</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Review of Continuation Applications</w:t>
            </w:r>
            <w:r w:rsidR="0018480D">
              <w:rPr>
                <w:noProof/>
                <w:webHidden/>
              </w:rPr>
              <w:tab/>
            </w:r>
            <w:r w:rsidR="0018480D">
              <w:rPr>
                <w:noProof/>
                <w:webHidden/>
              </w:rPr>
              <w:fldChar w:fldCharType="begin"/>
            </w:r>
            <w:r w:rsidR="0018480D">
              <w:rPr>
                <w:noProof/>
                <w:webHidden/>
              </w:rPr>
              <w:instrText xml:space="preserve"> PAGEREF _Toc172890055 \h </w:instrText>
            </w:r>
            <w:r w:rsidR="0018480D">
              <w:rPr>
                <w:noProof/>
                <w:webHidden/>
              </w:rPr>
            </w:r>
            <w:r w:rsidR="0018480D">
              <w:rPr>
                <w:noProof/>
                <w:webHidden/>
              </w:rPr>
              <w:fldChar w:fldCharType="separate"/>
            </w:r>
            <w:r w:rsidR="0018480D">
              <w:rPr>
                <w:noProof/>
                <w:webHidden/>
              </w:rPr>
              <w:t>14</w:t>
            </w:r>
            <w:r w:rsidR="0018480D">
              <w:rPr>
                <w:noProof/>
                <w:webHidden/>
              </w:rPr>
              <w:fldChar w:fldCharType="end"/>
            </w:r>
          </w:hyperlink>
        </w:p>
        <w:p w14:paraId="16050900" w14:textId="52D37EC4" w:rsidR="0018480D" w:rsidRDefault="00D534DE">
          <w:pPr>
            <w:pStyle w:val="TOC3"/>
            <w:tabs>
              <w:tab w:val="left" w:pos="960"/>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56" w:history="1">
            <w:r w:rsidR="0018480D" w:rsidRPr="006C786F">
              <w:rPr>
                <w:rStyle w:val="Hyperlink"/>
                <w:noProof/>
              </w:rPr>
              <w:t>3.3</w:t>
            </w:r>
            <w:r w:rsidR="0018480D">
              <w:rPr>
                <w:rFonts w:asciiTheme="minorHAnsi" w:eastAsiaTheme="minorEastAsia" w:hAnsiTheme="minorHAnsi" w:cstheme="minorBidi"/>
                <w:noProof/>
                <w:color w:val="auto"/>
                <w:kern w:val="2"/>
                <w:sz w:val="24"/>
                <w:szCs w:val="24"/>
                <w14:ligatures w14:val="standardContextual"/>
              </w:rPr>
              <w:tab/>
            </w:r>
            <w:r w:rsidR="0018480D" w:rsidRPr="006C786F">
              <w:rPr>
                <w:rStyle w:val="Hyperlink"/>
                <w:noProof/>
              </w:rPr>
              <w:t>Application Component Checklist</w:t>
            </w:r>
            <w:r w:rsidR="0018480D">
              <w:rPr>
                <w:noProof/>
                <w:webHidden/>
              </w:rPr>
              <w:tab/>
            </w:r>
            <w:r w:rsidR="0018480D">
              <w:rPr>
                <w:noProof/>
                <w:webHidden/>
              </w:rPr>
              <w:fldChar w:fldCharType="begin"/>
            </w:r>
            <w:r w:rsidR="0018480D">
              <w:rPr>
                <w:noProof/>
                <w:webHidden/>
              </w:rPr>
              <w:instrText xml:space="preserve"> PAGEREF _Toc172890056 \h </w:instrText>
            </w:r>
            <w:r w:rsidR="0018480D">
              <w:rPr>
                <w:noProof/>
                <w:webHidden/>
              </w:rPr>
            </w:r>
            <w:r w:rsidR="0018480D">
              <w:rPr>
                <w:noProof/>
                <w:webHidden/>
              </w:rPr>
              <w:fldChar w:fldCharType="separate"/>
            </w:r>
            <w:r w:rsidR="0018480D">
              <w:rPr>
                <w:noProof/>
                <w:webHidden/>
              </w:rPr>
              <w:t>15</w:t>
            </w:r>
            <w:r w:rsidR="0018480D">
              <w:rPr>
                <w:noProof/>
                <w:webHidden/>
              </w:rPr>
              <w:fldChar w:fldCharType="end"/>
            </w:r>
          </w:hyperlink>
        </w:p>
        <w:p w14:paraId="5A37153F" w14:textId="6408F26D" w:rsidR="0018480D" w:rsidRDefault="00D534DE">
          <w:pPr>
            <w:pStyle w:val="TOC2"/>
            <w:tabs>
              <w:tab w:val="right" w:leader="dot" w:pos="9350"/>
            </w:tabs>
            <w:rPr>
              <w:rFonts w:asciiTheme="minorHAnsi" w:eastAsiaTheme="minorEastAsia" w:hAnsiTheme="minorHAnsi" w:cstheme="minorBidi"/>
              <w:noProof/>
              <w:color w:val="auto"/>
              <w:kern w:val="2"/>
              <w:sz w:val="24"/>
              <w:szCs w:val="24"/>
              <w14:ligatures w14:val="standardContextual"/>
            </w:rPr>
          </w:pPr>
          <w:hyperlink w:anchor="_Toc172890057" w:history="1">
            <w:r w:rsidR="0018480D" w:rsidRPr="006C786F">
              <w:rPr>
                <w:rStyle w:val="Hyperlink"/>
                <w:noProof/>
              </w:rPr>
              <w:t>Appendix A: Eligible Career Clusters® and New Jersey Key Industry Pathways</w:t>
            </w:r>
            <w:r w:rsidR="0018480D">
              <w:rPr>
                <w:noProof/>
                <w:webHidden/>
              </w:rPr>
              <w:tab/>
            </w:r>
            <w:r w:rsidR="0018480D">
              <w:rPr>
                <w:noProof/>
                <w:webHidden/>
              </w:rPr>
              <w:fldChar w:fldCharType="begin"/>
            </w:r>
            <w:r w:rsidR="0018480D">
              <w:rPr>
                <w:noProof/>
                <w:webHidden/>
              </w:rPr>
              <w:instrText xml:space="preserve"> PAGEREF _Toc172890057 \h </w:instrText>
            </w:r>
            <w:r w:rsidR="0018480D">
              <w:rPr>
                <w:noProof/>
                <w:webHidden/>
              </w:rPr>
            </w:r>
            <w:r w:rsidR="0018480D">
              <w:rPr>
                <w:noProof/>
                <w:webHidden/>
              </w:rPr>
              <w:fldChar w:fldCharType="separate"/>
            </w:r>
            <w:r w:rsidR="0018480D">
              <w:rPr>
                <w:noProof/>
                <w:webHidden/>
              </w:rPr>
              <w:t>16</w:t>
            </w:r>
            <w:r w:rsidR="0018480D">
              <w:rPr>
                <w:noProof/>
                <w:webHidden/>
              </w:rPr>
              <w:fldChar w:fldCharType="end"/>
            </w:r>
          </w:hyperlink>
        </w:p>
        <w:p w14:paraId="350BA80D" w14:textId="0E370056" w:rsidR="1AE24D0C" w:rsidRDefault="1AE24D0C" w:rsidP="00111268">
          <w:pPr>
            <w:pStyle w:val="TOC2"/>
            <w:tabs>
              <w:tab w:val="right" w:leader="dot" w:pos="9360"/>
            </w:tabs>
            <w:rPr>
              <w:rStyle w:val="Hyperlink"/>
            </w:rPr>
          </w:pPr>
          <w:r>
            <w:fldChar w:fldCharType="end"/>
          </w:r>
        </w:p>
      </w:sdtContent>
    </w:sdt>
    <w:p w14:paraId="3AA32DC2" w14:textId="77777777" w:rsidR="003D0331" w:rsidRDefault="003D0331" w:rsidP="003D0331">
      <w:pPr>
        <w:rPr>
          <w:b/>
          <w:bCs/>
          <w:noProof/>
        </w:rPr>
      </w:pPr>
    </w:p>
    <w:p w14:paraId="47A7869D" w14:textId="534562E6" w:rsidR="003D0331" w:rsidRPr="00336E67" w:rsidRDefault="003D0331" w:rsidP="00623ACB">
      <w:pPr>
        <w:pStyle w:val="Heading2"/>
      </w:pPr>
      <w:r>
        <w:br w:type="page"/>
      </w:r>
      <w:bookmarkStart w:id="73" w:name="_Toc533681881"/>
      <w:bookmarkStart w:id="74" w:name="_Toc63095134"/>
      <w:bookmarkStart w:id="75" w:name="_Toc63095516"/>
      <w:bookmarkStart w:id="76" w:name="_Toc63095876"/>
      <w:bookmarkStart w:id="77" w:name="_Toc172890039"/>
      <w:r w:rsidR="6A7466AF">
        <w:lastRenderedPageBreak/>
        <w:t xml:space="preserve">Section 1:  </w:t>
      </w:r>
      <w:r w:rsidR="6A7466AF" w:rsidRPr="00623ACB">
        <w:t>Grant</w:t>
      </w:r>
      <w:r w:rsidR="6A7466AF">
        <w:t xml:space="preserve"> Program Information</w:t>
      </w:r>
      <w:bookmarkEnd w:id="73"/>
      <w:bookmarkEnd w:id="74"/>
      <w:bookmarkEnd w:id="75"/>
      <w:bookmarkEnd w:id="76"/>
      <w:bookmarkEnd w:id="77"/>
    </w:p>
    <w:p w14:paraId="00E41EEA" w14:textId="77777777" w:rsidR="003D0331" w:rsidRPr="0052551A" w:rsidRDefault="6A7466AF" w:rsidP="003D0331">
      <w:pPr>
        <w:pStyle w:val="Heading3"/>
      </w:pPr>
      <w:bookmarkStart w:id="78" w:name="_Toc533681882"/>
      <w:bookmarkStart w:id="79" w:name="_Toc63095135"/>
      <w:bookmarkStart w:id="80" w:name="_Toc63095517"/>
      <w:bookmarkStart w:id="81" w:name="_Toc63095877"/>
      <w:bookmarkStart w:id="82" w:name="_Toc172890040"/>
      <w:r>
        <w:t>1.1</w:t>
      </w:r>
      <w:r w:rsidR="003D0331">
        <w:tab/>
      </w:r>
      <w:r>
        <w:t>Description of the Grant Program</w:t>
      </w:r>
      <w:bookmarkEnd w:id="78"/>
      <w:bookmarkEnd w:id="79"/>
      <w:bookmarkEnd w:id="80"/>
      <w:bookmarkEnd w:id="81"/>
      <w:bookmarkEnd w:id="82"/>
    </w:p>
    <w:p w14:paraId="4A829D5F" w14:textId="1E620BAA" w:rsidR="003D0331" w:rsidRPr="00AF19F7" w:rsidRDefault="003D0331" w:rsidP="1A9196EB">
      <w:pPr>
        <w:rPr>
          <w:rFonts w:asciiTheme="minorHAnsi" w:hAnsiTheme="minorHAnsi" w:cstheme="minorBidi"/>
        </w:rPr>
      </w:pPr>
      <w:r w:rsidRPr="00111268">
        <w:t>Th</w:t>
      </w:r>
      <w:r w:rsidR="00B07703">
        <w:t>e</w:t>
      </w:r>
      <w:r w:rsidRPr="00111268">
        <w:t xml:space="preserve"> Building Capacity for Career Pathways in Comprehensive Schools (Cohort 2), Year </w:t>
      </w:r>
      <w:r w:rsidR="00C34CEF" w:rsidRPr="1A9196EB">
        <w:t>4</w:t>
      </w:r>
      <w:r w:rsidRPr="00111268">
        <w:t xml:space="preserve"> of 4, </w:t>
      </w:r>
      <w:r w:rsidR="00111268" w:rsidRPr="00111268">
        <w:t xml:space="preserve">continuation Notice of Grant Opportunity (NGO) </w:t>
      </w:r>
      <w:r w:rsidRPr="00111268">
        <w:t xml:space="preserve">is offered to continue the grant project that began in year one with the goal of </w:t>
      </w:r>
      <w:r w:rsidRPr="00111268">
        <w:rPr>
          <w:shd w:val="clear" w:color="auto" w:fill="FFFFFF"/>
        </w:rPr>
        <w:t>increasing access and opportunities for New Jersey students to participate in high-quality career and technical education (CTE) programs in comprehensive high schools, delivered through career pathways leading to high-skill, high-wage</w:t>
      </w:r>
      <w:r w:rsidR="00EA6B05">
        <w:rPr>
          <w:shd w:val="clear" w:color="auto" w:fill="FFFFFF"/>
        </w:rPr>
        <w:t>,</w:t>
      </w:r>
      <w:r w:rsidRPr="00111268">
        <w:rPr>
          <w:shd w:val="clear" w:color="auto" w:fill="FFFFFF"/>
        </w:rPr>
        <w:t xml:space="preserve"> and in-demand careers.</w:t>
      </w:r>
    </w:p>
    <w:p w14:paraId="0FDC1F5B" w14:textId="3B669AA6" w:rsidR="003D0331" w:rsidRDefault="6A7466AF" w:rsidP="003D0331">
      <w:r>
        <w:t>Career pathways are an integrated approach to developing students</w:t>
      </w:r>
      <w:r w:rsidR="000D5A24">
        <w:t>'</w:t>
      </w:r>
      <w:r>
        <w:t xml:space="preserve"> core academic, technical</w:t>
      </w:r>
      <w:r w:rsidR="00EA6B05">
        <w:t>,</w:t>
      </w:r>
      <w:r>
        <w:t xml:space="preserve"> and employability skills in a broad career area. Career pathways connect education and training strategies and support services </w:t>
      </w:r>
      <w:r w:rsidR="00EA6B05">
        <w:t>that</w:t>
      </w:r>
      <w:r>
        <w:t xml:space="preserve"> enable individuals to secure industry-relevant certification, obtain employment within an occupational area, and advance to higher levels of education and employment in that area. Implementing career pathways in high schools provide</w:t>
      </w:r>
      <w:r w:rsidR="0C3A4A08">
        <w:t>s</w:t>
      </w:r>
      <w:r>
        <w:t xml:space="preserve"> opportunities for students to engage in authentic, relevant learning that integrates rigorous academic content and contextual learning. It includes developing high-quality partnerships with businesses, industry associations, community organizations, and higher education to support these efforts.</w:t>
      </w:r>
    </w:p>
    <w:p w14:paraId="0AAB9CD6" w14:textId="56DE0491" w:rsidR="003D0331" w:rsidRDefault="003D0331" w:rsidP="003D0331">
      <w:r>
        <w:t xml:space="preserve">In his 2020 State of the State address, Governor Murphy introduced </w:t>
      </w:r>
      <w:proofErr w:type="spellStart"/>
      <w:r>
        <w:t>JobsNJ</w:t>
      </w:r>
      <w:proofErr w:type="spellEnd"/>
      <w:r>
        <w:t xml:space="preserve">. This initiative was created to set New Jersey on the path to a stronger and fairer future where innovation and diversity are at the forefront of the </w:t>
      </w:r>
      <w:r w:rsidR="00EA6B05">
        <w:t>State's economy. It ensures that career-seeking residents of New Jersey have the education and training necessary to access high-</w:t>
      </w:r>
      <w:r>
        <w:t xml:space="preserve">quality employment. It also supports businesses by helping employers find the talent to support continued prosperity. The </w:t>
      </w:r>
      <w:r w:rsidRPr="30DF2305">
        <w:rPr>
          <w:i/>
          <w:iCs/>
        </w:rPr>
        <w:t>Building Capacity for Career Pathways: A Pilot Program for Comprehensive Schools</w:t>
      </w:r>
      <w:r>
        <w:t xml:space="preserve"> initiative </w:t>
      </w:r>
      <w:r w:rsidR="00EA6B05">
        <w:t>is</w:t>
      </w:r>
      <w:r>
        <w:t xml:space="preserve"> </w:t>
      </w:r>
      <w:r w:rsidR="00EA6B05">
        <w:t>a</w:t>
      </w:r>
      <w:r>
        <w:t xml:space="preserve"> starting point </w:t>
      </w:r>
      <w:r w:rsidR="00EA6B05">
        <w:t>for building</w:t>
      </w:r>
      <w:r>
        <w:t xml:space="preserve"> a pipeline of trained and educated residents at the secondary level who are prepared to enter directly into the workforce or continue to higher education. This NGO continues the successes and best practices learned from the pilot program while building stronger methods for access, opportunity, and equity in CTE.</w:t>
      </w:r>
    </w:p>
    <w:p w14:paraId="74AC68C0" w14:textId="0D555E66" w:rsidR="003D0331" w:rsidRDefault="003D0331" w:rsidP="003D0331">
      <w:pPr>
        <w:rPr>
          <w:rFonts w:asciiTheme="minorHAnsi" w:hAnsiTheme="minorHAnsi" w:cstheme="minorBidi"/>
        </w:rPr>
      </w:pPr>
      <w:r w:rsidRPr="00A41807">
        <w:t>Building Capacity for Career Pathways in Comprehensive Schools</w:t>
      </w:r>
      <w:r w:rsidRPr="30DF2305">
        <w:rPr>
          <w:i/>
          <w:iCs/>
        </w:rPr>
        <w:t xml:space="preserve"> </w:t>
      </w:r>
      <w:r>
        <w:t xml:space="preserve">offers equitable access to high-quality CTE for students to achieve academic and career success aligned to economic </w:t>
      </w:r>
      <w:r w:rsidRPr="30DF2305">
        <w:rPr>
          <w:rFonts w:asciiTheme="minorHAnsi" w:hAnsiTheme="minorHAnsi" w:cstheme="minorBidi"/>
        </w:rPr>
        <w:t>opportunities</w:t>
      </w:r>
      <w:r>
        <w:rPr>
          <w:rFonts w:asciiTheme="minorHAnsi" w:hAnsiTheme="minorHAnsi" w:cstheme="minorBidi"/>
        </w:rPr>
        <w:t>.</w:t>
      </w:r>
      <w:r w:rsidRPr="30DF2305">
        <w:rPr>
          <w:rFonts w:asciiTheme="minorHAnsi" w:hAnsiTheme="minorHAnsi" w:cstheme="minorBidi"/>
        </w:rPr>
        <w:t xml:space="preserve"> Through statewide agency collaboration with the </w:t>
      </w:r>
      <w:r>
        <w:rPr>
          <w:rFonts w:asciiTheme="minorHAnsi" w:hAnsiTheme="minorHAnsi" w:cstheme="minorBidi"/>
        </w:rPr>
        <w:t>Department of Labor (</w:t>
      </w:r>
      <w:r w:rsidRPr="00FB4E45">
        <w:rPr>
          <w:rFonts w:asciiTheme="minorHAnsi" w:hAnsiTheme="minorHAnsi" w:cstheme="minorBidi"/>
        </w:rPr>
        <w:t>NJDOL</w:t>
      </w:r>
      <w:r>
        <w:rPr>
          <w:rFonts w:asciiTheme="minorHAnsi" w:hAnsiTheme="minorHAnsi" w:cstheme="minorBidi"/>
        </w:rPr>
        <w:t>)</w:t>
      </w:r>
      <w:r w:rsidRPr="30DF2305">
        <w:rPr>
          <w:rFonts w:asciiTheme="minorHAnsi" w:hAnsiTheme="minorHAnsi" w:cstheme="minorBidi"/>
        </w:rPr>
        <w:t xml:space="preserve">, the Office of the Secretary of Higher Education (OSHE), </w:t>
      </w:r>
      <w:r w:rsidR="00A04342">
        <w:rPr>
          <w:rFonts w:asciiTheme="minorHAnsi" w:hAnsiTheme="minorHAnsi" w:cstheme="minorBidi"/>
        </w:rPr>
        <w:t xml:space="preserve">the </w:t>
      </w:r>
      <w:r w:rsidRPr="30DF2305">
        <w:rPr>
          <w:rFonts w:asciiTheme="minorHAnsi" w:hAnsiTheme="minorHAnsi" w:cstheme="minorBidi"/>
        </w:rPr>
        <w:t>Economic Development Authority (NJEDA)</w:t>
      </w:r>
      <w:r w:rsidR="00A04342">
        <w:rPr>
          <w:rFonts w:asciiTheme="minorHAnsi" w:hAnsiTheme="minorHAnsi" w:cstheme="minorBidi"/>
        </w:rPr>
        <w:t>,</w:t>
      </w:r>
      <w:r w:rsidRPr="30DF2305">
        <w:rPr>
          <w:rFonts w:asciiTheme="minorHAnsi" w:hAnsiTheme="minorHAnsi" w:cstheme="minorBidi"/>
        </w:rPr>
        <w:t xml:space="preserve"> and NJDOE, New Jersey is committed to the creation of a talent development system focused on ensuring that all residents have the skills, abilities, and connections that lead to meaningful careers. </w:t>
      </w:r>
    </w:p>
    <w:p w14:paraId="153B71A2" w14:textId="77777777" w:rsidR="003D0331" w:rsidRPr="00CC7F51" w:rsidRDefault="003D0331" w:rsidP="003D0331">
      <w:pPr>
        <w:spacing w:after="0" w:line="240" w:lineRule="auto"/>
        <w:rPr>
          <w:rFonts w:asciiTheme="minorHAnsi" w:hAnsiTheme="minorHAnsi" w:cstheme="minorBidi"/>
        </w:rPr>
      </w:pPr>
      <w:r w:rsidRPr="30DF2305">
        <w:rPr>
          <w:rFonts w:asciiTheme="minorHAnsi" w:hAnsiTheme="minorHAnsi" w:cstheme="minorBidi"/>
        </w:rPr>
        <w:t>This NGO aligns this multi-agency effort to develop career pathways for students in the nine New Jersey Key Industries</w:t>
      </w:r>
      <w:r w:rsidRPr="30DF2305">
        <w:rPr>
          <w:rStyle w:val="FootnoteReference"/>
          <w:rFonts w:asciiTheme="minorHAnsi" w:hAnsiTheme="minorHAnsi" w:cstheme="minorBidi"/>
        </w:rPr>
        <w:footnoteReference w:id="2"/>
      </w:r>
      <w:r w:rsidRPr="30DF2305">
        <w:rPr>
          <w:rFonts w:asciiTheme="minorHAnsi" w:hAnsiTheme="minorHAnsi" w:cstheme="minorBidi"/>
        </w:rPr>
        <w:t xml:space="preserve"> identified by NJDOL:</w:t>
      </w:r>
    </w:p>
    <w:p w14:paraId="24830C46" w14:textId="77777777" w:rsidR="003D0331" w:rsidRPr="00DB5368" w:rsidRDefault="003D0331" w:rsidP="00442C8B">
      <w:pPr>
        <w:pStyle w:val="BodyText"/>
        <w:numPr>
          <w:ilvl w:val="0"/>
          <w:numId w:val="23"/>
        </w:numPr>
        <w:tabs>
          <w:tab w:val="clear" w:pos="0"/>
          <w:tab w:val="clear" w:pos="720"/>
        </w:tabs>
        <w:spacing w:after="60" w:line="240" w:lineRule="auto"/>
        <w:jc w:val="left"/>
        <w:rPr>
          <w:rFonts w:asciiTheme="minorHAnsi" w:hAnsiTheme="minorHAnsi" w:cstheme="minorHAnsi"/>
          <w:bCs/>
          <w:szCs w:val="22"/>
        </w:rPr>
      </w:pPr>
      <w:r w:rsidRPr="00DB5368">
        <w:rPr>
          <w:rFonts w:asciiTheme="minorHAnsi" w:hAnsiTheme="minorHAnsi" w:cstheme="minorHAnsi"/>
          <w:szCs w:val="22"/>
        </w:rPr>
        <w:t xml:space="preserve">Construction and </w:t>
      </w:r>
      <w:proofErr w:type="gramStart"/>
      <w:r w:rsidRPr="00DB5368">
        <w:rPr>
          <w:rFonts w:asciiTheme="minorHAnsi" w:hAnsiTheme="minorHAnsi" w:cstheme="minorHAnsi"/>
          <w:szCs w:val="22"/>
        </w:rPr>
        <w:t>Energy</w:t>
      </w:r>
      <w:r>
        <w:rPr>
          <w:rFonts w:asciiTheme="minorHAnsi" w:hAnsiTheme="minorHAnsi" w:cstheme="minorHAnsi"/>
          <w:szCs w:val="22"/>
        </w:rPr>
        <w:t>;</w:t>
      </w:r>
      <w:proofErr w:type="gramEnd"/>
    </w:p>
    <w:p w14:paraId="527AAAA7" w14:textId="77777777" w:rsidR="003D0331" w:rsidRPr="00DB5368" w:rsidRDefault="003D0331" w:rsidP="00442C8B">
      <w:pPr>
        <w:pStyle w:val="BodyText"/>
        <w:numPr>
          <w:ilvl w:val="0"/>
          <w:numId w:val="23"/>
        </w:numPr>
        <w:tabs>
          <w:tab w:val="clear" w:pos="0"/>
          <w:tab w:val="clear" w:pos="720"/>
        </w:tabs>
        <w:spacing w:after="60" w:line="240" w:lineRule="auto"/>
        <w:jc w:val="left"/>
        <w:rPr>
          <w:rFonts w:asciiTheme="minorHAnsi" w:hAnsiTheme="minorHAnsi" w:cstheme="minorHAnsi"/>
          <w:bCs/>
          <w:szCs w:val="22"/>
        </w:rPr>
      </w:pPr>
      <w:proofErr w:type="gramStart"/>
      <w:r>
        <w:rPr>
          <w:rFonts w:asciiTheme="minorHAnsi" w:hAnsiTheme="minorHAnsi" w:cstheme="minorHAnsi"/>
          <w:bCs/>
          <w:szCs w:val="22"/>
        </w:rPr>
        <w:t>Finance;</w:t>
      </w:r>
      <w:proofErr w:type="gramEnd"/>
    </w:p>
    <w:p w14:paraId="46F19E9C" w14:textId="77777777" w:rsidR="003D0331" w:rsidRPr="00DB5368" w:rsidRDefault="003D0331" w:rsidP="00442C8B">
      <w:pPr>
        <w:pStyle w:val="BodyText"/>
        <w:numPr>
          <w:ilvl w:val="0"/>
          <w:numId w:val="23"/>
        </w:numPr>
        <w:tabs>
          <w:tab w:val="clear" w:pos="0"/>
          <w:tab w:val="clear" w:pos="720"/>
        </w:tabs>
        <w:spacing w:after="60" w:line="240" w:lineRule="auto"/>
        <w:jc w:val="left"/>
        <w:rPr>
          <w:rFonts w:asciiTheme="minorHAnsi" w:hAnsiTheme="minorHAnsi" w:cstheme="minorHAnsi"/>
          <w:bCs/>
          <w:szCs w:val="22"/>
        </w:rPr>
      </w:pPr>
      <w:r w:rsidRPr="00DB5368">
        <w:rPr>
          <w:rFonts w:asciiTheme="minorHAnsi" w:hAnsiTheme="minorHAnsi" w:cstheme="minorHAnsi"/>
          <w:szCs w:val="22"/>
        </w:rPr>
        <w:t xml:space="preserve">Health </w:t>
      </w:r>
      <w:proofErr w:type="gramStart"/>
      <w:r w:rsidRPr="00DB5368">
        <w:rPr>
          <w:rFonts w:asciiTheme="minorHAnsi" w:hAnsiTheme="minorHAnsi" w:cstheme="minorHAnsi"/>
          <w:szCs w:val="22"/>
        </w:rPr>
        <w:t>Care</w:t>
      </w:r>
      <w:r>
        <w:rPr>
          <w:rFonts w:asciiTheme="minorHAnsi" w:hAnsiTheme="minorHAnsi" w:cstheme="minorHAnsi"/>
          <w:szCs w:val="22"/>
        </w:rPr>
        <w:t>;</w:t>
      </w:r>
      <w:proofErr w:type="gramEnd"/>
    </w:p>
    <w:p w14:paraId="3E5EADA0" w14:textId="77777777" w:rsidR="003D0331" w:rsidRPr="00DB5368" w:rsidRDefault="003D0331" w:rsidP="00442C8B">
      <w:pPr>
        <w:pStyle w:val="BodyText"/>
        <w:numPr>
          <w:ilvl w:val="0"/>
          <w:numId w:val="23"/>
        </w:numPr>
        <w:tabs>
          <w:tab w:val="clear" w:pos="0"/>
          <w:tab w:val="clear" w:pos="720"/>
        </w:tabs>
        <w:spacing w:after="60" w:line="240" w:lineRule="auto"/>
        <w:jc w:val="left"/>
        <w:rPr>
          <w:rFonts w:asciiTheme="minorHAnsi" w:hAnsiTheme="minorHAnsi" w:cstheme="minorHAnsi"/>
          <w:bCs/>
          <w:szCs w:val="22"/>
        </w:rPr>
      </w:pPr>
      <w:r>
        <w:rPr>
          <w:rFonts w:asciiTheme="minorHAnsi" w:hAnsiTheme="minorHAnsi" w:cstheme="minorHAnsi"/>
          <w:szCs w:val="22"/>
        </w:rPr>
        <w:t xml:space="preserve">Leisure and </w:t>
      </w:r>
      <w:proofErr w:type="gramStart"/>
      <w:r>
        <w:rPr>
          <w:rFonts w:asciiTheme="minorHAnsi" w:hAnsiTheme="minorHAnsi" w:cstheme="minorHAnsi"/>
          <w:szCs w:val="22"/>
        </w:rPr>
        <w:t>Hospitality;</w:t>
      </w:r>
      <w:proofErr w:type="gramEnd"/>
    </w:p>
    <w:p w14:paraId="51379CA1" w14:textId="77777777" w:rsidR="003D0331" w:rsidRPr="00DB5368" w:rsidRDefault="003D0331" w:rsidP="00442C8B">
      <w:pPr>
        <w:pStyle w:val="BodyText"/>
        <w:numPr>
          <w:ilvl w:val="0"/>
          <w:numId w:val="23"/>
        </w:numPr>
        <w:spacing w:after="60" w:line="240" w:lineRule="auto"/>
        <w:jc w:val="left"/>
        <w:rPr>
          <w:rFonts w:asciiTheme="minorHAnsi" w:hAnsiTheme="minorHAnsi" w:cstheme="minorHAnsi"/>
          <w:bCs/>
          <w:szCs w:val="22"/>
        </w:rPr>
      </w:pPr>
      <w:r>
        <w:rPr>
          <w:rFonts w:asciiTheme="minorHAnsi" w:hAnsiTheme="minorHAnsi" w:cstheme="minorHAnsi"/>
          <w:szCs w:val="22"/>
        </w:rPr>
        <w:t xml:space="preserve">Life </w:t>
      </w:r>
      <w:proofErr w:type="gramStart"/>
      <w:r>
        <w:rPr>
          <w:rFonts w:asciiTheme="minorHAnsi" w:hAnsiTheme="minorHAnsi" w:cstheme="minorHAnsi"/>
          <w:szCs w:val="22"/>
        </w:rPr>
        <w:t>Sciences;</w:t>
      </w:r>
      <w:proofErr w:type="gramEnd"/>
    </w:p>
    <w:p w14:paraId="5D80AD98" w14:textId="77777777" w:rsidR="003D0331" w:rsidRPr="00DB5368" w:rsidRDefault="003D0331" w:rsidP="00442C8B">
      <w:pPr>
        <w:pStyle w:val="BodyText"/>
        <w:numPr>
          <w:ilvl w:val="0"/>
          <w:numId w:val="23"/>
        </w:numPr>
        <w:spacing w:after="60" w:line="240" w:lineRule="auto"/>
        <w:jc w:val="left"/>
        <w:rPr>
          <w:rFonts w:asciiTheme="minorHAnsi" w:hAnsiTheme="minorHAnsi" w:cstheme="minorHAnsi"/>
          <w:szCs w:val="22"/>
        </w:rPr>
      </w:pPr>
      <w:r w:rsidRPr="00DB5368">
        <w:rPr>
          <w:rFonts w:asciiTheme="minorHAnsi" w:hAnsiTheme="minorHAnsi" w:cstheme="minorHAnsi"/>
          <w:szCs w:val="22"/>
        </w:rPr>
        <w:t>Transportation, Logistics</w:t>
      </w:r>
      <w:r>
        <w:rPr>
          <w:rFonts w:asciiTheme="minorHAnsi" w:hAnsiTheme="minorHAnsi" w:cstheme="minorHAnsi"/>
          <w:szCs w:val="22"/>
        </w:rPr>
        <w:t>,</w:t>
      </w:r>
      <w:r w:rsidRPr="00DB5368">
        <w:rPr>
          <w:rFonts w:asciiTheme="minorHAnsi" w:hAnsiTheme="minorHAnsi" w:cstheme="minorHAnsi"/>
          <w:szCs w:val="22"/>
        </w:rPr>
        <w:t xml:space="preserve"> and </w:t>
      </w:r>
      <w:proofErr w:type="gramStart"/>
      <w:r w:rsidRPr="00DB5368">
        <w:rPr>
          <w:rFonts w:asciiTheme="minorHAnsi" w:hAnsiTheme="minorHAnsi" w:cstheme="minorHAnsi"/>
          <w:szCs w:val="22"/>
        </w:rPr>
        <w:t>Distribution</w:t>
      </w:r>
      <w:r>
        <w:rPr>
          <w:rFonts w:asciiTheme="minorHAnsi" w:hAnsiTheme="minorHAnsi" w:cstheme="minorHAnsi"/>
          <w:szCs w:val="22"/>
        </w:rPr>
        <w:t>;</w:t>
      </w:r>
      <w:proofErr w:type="gramEnd"/>
    </w:p>
    <w:p w14:paraId="2C9089A5" w14:textId="77777777" w:rsidR="003D0331" w:rsidRDefault="003D0331" w:rsidP="00442C8B">
      <w:pPr>
        <w:pStyle w:val="BodyText"/>
        <w:numPr>
          <w:ilvl w:val="0"/>
          <w:numId w:val="23"/>
        </w:numPr>
        <w:spacing w:after="60" w:line="240" w:lineRule="auto"/>
        <w:jc w:val="left"/>
        <w:rPr>
          <w:rFonts w:asciiTheme="minorHAnsi" w:hAnsiTheme="minorHAnsi" w:cstheme="minorHAnsi"/>
          <w:szCs w:val="22"/>
        </w:rPr>
      </w:pPr>
      <w:proofErr w:type="gramStart"/>
      <w:r>
        <w:rPr>
          <w:rFonts w:asciiTheme="minorHAnsi" w:hAnsiTheme="minorHAnsi" w:cstheme="minorHAnsi"/>
          <w:szCs w:val="22"/>
        </w:rPr>
        <w:lastRenderedPageBreak/>
        <w:t>Manufacturing;</w:t>
      </w:r>
      <w:proofErr w:type="gramEnd"/>
    </w:p>
    <w:p w14:paraId="3FFD4839" w14:textId="77777777" w:rsidR="003D0331" w:rsidRDefault="003D0331" w:rsidP="00442C8B">
      <w:pPr>
        <w:pStyle w:val="BodyText"/>
        <w:numPr>
          <w:ilvl w:val="0"/>
          <w:numId w:val="23"/>
        </w:numPr>
        <w:spacing w:after="60" w:line="240" w:lineRule="auto"/>
        <w:jc w:val="left"/>
        <w:rPr>
          <w:rFonts w:asciiTheme="minorHAnsi" w:hAnsiTheme="minorHAnsi" w:cstheme="minorHAnsi"/>
          <w:szCs w:val="22"/>
        </w:rPr>
      </w:pPr>
      <w:r>
        <w:rPr>
          <w:rFonts w:asciiTheme="minorHAnsi" w:hAnsiTheme="minorHAnsi" w:cstheme="minorHAnsi"/>
          <w:szCs w:val="22"/>
        </w:rPr>
        <w:t>Retail Trade; and</w:t>
      </w:r>
    </w:p>
    <w:p w14:paraId="72C87EE8" w14:textId="77777777" w:rsidR="003D0331" w:rsidRDefault="003D0331" w:rsidP="00442C8B">
      <w:pPr>
        <w:pStyle w:val="BodyText"/>
        <w:numPr>
          <w:ilvl w:val="0"/>
          <w:numId w:val="23"/>
        </w:numPr>
        <w:spacing w:after="120" w:line="240" w:lineRule="auto"/>
        <w:jc w:val="left"/>
        <w:rPr>
          <w:rFonts w:asciiTheme="minorHAnsi" w:hAnsiTheme="minorHAnsi" w:cstheme="minorHAnsi"/>
          <w:szCs w:val="22"/>
        </w:rPr>
      </w:pPr>
      <w:r>
        <w:rPr>
          <w:rFonts w:asciiTheme="minorHAnsi" w:hAnsiTheme="minorHAnsi" w:cstheme="minorHAnsi"/>
          <w:szCs w:val="22"/>
        </w:rPr>
        <w:t>Technology.</w:t>
      </w:r>
    </w:p>
    <w:p w14:paraId="10B98012" w14:textId="6B76C67E" w:rsidR="003D0331" w:rsidRPr="00287DF1" w:rsidRDefault="003D0331" w:rsidP="003D0331">
      <w:r>
        <w:t xml:space="preserve">Students who participate in CTE programs are prepared for stable careers and success in a modern, global, and competitive economy. CTE programs offer a sequence of courses that provide students with </w:t>
      </w:r>
      <w:r w:rsidR="00C874C4">
        <w:t xml:space="preserve">a </w:t>
      </w:r>
      <w:r>
        <w:t xml:space="preserve">coherent and rigorous curriculum aligned with challenging academic standards and relevant technical knowledge and skills needed to prepare for further education and careers in current or emerging professions. CTE programs </w:t>
      </w:r>
      <w:r w:rsidR="0041409A">
        <w:t>expose students</w:t>
      </w:r>
      <w:r>
        <w:t xml:space="preserve"> to high-skill, high-wage, and in-demand careers, developing academic, technical</w:t>
      </w:r>
      <w:r w:rsidR="00D9717A">
        <w:t>,</w:t>
      </w:r>
      <w:r>
        <w:t xml:space="preserve"> and employability skills </w:t>
      </w:r>
      <w:r w:rsidR="00CC5155">
        <w:t>contributing</w:t>
      </w:r>
      <w:r>
        <w:t xml:space="preserve"> to greater postsecondary success. High school students graduate with increased opportunities to immediately experience and enter careers they are passionate about or to pursue continued postsecondary education. </w:t>
      </w:r>
    </w:p>
    <w:p w14:paraId="3772FAB2" w14:textId="77777777" w:rsidR="003D0331" w:rsidRDefault="003D0331" w:rsidP="003D0331">
      <w:pPr>
        <w:jc w:val="both"/>
        <w:rPr>
          <w:rFonts w:asciiTheme="minorHAnsi" w:hAnsiTheme="minorHAnsi" w:cstheme="minorHAnsi"/>
          <w:szCs w:val="22"/>
        </w:rPr>
      </w:pPr>
      <w:r>
        <w:rPr>
          <w:rFonts w:asciiTheme="minorHAnsi" w:hAnsiTheme="minorHAnsi" w:cstheme="minorHAnsi"/>
          <w:szCs w:val="22"/>
        </w:rPr>
        <w:t>The overall expected outcomes of this grant program are to:</w:t>
      </w:r>
    </w:p>
    <w:p w14:paraId="5108556E" w14:textId="77777777" w:rsidR="003D0331" w:rsidRDefault="003D0331" w:rsidP="00442C8B">
      <w:pPr>
        <w:pStyle w:val="ListParagraph"/>
        <w:numPr>
          <w:ilvl w:val="0"/>
          <w:numId w:val="24"/>
        </w:numPr>
      </w:pPr>
      <w:r>
        <w:t>I</w:t>
      </w:r>
      <w:r w:rsidRPr="00EE1186">
        <w:t xml:space="preserve">ncrease the number of students participating in high-quality CTE programs through career </w:t>
      </w:r>
      <w:proofErr w:type="gramStart"/>
      <w:r w:rsidRPr="00EE1186">
        <w:t>pathways</w:t>
      </w:r>
      <w:r>
        <w:t>;</w:t>
      </w:r>
      <w:proofErr w:type="gramEnd"/>
    </w:p>
    <w:p w14:paraId="47C243D6" w14:textId="77777777" w:rsidR="003D0331" w:rsidRDefault="003D0331" w:rsidP="00442C8B">
      <w:pPr>
        <w:pStyle w:val="ListParagraph"/>
        <w:numPr>
          <w:ilvl w:val="0"/>
          <w:numId w:val="24"/>
        </w:numPr>
      </w:pPr>
      <w:r>
        <w:t>I</w:t>
      </w:r>
      <w:r w:rsidRPr="00EE1186">
        <w:t xml:space="preserve">mprove career preparation of </w:t>
      </w:r>
      <w:proofErr w:type="gramStart"/>
      <w:r w:rsidRPr="00EE1186">
        <w:t>students</w:t>
      </w:r>
      <w:r>
        <w:t>;</w:t>
      </w:r>
      <w:proofErr w:type="gramEnd"/>
    </w:p>
    <w:p w14:paraId="02B151A5" w14:textId="77777777" w:rsidR="003D0331" w:rsidRDefault="003D0331" w:rsidP="00442C8B">
      <w:pPr>
        <w:pStyle w:val="ListParagraph"/>
        <w:numPr>
          <w:ilvl w:val="0"/>
          <w:numId w:val="24"/>
        </w:numPr>
      </w:pPr>
      <w:r>
        <w:t>I</w:t>
      </w:r>
      <w:r w:rsidRPr="00EE1186">
        <w:t>ncrease the number of students attaining industry-valued and postsecondary credentials during high school and who are eligible to continue education and credential attainment in a career pathway after graduation</w:t>
      </w:r>
      <w:r>
        <w:t>;</w:t>
      </w:r>
      <w:r w:rsidRPr="00EE1186">
        <w:t xml:space="preserve"> and</w:t>
      </w:r>
    </w:p>
    <w:p w14:paraId="6795E5CE" w14:textId="77777777" w:rsidR="003D0331" w:rsidRPr="00EE1186" w:rsidRDefault="003D0331" w:rsidP="00442C8B">
      <w:pPr>
        <w:pStyle w:val="ListParagraph"/>
        <w:numPr>
          <w:ilvl w:val="0"/>
          <w:numId w:val="24"/>
        </w:numPr>
      </w:pPr>
      <w:r>
        <w:t>P</w:t>
      </w:r>
      <w:r w:rsidRPr="00EE1186">
        <w:t>rovide technical assistance to build capacity for model career pathways statewide</w:t>
      </w:r>
      <w:r>
        <w:t xml:space="preserve">, </w:t>
      </w:r>
      <w:r w:rsidRPr="00EE1186">
        <w:t>creat</w:t>
      </w:r>
      <w:r>
        <w:t>ing</w:t>
      </w:r>
      <w:r w:rsidRPr="00EE1186">
        <w:t xml:space="preserve"> a community of experienced and knowledgeable educators</w:t>
      </w:r>
      <w:r>
        <w:t>,</w:t>
      </w:r>
      <w:r w:rsidRPr="00EE1186">
        <w:t xml:space="preserve"> industry</w:t>
      </w:r>
      <w:r>
        <w:t xml:space="preserve">, </w:t>
      </w:r>
      <w:r w:rsidRPr="00EE1186">
        <w:t>and postsecondary partners</w:t>
      </w:r>
      <w:r>
        <w:t>.</w:t>
      </w:r>
    </w:p>
    <w:p w14:paraId="7C9DF8E2" w14:textId="3311D5D8" w:rsidR="003D0331" w:rsidRPr="00111268" w:rsidRDefault="003D0331" w:rsidP="1A9196EB">
      <w:pPr>
        <w:rPr>
          <w:rFonts w:asciiTheme="minorHAnsi" w:hAnsiTheme="minorHAnsi" w:cstheme="minorBidi"/>
        </w:rPr>
      </w:pPr>
      <w:r>
        <w:t xml:space="preserve">This NGO represents the </w:t>
      </w:r>
      <w:r w:rsidR="00C34CEF">
        <w:t>fourth</w:t>
      </w:r>
      <w:r w:rsidR="5CCA7149">
        <w:t xml:space="preserve"> year</w:t>
      </w:r>
      <w:r w:rsidR="008444A7">
        <w:t xml:space="preserve"> </w:t>
      </w:r>
      <w:r>
        <w:t xml:space="preserve">of an expected four-year grant program. This </w:t>
      </w:r>
      <w:r w:rsidR="00C34CEF">
        <w:t>fourth</w:t>
      </w:r>
      <w:r>
        <w:t xml:space="preserve"> year will function as an implementation year. The project period is </w:t>
      </w:r>
      <w:r w:rsidR="000D5A24">
        <w:t xml:space="preserve">from </w:t>
      </w:r>
      <w:r w:rsidR="0011390C">
        <w:t>February</w:t>
      </w:r>
      <w:r>
        <w:t xml:space="preserve"> 1, 202</w:t>
      </w:r>
      <w:r w:rsidR="00C34CEF">
        <w:t>5</w:t>
      </w:r>
      <w:r w:rsidR="000D5A24">
        <w:t>,</w:t>
      </w:r>
      <w:r>
        <w:t xml:space="preserve"> to </w:t>
      </w:r>
      <w:r w:rsidR="0011390C">
        <w:t>J</w:t>
      </w:r>
      <w:r w:rsidR="00111268">
        <w:t>anuary 31</w:t>
      </w:r>
      <w:r>
        <w:t>, 202</w:t>
      </w:r>
      <w:r w:rsidR="00C34CEF">
        <w:t>6</w:t>
      </w:r>
      <w:r>
        <w:t xml:space="preserve">. </w:t>
      </w:r>
    </w:p>
    <w:p w14:paraId="53620045" w14:textId="77777777" w:rsidR="003D0331" w:rsidRPr="00111268" w:rsidRDefault="6A7466AF" w:rsidP="003D0331">
      <w:pPr>
        <w:pStyle w:val="Heading3"/>
      </w:pPr>
      <w:bookmarkStart w:id="83" w:name="_Toc533681883"/>
      <w:bookmarkStart w:id="84" w:name="_Toc63095136"/>
      <w:bookmarkStart w:id="85" w:name="_Toc63095518"/>
      <w:bookmarkStart w:id="86" w:name="_Toc63095878"/>
      <w:bookmarkStart w:id="87" w:name="_Toc172890041"/>
      <w:r w:rsidRPr="00111268">
        <w:t>1.2</w:t>
      </w:r>
      <w:r w:rsidR="003D0331" w:rsidRPr="00111268">
        <w:tab/>
      </w:r>
      <w:r w:rsidRPr="00111268">
        <w:t>Eligibility to Apply</w:t>
      </w:r>
      <w:bookmarkEnd w:id="83"/>
      <w:bookmarkEnd w:id="84"/>
      <w:bookmarkEnd w:id="85"/>
      <w:bookmarkEnd w:id="86"/>
      <w:bookmarkEnd w:id="87"/>
    </w:p>
    <w:p w14:paraId="71B12ECE" w14:textId="7DBD3DF3" w:rsidR="003D0331" w:rsidRPr="00111268" w:rsidRDefault="003D0331" w:rsidP="003D0331">
      <w:r>
        <w:t xml:space="preserve">The Building Capacity for Career Pathways in Comprehensive Schools (Cohort 2) initiating year grant </w:t>
      </w:r>
      <w:bookmarkStart w:id="88" w:name="_Hlk60232249"/>
      <w:r>
        <w:t xml:space="preserve">was a limited competitive grant program open to comprehensive high schools, regional high school districts, and charter schools serving grades 9-12. The </w:t>
      </w:r>
      <w:r w:rsidR="0011390C">
        <w:t>three</w:t>
      </w:r>
      <w:r>
        <w:t xml:space="preserve"> school districts funded in year</w:t>
      </w:r>
      <w:r w:rsidR="0011390C">
        <w:t xml:space="preserve"> </w:t>
      </w:r>
      <w:r w:rsidR="00C34CEF">
        <w:t>three</w:t>
      </w:r>
      <w:r>
        <w:t xml:space="preserve"> of the multi-year grant program </w:t>
      </w:r>
      <w:proofErr w:type="gramStart"/>
      <w:r>
        <w:t>are</w:t>
      </w:r>
      <w:proofErr w:type="gramEnd"/>
      <w:r>
        <w:t xml:space="preserve"> eligible to apply for continuation funding in year </w:t>
      </w:r>
      <w:r w:rsidR="00C34CEF">
        <w:t>four</w:t>
      </w:r>
      <w:r>
        <w:t xml:space="preserve">, pending </w:t>
      </w:r>
      <w:r w:rsidR="000D5A24">
        <w:t xml:space="preserve">the </w:t>
      </w:r>
      <w:r>
        <w:t xml:space="preserve">attainment of state goals and objectives </w:t>
      </w:r>
      <w:r w:rsidR="000D5A24">
        <w:t>yearly</w:t>
      </w:r>
      <w:r>
        <w:t xml:space="preserve"> and </w:t>
      </w:r>
      <w:r w:rsidR="000D5A24">
        <w:t xml:space="preserve">the </w:t>
      </w:r>
      <w:r>
        <w:t xml:space="preserve">availability of state vocational aid to the districts awarded through limited competition in Year One. </w:t>
      </w:r>
    </w:p>
    <w:p w14:paraId="355D8993" w14:textId="736199F9" w:rsidR="003D0331" w:rsidRPr="00111268" w:rsidRDefault="003D0331" w:rsidP="003D0331">
      <w:pPr>
        <w:contextualSpacing/>
      </w:pPr>
      <w:r w:rsidRPr="00111268">
        <w:t>Eligibility for continuation funding is contingent upon Building Capacity for Career Pathways (Cohort 2) applicants</w:t>
      </w:r>
      <w:r w:rsidR="000D5A24">
        <w:t>'</w:t>
      </w:r>
      <w:r w:rsidRPr="00111268">
        <w:t xml:space="preserve"> timely and accurate submission of interim and final programmatic and fiscal reports required under this grant program, and Department of Education approval of these reports; monitoring reports approved by the Office of Career Readiness that identifies Building Capacity for Career Pathways (Cohort 2) applicants</w:t>
      </w:r>
      <w:r w:rsidR="000D5A24">
        <w:t>'</w:t>
      </w:r>
      <w:r w:rsidRPr="00111268">
        <w:t xml:space="preserve"> progress in implementation of the comprehensive multi-year plan; and satisfactory progress toward the completion of any remediation identified as necessary by the Office of Career Readiness.  </w:t>
      </w:r>
    </w:p>
    <w:p w14:paraId="3D133B07" w14:textId="77777777" w:rsidR="00111268" w:rsidRPr="00111268" w:rsidRDefault="00111268" w:rsidP="003D0331">
      <w:pPr>
        <w:contextualSpacing/>
      </w:pPr>
    </w:p>
    <w:p w14:paraId="6073A63D" w14:textId="5FFE8265" w:rsidR="003D0331" w:rsidRDefault="2CEDE8EF" w:rsidP="003D0331">
      <w:pPr>
        <w:contextualSpacing/>
      </w:pPr>
      <w:r>
        <w:t xml:space="preserve">Districts currently eligible for Year </w:t>
      </w:r>
      <w:r w:rsidR="000340F3">
        <w:t>4</w:t>
      </w:r>
      <w:r>
        <w:t xml:space="preserve"> of the Building Capacity for Career Pathways (Cohort 2) include Cherry Hill </w:t>
      </w:r>
      <w:r w:rsidR="73BC4EB7">
        <w:t>School District</w:t>
      </w:r>
      <w:r>
        <w:t xml:space="preserve">, Collingswood </w:t>
      </w:r>
      <w:r w:rsidR="00897B80">
        <w:t>Public School District</w:t>
      </w:r>
      <w:r>
        <w:t>, and Pitman</w:t>
      </w:r>
      <w:r w:rsidR="1C8EAC51">
        <w:t xml:space="preserve"> Boro School District</w:t>
      </w:r>
      <w:r>
        <w:t xml:space="preserve">. </w:t>
      </w:r>
    </w:p>
    <w:p w14:paraId="4FBD6A32" w14:textId="77777777" w:rsidR="003D0331" w:rsidRDefault="003D0331" w:rsidP="003D0331">
      <w:pPr>
        <w:contextualSpacing/>
      </w:pPr>
    </w:p>
    <w:p w14:paraId="309FD98E" w14:textId="78779FC6" w:rsidR="003D0331" w:rsidRPr="000F0D3C" w:rsidRDefault="003D0331" w:rsidP="003D0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401147A9">
        <w:rPr>
          <w:i/>
          <w:iCs/>
        </w:rPr>
        <w:lastRenderedPageBreak/>
        <w:t>Under multi</w:t>
      </w:r>
      <w:r w:rsidR="000D5A24">
        <w:rPr>
          <w:i/>
          <w:iCs/>
        </w:rPr>
        <w:t>-</w:t>
      </w:r>
      <w:r w:rsidRPr="401147A9">
        <w:rPr>
          <w:i/>
          <w:iCs/>
        </w:rPr>
        <w:t>year grant programs, applicants must retain a copy of the initiating multi</w:t>
      </w:r>
      <w:r w:rsidR="000D5A24">
        <w:rPr>
          <w:i/>
          <w:iCs/>
        </w:rPr>
        <w:t>-</w:t>
      </w:r>
      <w:r w:rsidRPr="401147A9">
        <w:rPr>
          <w:i/>
          <w:iCs/>
        </w:rPr>
        <w:t>year NGO and a copy of each subsequent year</w:t>
      </w:r>
      <w:r w:rsidR="000D5A24">
        <w:rPr>
          <w:i/>
          <w:iCs/>
        </w:rPr>
        <w:t>'</w:t>
      </w:r>
      <w:r w:rsidRPr="401147A9">
        <w:rPr>
          <w:i/>
          <w:iCs/>
        </w:rPr>
        <w:t>s NGO for reference when applying for continuation funding.</w:t>
      </w:r>
      <w:r>
        <w:t xml:space="preserve"> Information from the initiating NGO may not be repeated in subsequent NGOs. Therefore, </w:t>
      </w:r>
      <w:r w:rsidR="00CC5155">
        <w:t>the grant recipient must</w:t>
      </w:r>
      <w:r>
        <w:t xml:space="preserve"> maintain accurate records of all project requirements for subsequent grant award period applications.</w:t>
      </w:r>
    </w:p>
    <w:p w14:paraId="7F69EACF" w14:textId="60A9B83F" w:rsidR="003D0331" w:rsidRPr="004B1EC3" w:rsidRDefault="6A7466AF" w:rsidP="003D0331">
      <w:pPr>
        <w:pStyle w:val="Heading3"/>
      </w:pPr>
      <w:bookmarkStart w:id="89" w:name="_Toc533681884"/>
      <w:bookmarkStart w:id="90" w:name="_Toc63095137"/>
      <w:bookmarkStart w:id="91" w:name="_Toc63095519"/>
      <w:bookmarkStart w:id="92" w:name="_Toc63095879"/>
      <w:bookmarkStart w:id="93" w:name="_Toc172890042"/>
      <w:bookmarkEnd w:id="88"/>
      <w:r>
        <w:t>1.3</w:t>
      </w:r>
      <w:r w:rsidR="003D0331">
        <w:tab/>
      </w:r>
      <w:bookmarkEnd w:id="89"/>
      <w:bookmarkEnd w:id="90"/>
      <w:bookmarkEnd w:id="91"/>
      <w:bookmarkEnd w:id="92"/>
      <w:r w:rsidR="43EF7580">
        <w:t xml:space="preserve">Federal Compliance </w:t>
      </w:r>
      <w:r w:rsidR="000D5A24">
        <w:t>R</w:t>
      </w:r>
      <w:r w:rsidR="29A02D3A">
        <w:t>equirements (UEI, SAM)</w:t>
      </w:r>
      <w:bookmarkEnd w:id="93"/>
    </w:p>
    <w:p w14:paraId="667C7687" w14:textId="7A5B580A" w:rsidR="00A734B3" w:rsidRDefault="6099923F" w:rsidP="1AE24D0C">
      <w:pPr>
        <w:spacing w:before="120" w:after="120" w:line="240" w:lineRule="auto"/>
        <w:rPr>
          <w:rFonts w:cs="Calibri"/>
        </w:rPr>
      </w:pPr>
      <w:r w:rsidRPr="1AE24D0C">
        <w:rPr>
          <w:rFonts w:cs="Calibri"/>
        </w:rPr>
        <w:t xml:space="preserve">In accordance with the Federal Fiscal Accountability Transparency Act (FFATA), all grant recipients must have a valid Unique Entity Identifier (UEI) number and be registered with the Federal System for Award Management (SAM), the successor to the Federal Central Contractor Registration (CCR) database. </w:t>
      </w:r>
    </w:p>
    <w:p w14:paraId="5F21B375" w14:textId="1D6EDDE4" w:rsidR="002A6958" w:rsidRPr="00B9755A" w:rsidRDefault="0905C341" w:rsidP="1AE24D0C">
      <w:pPr>
        <w:spacing w:before="120" w:after="120" w:line="240" w:lineRule="auto"/>
        <w:rPr>
          <w:rFonts w:cs="Calibri"/>
        </w:rPr>
      </w:pPr>
      <w:r w:rsidRPr="1AE24D0C">
        <w:rPr>
          <w:rFonts w:cs="Calibri"/>
        </w:rPr>
        <w:t xml:space="preserve">To register with the SAM database, applicants must go to </w:t>
      </w:r>
      <w:r w:rsidR="004E074C">
        <w:rPr>
          <w:rFonts w:cs="Calibri"/>
        </w:rPr>
        <w:t xml:space="preserve">the </w:t>
      </w:r>
      <w:r w:rsidRPr="1AE24D0C">
        <w:rPr>
          <w:rFonts w:cs="Calibri"/>
        </w:rPr>
        <w:t xml:space="preserve">SAM </w:t>
      </w:r>
      <w:hyperlink r:id="rId15" w:history="1">
        <w:r w:rsidRPr="1AE24D0C">
          <w:rPr>
            <w:rStyle w:val="Hyperlink"/>
            <w:rFonts w:eastAsia="SimSun"/>
          </w:rPr>
          <w:t>website.</w:t>
        </w:r>
      </w:hyperlink>
    </w:p>
    <w:p w14:paraId="19162852" w14:textId="52BF7ABB" w:rsidR="003D0331" w:rsidRPr="00B9755A" w:rsidRDefault="6A7466AF" w:rsidP="1AE24D0C">
      <w:pPr>
        <w:pStyle w:val="ListParagraph"/>
        <w:numPr>
          <w:ilvl w:val="0"/>
          <w:numId w:val="1"/>
        </w:numPr>
        <w:spacing w:before="120" w:after="120" w:line="240" w:lineRule="auto"/>
        <w:rPr>
          <w:rFonts w:cs="Calibri"/>
        </w:rPr>
      </w:pPr>
      <w:r>
        <w:t>FFATA Executive Compensation Disclosure Criteria:</w:t>
      </w:r>
    </w:p>
    <w:p w14:paraId="02159740" w14:textId="0DC57972" w:rsidR="003D0331" w:rsidRPr="00B9755A" w:rsidRDefault="003D0331" w:rsidP="003D0331">
      <w:pPr>
        <w:spacing w:after="120" w:line="240" w:lineRule="auto"/>
        <w:jc w:val="both"/>
        <w:rPr>
          <w:rFonts w:cs="Calibri"/>
          <w:szCs w:val="24"/>
        </w:rPr>
      </w:pPr>
      <w:r w:rsidRPr="00B9755A">
        <w:rPr>
          <w:rFonts w:cs="Calibri"/>
          <w:szCs w:val="24"/>
        </w:rPr>
        <w:t>In the preceding fiscal year</w:t>
      </w:r>
      <w:r w:rsidR="00A053FB">
        <w:rPr>
          <w:rFonts w:cs="Calibri"/>
          <w:szCs w:val="24"/>
        </w:rPr>
        <w:t>,</w:t>
      </w:r>
      <w:r w:rsidRPr="00B9755A">
        <w:rPr>
          <w:rFonts w:cs="Calibri"/>
          <w:szCs w:val="24"/>
        </w:rPr>
        <w:t xml:space="preserve"> if an applicant:</w:t>
      </w:r>
    </w:p>
    <w:p w14:paraId="11583457" w14:textId="77777777" w:rsidR="003D0331" w:rsidRPr="00B9755A" w:rsidRDefault="003D0331" w:rsidP="00442C8B">
      <w:pPr>
        <w:numPr>
          <w:ilvl w:val="0"/>
          <w:numId w:val="2"/>
        </w:numPr>
        <w:spacing w:after="120" w:line="240" w:lineRule="auto"/>
        <w:jc w:val="both"/>
        <w:rPr>
          <w:rFonts w:cs="Calibri"/>
          <w:szCs w:val="24"/>
        </w:rPr>
      </w:pPr>
      <w:r w:rsidRPr="00B9755A">
        <w:rPr>
          <w:rFonts w:cs="Calibri"/>
          <w:szCs w:val="24"/>
        </w:rPr>
        <w:t>Received at least $25,000,000 in annual gross revenues from federal awards; and</w:t>
      </w:r>
    </w:p>
    <w:p w14:paraId="7FDCA906" w14:textId="77777777" w:rsidR="003D0331" w:rsidRPr="00B9755A" w:rsidRDefault="003D0331" w:rsidP="00442C8B">
      <w:pPr>
        <w:numPr>
          <w:ilvl w:val="0"/>
          <w:numId w:val="2"/>
        </w:numPr>
        <w:spacing w:after="120" w:line="240" w:lineRule="auto"/>
        <w:rPr>
          <w:rFonts w:cs="Calibri"/>
          <w:szCs w:val="24"/>
        </w:rPr>
      </w:pPr>
      <w:r>
        <w:rPr>
          <w:rFonts w:cs="Calibri"/>
          <w:szCs w:val="24"/>
        </w:rPr>
        <w:t>Has</w:t>
      </w:r>
      <w:r w:rsidRPr="00B9755A">
        <w:rPr>
          <w:rFonts w:cs="Calibri"/>
          <w:szCs w:val="24"/>
        </w:rPr>
        <w:t xml:space="preserve"> at least eight</w:t>
      </w:r>
      <w:r>
        <w:rPr>
          <w:rFonts w:cs="Calibri"/>
          <w:szCs w:val="24"/>
        </w:rPr>
        <w:t>y</w:t>
      </w:r>
      <w:r w:rsidRPr="00B9755A">
        <w:rPr>
          <w:rFonts w:cs="Calibri"/>
          <w:szCs w:val="24"/>
        </w:rPr>
        <w:t xml:space="preserve"> percent of annual gross revenue c</w:t>
      </w:r>
      <w:r>
        <w:rPr>
          <w:rFonts w:cs="Calibri"/>
          <w:szCs w:val="24"/>
        </w:rPr>
        <w:t>oming</w:t>
      </w:r>
      <w:r w:rsidRPr="00B9755A">
        <w:rPr>
          <w:rFonts w:cs="Calibri"/>
          <w:szCs w:val="24"/>
        </w:rPr>
        <w:t xml:space="preserve"> from federal awards; the applicant is required to disclose the name and total compensation of the five most highly compensated officers of the applicant as part of the grant application.</w:t>
      </w:r>
    </w:p>
    <w:p w14:paraId="4F4D3D98" w14:textId="3A9A0863" w:rsidR="003D0331" w:rsidRPr="00B9755A" w:rsidRDefault="003D0331" w:rsidP="003D0331">
      <w:pPr>
        <w:spacing w:after="120" w:line="240" w:lineRule="auto"/>
        <w:rPr>
          <w:rFonts w:cs="Calibri"/>
          <w:szCs w:val="24"/>
        </w:rPr>
      </w:pPr>
      <w:r w:rsidRPr="00B9755A">
        <w:rPr>
          <w:rFonts w:cs="Calibri"/>
          <w:szCs w:val="24"/>
        </w:rPr>
        <w:t xml:space="preserve">This information is to be entered using the appropriate EWEG tab (i.e., Contacts). The term </w:t>
      </w:r>
      <w:r w:rsidR="000D5A24">
        <w:rPr>
          <w:rFonts w:cs="Calibri"/>
          <w:szCs w:val="24"/>
        </w:rPr>
        <w:t>"</w:t>
      </w:r>
      <w:r w:rsidRPr="00B9755A">
        <w:rPr>
          <w:rFonts w:cs="Calibri"/>
          <w:szCs w:val="24"/>
        </w:rPr>
        <w:t>federal award</w:t>
      </w:r>
      <w:r w:rsidR="000D5A24">
        <w:rPr>
          <w:rFonts w:cs="Calibri"/>
          <w:szCs w:val="24"/>
        </w:rPr>
        <w:t>"</w:t>
      </w:r>
      <w:r w:rsidRPr="00B9755A">
        <w:rPr>
          <w:rFonts w:cs="Calibri"/>
          <w:szCs w:val="24"/>
        </w:rPr>
        <w:t xml:space="preserve"> includes federal contracts, subcontracts, grants, and sub-grants.</w:t>
      </w:r>
    </w:p>
    <w:p w14:paraId="6140D825" w14:textId="77777777" w:rsidR="003D0331" w:rsidRPr="00B9755A" w:rsidRDefault="003D0331" w:rsidP="003D0331">
      <w:pPr>
        <w:spacing w:after="0" w:line="240" w:lineRule="auto"/>
        <w:rPr>
          <w:rFonts w:cs="Calibri"/>
          <w:szCs w:val="24"/>
        </w:rPr>
      </w:pPr>
      <w:r w:rsidRPr="00B9755A">
        <w:rPr>
          <w:rFonts w:cs="Calibri"/>
          <w:szCs w:val="24"/>
        </w:rPr>
        <w:t>No award will be made to an applicant not in compliance with FFATA.</w:t>
      </w:r>
    </w:p>
    <w:p w14:paraId="0FB0DAD0" w14:textId="77777777" w:rsidR="003D0331" w:rsidRPr="005E52D6" w:rsidRDefault="6A7466AF" w:rsidP="003D0331">
      <w:pPr>
        <w:pStyle w:val="Heading3"/>
      </w:pPr>
      <w:bookmarkStart w:id="94" w:name="_Toc533681885"/>
      <w:bookmarkStart w:id="95" w:name="_Toc63095138"/>
      <w:bookmarkStart w:id="96" w:name="_Toc63095520"/>
      <w:bookmarkStart w:id="97" w:name="_Toc63095880"/>
      <w:bookmarkStart w:id="98" w:name="_Toc172890043"/>
      <w:r>
        <w:t>1.4</w:t>
      </w:r>
      <w:r w:rsidR="003D0331">
        <w:tab/>
      </w:r>
      <w:r>
        <w:t>Statutory/Regulatory Source and Funding</w:t>
      </w:r>
      <w:bookmarkEnd w:id="94"/>
      <w:bookmarkEnd w:id="95"/>
      <w:bookmarkEnd w:id="96"/>
      <w:bookmarkEnd w:id="97"/>
      <w:bookmarkEnd w:id="98"/>
      <w:r>
        <w:t xml:space="preserve"> </w:t>
      </w:r>
    </w:p>
    <w:p w14:paraId="0EC70919" w14:textId="42D7FC94" w:rsidR="003D0331" w:rsidRPr="00111268" w:rsidRDefault="003D0331" w:rsidP="003D0331">
      <w:pPr>
        <w:rPr>
          <w:rFonts w:cs="Calibri"/>
        </w:rPr>
      </w:pPr>
      <w:r w:rsidRPr="1A9196EB">
        <w:rPr>
          <w:rFonts w:cs="Calibri"/>
        </w:rPr>
        <w:t>The applicant</w:t>
      </w:r>
      <w:r w:rsidR="000D5A24" w:rsidRPr="1A9196EB">
        <w:rPr>
          <w:rFonts w:cs="Calibri"/>
        </w:rPr>
        <w:t>'</w:t>
      </w:r>
      <w:r w:rsidRPr="1A9196EB">
        <w:rPr>
          <w:rFonts w:cs="Calibri"/>
        </w:rPr>
        <w:t xml:space="preserve">s project must be designed and implemented in conformance with all applicable state and federal regulations. The Building Capacity for Career Pathways in Comprehensive Schools (Cohort 2) Year </w:t>
      </w:r>
      <w:r w:rsidR="000340F3" w:rsidRPr="1A9196EB">
        <w:rPr>
          <w:rFonts w:cs="Calibri"/>
        </w:rPr>
        <w:t>4</w:t>
      </w:r>
      <w:r w:rsidRPr="1A9196EB">
        <w:rPr>
          <w:rFonts w:cs="Calibri"/>
        </w:rPr>
        <w:t xml:space="preserve"> of 4</w:t>
      </w:r>
      <w:r w:rsidRPr="1A9196EB">
        <w:rPr>
          <w:rFonts w:cs="Calibri"/>
          <w:b/>
          <w:bCs/>
        </w:rPr>
        <w:t xml:space="preserve"> </w:t>
      </w:r>
      <w:r w:rsidRPr="1A9196EB">
        <w:rPr>
          <w:rFonts w:cs="Calibri"/>
        </w:rPr>
        <w:t>is 100</w:t>
      </w:r>
      <w:r w:rsidRPr="1A9196EB">
        <w:rPr>
          <w:rFonts w:cs="Calibri"/>
          <w:b/>
          <w:bCs/>
        </w:rPr>
        <w:t xml:space="preserve"> </w:t>
      </w:r>
      <w:r w:rsidRPr="1A9196EB">
        <w:rPr>
          <w:rFonts w:cs="Calibri"/>
        </w:rPr>
        <w:t xml:space="preserve">percent funded </w:t>
      </w:r>
      <w:r w:rsidR="00A053FB" w:rsidRPr="1A9196EB">
        <w:rPr>
          <w:rFonts w:cs="Calibri"/>
        </w:rPr>
        <w:t>by</w:t>
      </w:r>
      <w:r w:rsidRPr="1A9196EB">
        <w:rPr>
          <w:rFonts w:cs="Calibri"/>
          <w:b/>
          <w:bCs/>
        </w:rPr>
        <w:t xml:space="preserve"> </w:t>
      </w:r>
      <w:r w:rsidRPr="1A9196EB">
        <w:rPr>
          <w:rFonts w:cs="Calibri"/>
        </w:rPr>
        <w:t>State Vocational Educational Aid. ORG/APU # 5062/032.</w:t>
      </w:r>
    </w:p>
    <w:p w14:paraId="04B4CC04" w14:textId="3A630502" w:rsidR="003D0331" w:rsidRPr="00111268" w:rsidRDefault="2CEDE8EF" w:rsidP="003D0331">
      <w:pPr>
        <w:spacing w:before="120"/>
        <w:rPr>
          <w:rFonts w:cs="Calibri"/>
        </w:rPr>
      </w:pPr>
      <w:r w:rsidRPr="00111268">
        <w:rPr>
          <w:rFonts w:cs="Calibri"/>
        </w:rPr>
        <w:t>Final awards are subject to the availability of</w:t>
      </w:r>
      <w:r w:rsidRPr="00111268">
        <w:rPr>
          <w:rFonts w:cs="Calibri"/>
          <w:b/>
          <w:bCs/>
        </w:rPr>
        <w:t xml:space="preserve"> </w:t>
      </w:r>
      <w:r w:rsidRPr="00111268">
        <w:rPr>
          <w:rFonts w:cs="Calibri"/>
        </w:rPr>
        <w:t>State Vocational Educational Aid</w:t>
      </w:r>
      <w:r w:rsidRPr="00111268">
        <w:rPr>
          <w:rFonts w:cs="Calibri"/>
          <w:b/>
          <w:bCs/>
        </w:rPr>
        <w:t xml:space="preserve"> </w:t>
      </w:r>
      <w:r w:rsidRPr="00111268">
        <w:rPr>
          <w:rFonts w:cs="Calibri"/>
        </w:rPr>
        <w:t xml:space="preserve">funds. Total funds for </w:t>
      </w:r>
      <w:r w:rsidRPr="00111268">
        <w:rPr>
          <w:rFonts w:eastAsia="Calibri"/>
        </w:rPr>
        <w:t xml:space="preserve">Building Capacity for Career Pathways in Comprehensive Schools </w:t>
      </w:r>
      <w:r w:rsidRPr="00111268">
        <w:rPr>
          <w:rFonts w:cs="Calibri"/>
        </w:rPr>
        <w:t>are $</w:t>
      </w:r>
      <w:r w:rsidR="79493BF5" w:rsidRPr="00111268">
        <w:rPr>
          <w:rFonts w:cs="Calibri"/>
        </w:rPr>
        <w:t>506,250</w:t>
      </w:r>
      <w:r w:rsidRPr="00111268">
        <w:rPr>
          <w:rFonts w:cs="Calibri"/>
        </w:rPr>
        <w:t xml:space="preserve"> </w:t>
      </w:r>
      <w:r w:rsidR="005E6E0E">
        <w:rPr>
          <w:rFonts w:cs="Calibri"/>
        </w:rPr>
        <w:t>annually</w:t>
      </w:r>
      <w:r w:rsidRPr="00111268">
        <w:rPr>
          <w:rFonts w:cs="Calibri"/>
        </w:rPr>
        <w:t xml:space="preserve">. The </w:t>
      </w:r>
      <w:r w:rsidR="2FCD50F1" w:rsidRPr="00111268">
        <w:rPr>
          <w:rFonts w:cs="Calibri"/>
        </w:rPr>
        <w:t>three</w:t>
      </w:r>
      <w:r w:rsidRPr="00111268">
        <w:rPr>
          <w:rFonts w:cs="Calibri"/>
        </w:rPr>
        <w:t xml:space="preserve"> districts</w:t>
      </w:r>
      <w:r w:rsidR="627F27E2" w:rsidRPr="00111268">
        <w:rPr>
          <w:rFonts w:cs="Calibri"/>
        </w:rPr>
        <w:t xml:space="preserve"> are</w:t>
      </w:r>
      <w:r w:rsidRPr="00111268">
        <w:rPr>
          <w:rFonts w:cs="Calibri"/>
        </w:rPr>
        <w:t xml:space="preserve"> eligible for the continuation grant </w:t>
      </w:r>
      <w:r w:rsidR="5EED2B78" w:rsidRPr="00111268">
        <w:rPr>
          <w:rFonts w:cs="Calibri"/>
        </w:rPr>
        <w:t xml:space="preserve">and </w:t>
      </w:r>
      <w:r w:rsidRPr="00111268">
        <w:rPr>
          <w:rFonts w:cs="Calibri"/>
        </w:rPr>
        <w:t xml:space="preserve">will receive </w:t>
      </w:r>
      <w:r w:rsidR="005E6E0E">
        <w:rPr>
          <w:rFonts w:cs="Calibri"/>
        </w:rPr>
        <w:t xml:space="preserve">up to </w:t>
      </w:r>
      <w:r w:rsidRPr="00111268">
        <w:rPr>
          <w:rFonts w:cs="Calibri"/>
        </w:rPr>
        <w:t>$</w:t>
      </w:r>
      <w:r w:rsidR="1E78A163" w:rsidRPr="00111268">
        <w:rPr>
          <w:rFonts w:cs="Calibri"/>
        </w:rPr>
        <w:t>168,750. If</w:t>
      </w:r>
      <w:r w:rsidRPr="00111268">
        <w:rPr>
          <w:rFonts w:cs="Calibri"/>
        </w:rPr>
        <w:t xml:space="preserve"> balances are available</w:t>
      </w:r>
      <w:r w:rsidR="001C1A2C">
        <w:rPr>
          <w:rFonts w:cs="Calibri"/>
        </w:rPr>
        <w:t xml:space="preserve"> or</w:t>
      </w:r>
      <w:r w:rsidRPr="00111268">
        <w:rPr>
          <w:rFonts w:cs="Calibri"/>
        </w:rPr>
        <w:t xml:space="preserve"> additional funds become available during the fiscal year, the eligible grantees will be awarded additional funds. </w:t>
      </w:r>
    </w:p>
    <w:p w14:paraId="27037751" w14:textId="69E4F5E4" w:rsidR="003D0331" w:rsidRPr="00111268" w:rsidRDefault="003D0331" w:rsidP="003D0331">
      <w:pPr>
        <w:spacing w:before="120"/>
        <w:rPr>
          <w:rFonts w:cs="Calibri"/>
        </w:rPr>
      </w:pPr>
      <w:r w:rsidRPr="00111268">
        <w:rPr>
          <w:rFonts w:cs="Calibri"/>
        </w:rPr>
        <w:t xml:space="preserve">The grantee is expected to complete the goals and objectives in the approved grant application, complete implementation activities established in its grant </w:t>
      </w:r>
      <w:proofErr w:type="gramStart"/>
      <w:r w:rsidRPr="00111268">
        <w:rPr>
          <w:rFonts w:cs="Calibri"/>
        </w:rPr>
        <w:t>agreement, and</w:t>
      </w:r>
      <w:proofErr w:type="gramEnd"/>
      <w:r w:rsidRPr="00111268">
        <w:rPr>
          <w:rFonts w:cs="Calibri"/>
        </w:rPr>
        <w:t xml:space="preserve"> make satisfactory progress toward </w:t>
      </w:r>
      <w:r w:rsidR="001C1A2C">
        <w:rPr>
          <w:rFonts w:cs="Calibri"/>
        </w:rPr>
        <w:t>completing</w:t>
      </w:r>
      <w:r w:rsidRPr="00111268">
        <w:rPr>
          <w:rFonts w:cs="Calibri"/>
        </w:rPr>
        <w:t xml:space="preserve"> its approved action plan. Failure to do so may result in the withdrawal by the NJDOE of the grantee</w:t>
      </w:r>
      <w:r w:rsidR="000D5A24">
        <w:rPr>
          <w:rFonts w:cs="Calibri"/>
        </w:rPr>
        <w:t>'</w:t>
      </w:r>
      <w:r w:rsidRPr="00111268">
        <w:rPr>
          <w:rFonts w:cs="Calibri"/>
        </w:rPr>
        <w:t>s eligibility for the continuation of grant funding. The NJDOE will remove ineligible, inappropriate</w:t>
      </w:r>
      <w:r w:rsidR="00A053FB">
        <w:rPr>
          <w:rFonts w:cs="Calibri"/>
        </w:rPr>
        <w:t>,</w:t>
      </w:r>
      <w:r w:rsidRPr="00111268">
        <w:rPr>
          <w:rFonts w:cs="Calibri"/>
        </w:rPr>
        <w:t xml:space="preserve"> or undocumented costs from funding consideration. </w:t>
      </w:r>
    </w:p>
    <w:p w14:paraId="4B052B4D" w14:textId="75B71E15" w:rsidR="003D0331" w:rsidRPr="00B9755A" w:rsidRDefault="6A7466AF" w:rsidP="003D0331">
      <w:pPr>
        <w:spacing w:before="120"/>
        <w:rPr>
          <w:rFonts w:cs="Calibri"/>
        </w:rPr>
      </w:pPr>
      <w:r w:rsidRPr="1A9196EB">
        <w:rPr>
          <w:rFonts w:cs="Calibri"/>
        </w:rPr>
        <w:t xml:space="preserve">The project period for this </w:t>
      </w:r>
      <w:r w:rsidR="00FB1D12" w:rsidRPr="1A9196EB">
        <w:rPr>
          <w:rFonts w:cs="Calibri"/>
        </w:rPr>
        <w:t>fourth</w:t>
      </w:r>
      <w:r w:rsidRPr="1A9196EB">
        <w:rPr>
          <w:rFonts w:cs="Calibri"/>
        </w:rPr>
        <w:t xml:space="preserve"> year of the expected four-year grant period is from </w:t>
      </w:r>
      <w:r w:rsidR="1119DF1A" w:rsidRPr="1A9196EB">
        <w:rPr>
          <w:rFonts w:cs="Calibri"/>
        </w:rPr>
        <w:t>February</w:t>
      </w:r>
      <w:r w:rsidRPr="1A9196EB">
        <w:rPr>
          <w:rFonts w:cs="Calibri"/>
        </w:rPr>
        <w:t xml:space="preserve"> 1, 202</w:t>
      </w:r>
      <w:r w:rsidR="000340F3" w:rsidRPr="1A9196EB">
        <w:rPr>
          <w:rFonts w:cs="Calibri"/>
        </w:rPr>
        <w:t>5</w:t>
      </w:r>
      <w:r w:rsidRPr="1A9196EB">
        <w:rPr>
          <w:rFonts w:cs="Calibri"/>
        </w:rPr>
        <w:t xml:space="preserve"> – J</w:t>
      </w:r>
      <w:r w:rsidR="00111268" w:rsidRPr="1A9196EB">
        <w:rPr>
          <w:rFonts w:cs="Calibri"/>
        </w:rPr>
        <w:t>anuary 31</w:t>
      </w:r>
      <w:r w:rsidRPr="1A9196EB">
        <w:rPr>
          <w:rFonts w:cs="Calibri"/>
        </w:rPr>
        <w:t>, 202</w:t>
      </w:r>
      <w:r w:rsidR="000340F3" w:rsidRPr="1A9196EB">
        <w:rPr>
          <w:rFonts w:cs="Calibri"/>
        </w:rPr>
        <w:t>6</w:t>
      </w:r>
      <w:r w:rsidRPr="1A9196EB">
        <w:rPr>
          <w:rFonts w:cs="Calibri"/>
        </w:rPr>
        <w:t>.</w:t>
      </w:r>
    </w:p>
    <w:p w14:paraId="205B10C0" w14:textId="77777777" w:rsidR="003D0331" w:rsidRPr="005E52D6" w:rsidRDefault="6A7466AF" w:rsidP="003D0331">
      <w:pPr>
        <w:pStyle w:val="Heading3"/>
      </w:pPr>
      <w:bookmarkStart w:id="99" w:name="_Toc533681886"/>
      <w:bookmarkStart w:id="100" w:name="_Toc63095139"/>
      <w:bookmarkStart w:id="101" w:name="_Toc63095521"/>
      <w:bookmarkStart w:id="102" w:name="_Toc63095881"/>
      <w:bookmarkStart w:id="103" w:name="_Toc172890044"/>
      <w:r>
        <w:t>1.5</w:t>
      </w:r>
      <w:r w:rsidR="003D0331">
        <w:tab/>
      </w:r>
      <w:r>
        <w:t>Dissemination of This Notice</w:t>
      </w:r>
      <w:bookmarkEnd w:id="99"/>
      <w:bookmarkEnd w:id="100"/>
      <w:bookmarkEnd w:id="101"/>
      <w:bookmarkEnd w:id="102"/>
      <w:bookmarkEnd w:id="103"/>
    </w:p>
    <w:p w14:paraId="609E5F2E" w14:textId="713B62FA" w:rsidR="003D0331" w:rsidRPr="00B9755A" w:rsidRDefault="003D0331" w:rsidP="003D0331">
      <w:pPr>
        <w:rPr>
          <w:rFonts w:cs="Calibri"/>
        </w:rPr>
      </w:pPr>
      <w:r w:rsidRPr="00B9755A">
        <w:rPr>
          <w:rFonts w:cs="Calibri"/>
        </w:rPr>
        <w:t xml:space="preserve">The </w:t>
      </w:r>
      <w:r w:rsidRPr="007E18B7">
        <w:rPr>
          <w:rFonts w:cs="Calibri"/>
        </w:rPr>
        <w:t>Office of Career Readiness</w:t>
      </w:r>
      <w:r w:rsidRPr="00B9755A">
        <w:rPr>
          <w:rFonts w:cs="Calibri"/>
        </w:rPr>
        <w:t xml:space="preserve"> will make this notice available to eligible applicants listed in section 1.2 based upon the eligibility statement, to the Office of Comprehensive Support Team Leaders</w:t>
      </w:r>
      <w:r w:rsidR="00A053FB">
        <w:rPr>
          <w:rFonts w:cs="Calibri"/>
        </w:rPr>
        <w:t>,</w:t>
      </w:r>
      <w:r w:rsidRPr="00B9755A">
        <w:rPr>
          <w:rFonts w:cs="Calibri"/>
        </w:rPr>
        <w:t xml:space="preserve"> and to the </w:t>
      </w:r>
      <w:r>
        <w:rPr>
          <w:rFonts w:cs="Calibri"/>
        </w:rPr>
        <w:t>Executive C</w:t>
      </w:r>
      <w:r w:rsidRPr="00B9755A">
        <w:rPr>
          <w:rFonts w:cs="Calibri"/>
        </w:rPr>
        <w:t xml:space="preserve">ounty </w:t>
      </w:r>
      <w:r>
        <w:rPr>
          <w:rFonts w:cs="Calibri"/>
        </w:rPr>
        <w:t>S</w:t>
      </w:r>
      <w:r w:rsidRPr="00B9755A">
        <w:rPr>
          <w:rFonts w:cs="Calibri"/>
        </w:rPr>
        <w:t xml:space="preserve">uperintendents of the counties </w:t>
      </w:r>
      <w:r w:rsidR="00E9269F">
        <w:rPr>
          <w:rFonts w:cs="Calibri"/>
        </w:rPr>
        <w:t>where</w:t>
      </w:r>
      <w:r w:rsidRPr="00B9755A">
        <w:rPr>
          <w:rFonts w:cs="Calibri"/>
        </w:rPr>
        <w:t xml:space="preserve"> the eligible </w:t>
      </w:r>
      <w:r>
        <w:rPr>
          <w:rFonts w:cs="Calibri"/>
        </w:rPr>
        <w:t>applicants</w:t>
      </w:r>
      <w:r w:rsidRPr="00B9755A">
        <w:rPr>
          <w:rFonts w:cs="Calibri"/>
        </w:rPr>
        <w:t xml:space="preserve"> are located. </w:t>
      </w:r>
    </w:p>
    <w:p w14:paraId="36B641DA" w14:textId="34B84952" w:rsidR="003D0331" w:rsidRPr="00B9755A" w:rsidRDefault="2CEDE8EF" w:rsidP="6201094E">
      <w:pPr>
        <w:spacing w:before="120" w:after="120"/>
        <w:rPr>
          <w:rFonts w:cs="Calibri"/>
        </w:rPr>
      </w:pPr>
      <w:r w:rsidRPr="6201094E">
        <w:rPr>
          <w:rFonts w:cs="Calibri"/>
        </w:rPr>
        <w:lastRenderedPageBreak/>
        <w:t>Additional copies of the NGO are also available on the NJDOE</w:t>
      </w:r>
      <w:r w:rsidR="000D5A24">
        <w:rPr>
          <w:rFonts w:cs="Calibri"/>
        </w:rPr>
        <w:t>'</w:t>
      </w:r>
      <w:r w:rsidRPr="6201094E">
        <w:rPr>
          <w:rFonts w:cs="Calibri"/>
        </w:rPr>
        <w:t xml:space="preserve">s </w:t>
      </w:r>
      <w:hyperlink r:id="rId16" w:history="1">
        <w:r w:rsidRPr="6201094E">
          <w:rPr>
            <w:rStyle w:val="Hyperlink"/>
            <w:rFonts w:eastAsia="SimSun" w:cs="Calibri"/>
          </w:rPr>
          <w:t>Discretionary Grant</w:t>
        </w:r>
      </w:hyperlink>
      <w:r w:rsidRPr="6201094E">
        <w:rPr>
          <w:rFonts w:cs="Calibri"/>
        </w:rPr>
        <w:t xml:space="preserve"> website or by contacting the Office of Career </w:t>
      </w:r>
      <w:r w:rsidR="6BE9530B" w:rsidRPr="6201094E">
        <w:rPr>
          <w:rFonts w:cs="Calibri"/>
        </w:rPr>
        <w:t>Readiness at</w:t>
      </w:r>
      <w:r w:rsidRPr="6201094E">
        <w:rPr>
          <w:rFonts w:cs="Calibri"/>
        </w:rPr>
        <w:t xml:space="preserve"> the New Jersey Department of Education, River View Executive Plaza, Building 100, Route 29, P.O. Box 500, Trenton, NJ  08625-0500; telephone </w:t>
      </w:r>
      <w:r w:rsidR="003D0331">
        <w:rPr>
          <w:rFonts w:cs="Calibri"/>
          <w:szCs w:val="24"/>
        </w:rPr>
        <w:br/>
      </w:r>
      <w:r w:rsidRPr="6201094E">
        <w:rPr>
          <w:rFonts w:cs="Calibri"/>
        </w:rPr>
        <w:t>(609) 376-9067; fax (609) 984-5347.</w:t>
      </w:r>
    </w:p>
    <w:p w14:paraId="09090F62" w14:textId="77777777" w:rsidR="003D0331" w:rsidRPr="005E52D6" w:rsidRDefault="6A7466AF" w:rsidP="003D0331">
      <w:pPr>
        <w:pStyle w:val="Heading3"/>
      </w:pPr>
      <w:bookmarkStart w:id="104" w:name="_Toc533681887"/>
      <w:bookmarkStart w:id="105" w:name="_Toc63095140"/>
      <w:bookmarkStart w:id="106" w:name="_Toc63095522"/>
      <w:bookmarkStart w:id="107" w:name="_Toc63095882"/>
      <w:bookmarkStart w:id="108" w:name="_Toc172890045"/>
      <w:r>
        <w:t>1.6</w:t>
      </w:r>
      <w:r w:rsidR="003D0331">
        <w:tab/>
      </w:r>
      <w:r>
        <w:t>Technical Assistance</w:t>
      </w:r>
      <w:bookmarkEnd w:id="104"/>
      <w:bookmarkEnd w:id="105"/>
      <w:bookmarkEnd w:id="106"/>
      <w:bookmarkEnd w:id="107"/>
      <w:bookmarkEnd w:id="108"/>
    </w:p>
    <w:p w14:paraId="3B9FC525" w14:textId="548301E5" w:rsidR="003D0331" w:rsidRPr="00111268" w:rsidRDefault="2CEDE8EF" w:rsidP="003D0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rPr>
      </w:pPr>
      <w:r w:rsidRPr="00111268">
        <w:rPr>
          <w:rFonts w:cs="Calibri"/>
        </w:rPr>
        <w:t xml:space="preserve">Technical </w:t>
      </w:r>
      <w:r w:rsidR="00A053FB">
        <w:rPr>
          <w:rFonts w:cs="Calibri"/>
        </w:rPr>
        <w:t xml:space="preserve">assistance will be provided </w:t>
      </w:r>
      <w:r w:rsidR="006C6AD2">
        <w:rPr>
          <w:rFonts w:cs="Calibri"/>
        </w:rPr>
        <w:t>as needed</w:t>
      </w:r>
      <w:r w:rsidRPr="00111268">
        <w:rPr>
          <w:rFonts w:cs="Calibri"/>
        </w:rPr>
        <w:t xml:space="preserve"> for each eligible district. Eligible districts can request a meeting with the Building Career Pathways in Comprehensive Schools (Cohort 2) program officer, Genevieve </w:t>
      </w:r>
      <w:r w:rsidR="28A9E029" w:rsidRPr="00111268">
        <w:rPr>
          <w:rFonts w:cs="Calibri"/>
        </w:rPr>
        <w:t>Cross, by</w:t>
      </w:r>
      <w:r w:rsidR="217F3B3B" w:rsidRPr="00111268">
        <w:rPr>
          <w:rFonts w:cs="Calibri"/>
        </w:rPr>
        <w:t xml:space="preserve"> </w:t>
      </w:r>
      <w:r w:rsidR="00E9269F">
        <w:rPr>
          <w:rFonts w:cs="Calibri"/>
        </w:rPr>
        <w:t>emailing</w:t>
      </w:r>
      <w:r w:rsidRPr="00111268">
        <w:rPr>
          <w:rFonts w:cs="Calibri"/>
        </w:rPr>
        <w:t xml:space="preserve"> </w:t>
      </w:r>
      <w:hyperlink r:id="rId17">
        <w:r w:rsidRPr="00111268">
          <w:rPr>
            <w:rStyle w:val="Hyperlink"/>
            <w:rFonts w:eastAsia="SimSun" w:cs="Calibri"/>
          </w:rPr>
          <w:t>genevieve.cross@doe.nj.gov</w:t>
        </w:r>
      </w:hyperlink>
      <w:r w:rsidRPr="00111268">
        <w:rPr>
          <w:rFonts w:cs="Calibri"/>
        </w:rPr>
        <w:t xml:space="preserve">. </w:t>
      </w:r>
    </w:p>
    <w:p w14:paraId="7B5AEC29" w14:textId="77777777" w:rsidR="003D0331" w:rsidRPr="00336E67" w:rsidRDefault="6A7466AF" w:rsidP="003D0331">
      <w:pPr>
        <w:pStyle w:val="Heading3"/>
      </w:pPr>
      <w:bookmarkStart w:id="109" w:name="_Toc533681888"/>
      <w:bookmarkStart w:id="110" w:name="_Toc63095141"/>
      <w:bookmarkStart w:id="111" w:name="_Toc63095523"/>
      <w:bookmarkStart w:id="112" w:name="_Toc63095883"/>
      <w:bookmarkStart w:id="113" w:name="_Toc172890046"/>
      <w:r>
        <w:t>1.7</w:t>
      </w:r>
      <w:r w:rsidR="003D0331">
        <w:tab/>
      </w:r>
      <w:r>
        <w:t>Application Submission</w:t>
      </w:r>
      <w:bookmarkEnd w:id="109"/>
      <w:bookmarkEnd w:id="110"/>
      <w:bookmarkEnd w:id="111"/>
      <w:bookmarkEnd w:id="112"/>
      <w:bookmarkEnd w:id="113"/>
    </w:p>
    <w:p w14:paraId="6A22EB49" w14:textId="40EC90F2" w:rsidR="003D0331" w:rsidRPr="00B9755A"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The NJDOE administers discretionary grant programs in strict conformance with procedures designed to ensure accountability and integrity in public funds and, therefore, will</w:t>
      </w:r>
      <w:r w:rsidRPr="00B9755A">
        <w:rPr>
          <w:rFonts w:cs="Calibri"/>
          <w:b/>
        </w:rPr>
        <w:t xml:space="preserve"> </w:t>
      </w:r>
      <w:r w:rsidRPr="00B9755A">
        <w:rPr>
          <w:rFonts w:cs="Calibri"/>
        </w:rPr>
        <w:t>not accept late applications.</w:t>
      </w:r>
    </w:p>
    <w:p w14:paraId="58A93C3D" w14:textId="576092BA" w:rsidR="003D0331" w:rsidRPr="00B9755A"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1A9196EB">
        <w:rPr>
          <w:rFonts w:cs="Calibri"/>
        </w:rPr>
        <w:t xml:space="preserve">The responsibility for a timely submission resides with the applicant. The Application Control Center (ACC) must receive the completed application through the online EWEG system access through the NJDOE </w:t>
      </w:r>
      <w:hyperlink r:id="rId18">
        <w:r w:rsidRPr="1A9196EB">
          <w:rPr>
            <w:rStyle w:val="Hyperlink"/>
            <w:rFonts w:eastAsia="SimSun" w:cs="Calibri"/>
          </w:rPr>
          <w:t>Homeroom</w:t>
        </w:r>
      </w:hyperlink>
      <w:r w:rsidRPr="1A9196EB">
        <w:rPr>
          <w:rFonts w:cs="Calibri"/>
        </w:rPr>
        <w:t xml:space="preserve"> web page </w:t>
      </w:r>
      <w:r w:rsidRPr="1A9196EB">
        <w:rPr>
          <w:rFonts w:cs="Calibri"/>
          <w:b/>
          <w:bCs/>
        </w:rPr>
        <w:t>no later than 4:00 p.m. on</w:t>
      </w:r>
      <w:r w:rsidR="00397B05" w:rsidRPr="1A9196EB">
        <w:rPr>
          <w:rFonts w:cs="Calibri"/>
          <w:b/>
          <w:bCs/>
        </w:rPr>
        <w:t xml:space="preserve"> </w:t>
      </w:r>
      <w:r w:rsidR="009A1753" w:rsidRPr="1A9196EB">
        <w:rPr>
          <w:rFonts w:cs="Calibri"/>
          <w:b/>
          <w:bCs/>
        </w:rPr>
        <w:t>T</w:t>
      </w:r>
      <w:r w:rsidR="000340F3" w:rsidRPr="1A9196EB">
        <w:rPr>
          <w:rFonts w:cs="Calibri"/>
          <w:b/>
          <w:bCs/>
        </w:rPr>
        <w:t>hursday</w:t>
      </w:r>
      <w:r w:rsidRPr="1A9196EB">
        <w:rPr>
          <w:rFonts w:cs="Calibri"/>
          <w:b/>
          <w:bCs/>
        </w:rPr>
        <w:t>,</w:t>
      </w:r>
      <w:r w:rsidR="00397B05" w:rsidRPr="1A9196EB">
        <w:rPr>
          <w:rFonts w:cs="Calibri"/>
          <w:b/>
          <w:bCs/>
        </w:rPr>
        <w:t xml:space="preserve"> </w:t>
      </w:r>
      <w:r w:rsidR="00352154" w:rsidRPr="1A9196EB">
        <w:rPr>
          <w:rFonts w:cs="Calibri"/>
          <w:b/>
          <w:bCs/>
        </w:rPr>
        <w:t>December</w:t>
      </w:r>
      <w:r w:rsidRPr="1A9196EB">
        <w:rPr>
          <w:rFonts w:cs="Calibri"/>
          <w:b/>
          <w:bCs/>
        </w:rPr>
        <w:t xml:space="preserve"> </w:t>
      </w:r>
      <w:r w:rsidR="00054339">
        <w:rPr>
          <w:rFonts w:cs="Calibri"/>
          <w:b/>
          <w:bCs/>
        </w:rPr>
        <w:t>5</w:t>
      </w:r>
      <w:r w:rsidRPr="1A9196EB">
        <w:rPr>
          <w:rFonts w:cs="Calibri"/>
          <w:b/>
          <w:bCs/>
        </w:rPr>
        <w:t>, 202</w:t>
      </w:r>
      <w:r w:rsidR="00352154" w:rsidRPr="1A9196EB">
        <w:rPr>
          <w:rFonts w:cs="Calibri"/>
          <w:b/>
          <w:bCs/>
        </w:rPr>
        <w:t>4</w:t>
      </w:r>
      <w:r w:rsidRPr="1A9196EB">
        <w:rPr>
          <w:rFonts w:cs="Calibri"/>
        </w:rPr>
        <w:t>. Without exception,</w:t>
      </w:r>
      <w:r w:rsidRPr="1A9196EB">
        <w:rPr>
          <w:rFonts w:cs="Calibri"/>
          <w:b/>
          <w:bCs/>
        </w:rPr>
        <w:t xml:space="preserve"> </w:t>
      </w:r>
      <w:r w:rsidRPr="1A9196EB">
        <w:rPr>
          <w:rFonts w:cs="Calibri"/>
        </w:rPr>
        <w:t xml:space="preserve">the ACC will not accept, and the Office of Grants Management (OGM) cannot evaluate </w:t>
      </w:r>
      <w:r w:rsidR="008A05B4" w:rsidRPr="1A9196EB">
        <w:rPr>
          <w:rFonts w:cs="Calibri"/>
        </w:rPr>
        <w:t>an application for funding consider</w:t>
      </w:r>
      <w:r w:rsidRPr="1A9196EB">
        <w:rPr>
          <w:rFonts w:cs="Calibri"/>
        </w:rPr>
        <w:t>ation after this deadline.</w:t>
      </w:r>
    </w:p>
    <w:p w14:paraId="6F78DF80" w14:textId="4B628319" w:rsidR="003D0331" w:rsidRPr="00B9755A"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cs="Calibri"/>
        </w:rPr>
      </w:pPr>
      <w:r w:rsidRPr="00B9755A">
        <w:rPr>
          <w:rFonts w:cs="Calibri"/>
          <w:bCs/>
        </w:rPr>
        <w:t>Each eligible applicant must have a log</w:t>
      </w:r>
      <w:r w:rsidR="00A053FB">
        <w:rPr>
          <w:rFonts w:cs="Calibri"/>
          <w:bCs/>
        </w:rPr>
        <w:t>i</w:t>
      </w:r>
      <w:r w:rsidRPr="00B9755A">
        <w:rPr>
          <w:rFonts w:cs="Calibri"/>
          <w:bCs/>
        </w:rPr>
        <w:t>n ID and password to access the system</w:t>
      </w:r>
      <w:r w:rsidRPr="00B9755A">
        <w:rPr>
          <w:rFonts w:cs="Calibri"/>
        </w:rPr>
        <w:t>. LEA applicants should contact their district</w:t>
      </w:r>
      <w:r w:rsidR="000D5A24">
        <w:rPr>
          <w:rFonts w:cs="Calibri"/>
        </w:rPr>
        <w:t>'</w:t>
      </w:r>
      <w:r w:rsidRPr="00B9755A">
        <w:rPr>
          <w:rFonts w:cs="Calibri"/>
        </w:rPr>
        <w:t xml:space="preserve">s Web (Homeroom) Administrator, who will complete the registration. </w:t>
      </w:r>
      <w:r w:rsidRPr="004876DE">
        <w:rPr>
          <w:rFonts w:cs="Calibri"/>
        </w:rPr>
        <w:t xml:space="preserve">Non-LEA applicants should send an email request </w:t>
      </w:r>
      <w:r w:rsidR="008A05B4">
        <w:rPr>
          <w:rFonts w:cs="Calibri"/>
        </w:rPr>
        <w:t>to</w:t>
      </w:r>
      <w:r w:rsidRPr="004876DE">
        <w:rPr>
          <w:rFonts w:cs="Calibri"/>
        </w:rPr>
        <w:t xml:space="preserve"> the </w:t>
      </w:r>
      <w:hyperlink r:id="rId19" w:history="1">
        <w:r w:rsidRPr="004876DE">
          <w:rPr>
            <w:rStyle w:val="Hyperlink"/>
            <w:rFonts w:eastAsia="SimSun" w:cs="Calibri"/>
          </w:rPr>
          <w:t>EWEG help desk</w:t>
        </w:r>
      </w:hyperlink>
      <w:r w:rsidRPr="004876DE">
        <w:rPr>
          <w:rFonts w:cs="Calibri"/>
        </w:rPr>
        <w:t xml:space="preserve">. </w:t>
      </w:r>
      <w:r w:rsidRPr="00B9755A">
        <w:rPr>
          <w:rFonts w:cs="Calibri"/>
        </w:rPr>
        <w:t>Please allow 24-48 hours for the registration to be completed.</w:t>
      </w:r>
    </w:p>
    <w:p w14:paraId="0B232E8F" w14:textId="77777777" w:rsidR="003D0331" w:rsidRPr="00B9755A"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r:id="rId20" w:history="1">
        <w:r w:rsidRPr="00B9755A">
          <w:rPr>
            <w:rStyle w:val="Hyperlink"/>
            <w:rFonts w:eastAsia="SimSun" w:cs="Calibri"/>
          </w:rPr>
          <w:t>EWEG help</w:t>
        </w:r>
      </w:hyperlink>
      <w:r>
        <w:rPr>
          <w:rStyle w:val="Hyperlink"/>
          <w:rFonts w:eastAsia="SimSun" w:cs="Calibri"/>
        </w:rPr>
        <w:t xml:space="preserve"> desk</w:t>
      </w:r>
      <w:r w:rsidRPr="00B9755A">
        <w:rPr>
          <w:rFonts w:cs="Calibri"/>
        </w:rPr>
        <w:t xml:space="preserve"> email account. </w:t>
      </w:r>
    </w:p>
    <w:p w14:paraId="5FBDDD91" w14:textId="589AB458" w:rsidR="003D0331" w:rsidRPr="00523A08"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bCs/>
        </w:rPr>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w:t>
      </w:r>
      <w:r w:rsidR="003643F2">
        <w:rPr>
          <w:rFonts w:cs="Calibri"/>
        </w:rPr>
        <w:t>application submiss</w:t>
      </w:r>
      <w:r w:rsidRPr="00B9755A">
        <w:rPr>
          <w:rFonts w:cs="Calibri"/>
        </w:rPr>
        <w:t>ion. Applicants are advised not to wait until the due date to submit the application online</w:t>
      </w:r>
      <w:r w:rsidR="008A05B4">
        <w:rPr>
          <w:rFonts w:cs="Calibri"/>
        </w:rPr>
        <w:t>,</w:t>
      </w:r>
      <w:r w:rsidRPr="00B9755A">
        <w:rPr>
          <w:rFonts w:cs="Calibri"/>
        </w:rPr>
        <w:t xml:space="preserve"> as the EWEG system may be slower than </w:t>
      </w:r>
      <w:r w:rsidR="00533156">
        <w:rPr>
          <w:rFonts w:cs="Calibri"/>
        </w:rPr>
        <w:t>usu</w:t>
      </w:r>
      <w:r w:rsidRPr="00B9755A">
        <w:rPr>
          <w:rFonts w:cs="Calibri"/>
        </w:rPr>
        <w:t xml:space="preserve">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392CF6">
        <w:rPr>
          <w:rStyle w:val="Strong"/>
        </w:rPr>
        <w:t xml:space="preserve">Please </w:t>
      </w:r>
      <w:r>
        <w:rPr>
          <w:rStyle w:val="Strong"/>
        </w:rPr>
        <w:t>n</w:t>
      </w:r>
      <w:r w:rsidRPr="00392CF6">
        <w:rPr>
          <w:rStyle w:val="Strong"/>
        </w:rPr>
        <w:t xml:space="preserve">ote: The submit button in the EWEG system will disappear as of 4:00 </w:t>
      </w:r>
      <w:r>
        <w:rPr>
          <w:rStyle w:val="Strong"/>
        </w:rPr>
        <w:t>p.m.</w:t>
      </w:r>
      <w:r w:rsidRPr="00392CF6">
        <w:rPr>
          <w:rStyle w:val="Strong"/>
        </w:rPr>
        <w:t xml:space="preserve"> on the due date.</w:t>
      </w:r>
    </w:p>
    <w:p w14:paraId="11E9F7AB" w14:textId="643B1EAA" w:rsidR="003D0331" w:rsidRPr="00B9755A"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Complete applications </w:t>
      </w:r>
      <w:r w:rsidR="008A05B4">
        <w:rPr>
          <w:rFonts w:cs="Calibri"/>
        </w:rPr>
        <w:t>include all elements listed in Section 3.3, the</w:t>
      </w:r>
      <w:r w:rsidRPr="00B9755A">
        <w:rPr>
          <w:rFonts w:cs="Calibri"/>
        </w:rPr>
        <w:t xml:space="preserve"> Application Component Checklist of this notice. Applications received by the due date and specified time will be screened to determine whether they are, in fact, eligible for consideration. The </w:t>
      </w:r>
      <w:r>
        <w:rPr>
          <w:rFonts w:cs="Calibri"/>
        </w:rPr>
        <w:t>NJDOE</w:t>
      </w:r>
      <w:r w:rsidRPr="00B9755A">
        <w:rPr>
          <w:rFonts w:cs="Calibri"/>
        </w:rPr>
        <w:t xml:space="preserve"> reserves the right to reject any application </w:t>
      </w:r>
      <w:r w:rsidR="008A05B4">
        <w:rPr>
          <w:rFonts w:cs="Calibri"/>
        </w:rPr>
        <w:t xml:space="preserve">that </w:t>
      </w:r>
      <w:r w:rsidR="003643F2">
        <w:rPr>
          <w:rFonts w:cs="Calibri"/>
        </w:rPr>
        <w:t>does not conform with this NGO's requirements</w:t>
      </w:r>
      <w:r w:rsidRPr="00B9755A">
        <w:rPr>
          <w:rFonts w:cs="Calibri"/>
        </w:rPr>
        <w:t xml:space="preserve">. </w:t>
      </w:r>
    </w:p>
    <w:p w14:paraId="57CF157D" w14:textId="77777777" w:rsidR="003D0331" w:rsidRPr="00392CF6"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Style w:val="Strong"/>
        </w:rPr>
      </w:pPr>
      <w:r w:rsidRPr="00392CF6">
        <w:rPr>
          <w:rStyle w:val="Strong"/>
        </w:rPr>
        <w:t>Paper copies of the grant application will not be accepted in lieu of the EWEG application. Applications submitted via fax will not be accepted under any circumstances.</w:t>
      </w:r>
    </w:p>
    <w:p w14:paraId="3E78495B" w14:textId="77777777" w:rsidR="003D0331" w:rsidRPr="004876DE" w:rsidRDefault="6A7466AF" w:rsidP="003D0331">
      <w:pPr>
        <w:pStyle w:val="Heading3"/>
      </w:pPr>
      <w:bookmarkStart w:id="114" w:name="_Toc533681889"/>
      <w:bookmarkStart w:id="115" w:name="_Toc63095142"/>
      <w:bookmarkStart w:id="116" w:name="_Toc63095524"/>
      <w:bookmarkStart w:id="117" w:name="_Toc63095884"/>
      <w:bookmarkStart w:id="118" w:name="_Toc172890047"/>
      <w:r>
        <w:t>1.8</w:t>
      </w:r>
      <w:r w:rsidR="003D0331">
        <w:tab/>
      </w:r>
      <w:r>
        <w:t>Reporting Requirements</w:t>
      </w:r>
      <w:bookmarkEnd w:id="114"/>
      <w:bookmarkEnd w:id="115"/>
      <w:bookmarkEnd w:id="116"/>
      <w:bookmarkEnd w:id="117"/>
      <w:bookmarkEnd w:id="118"/>
    </w:p>
    <w:p w14:paraId="27A305F2" w14:textId="77777777" w:rsidR="003D0331" w:rsidRPr="00EF4BB8" w:rsidRDefault="003D0331" w:rsidP="003D0331">
      <w:pPr>
        <w:jc w:val="both"/>
        <w:rPr>
          <w:rFonts w:cs="Calibri"/>
        </w:rPr>
      </w:pPr>
      <w:r w:rsidRPr="00B9755A">
        <w:rPr>
          <w:rFonts w:cs="Calibri"/>
        </w:rPr>
        <w:t xml:space="preserve">Grant recipients must submit periodic </w:t>
      </w:r>
      <w:proofErr w:type="gramStart"/>
      <w:r w:rsidRPr="00B9755A">
        <w:rPr>
          <w:rFonts w:cs="Calibri"/>
        </w:rPr>
        <w:t>project</w:t>
      </w:r>
      <w:proofErr w:type="gramEnd"/>
      <w:r w:rsidRPr="00B9755A">
        <w:rPr>
          <w:rFonts w:cs="Calibri"/>
        </w:rPr>
        <w:t xml:space="preserve"> and fiscal progress reports. All reports will be submitted through the EWEG system. Reports for this</w:t>
      </w:r>
      <w:r>
        <w:rPr>
          <w:rFonts w:cs="Calibri"/>
        </w:rPr>
        <w:t xml:space="preserve"> second-year</w:t>
      </w:r>
      <w:r w:rsidRPr="00FB4E45">
        <w:rPr>
          <w:rFonts w:cs="Calibri"/>
        </w:rPr>
        <w:t xml:space="preserve"> grant program</w:t>
      </w:r>
      <w:r w:rsidRPr="00B9755A">
        <w:rPr>
          <w:rFonts w:cs="Calibri"/>
        </w:rPr>
        <w:t xml:space="preserve"> will be due as follows: </w:t>
      </w:r>
    </w:p>
    <w:tbl>
      <w:tblPr>
        <w:tblW w:w="98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5"/>
        <w:gridCol w:w="3595"/>
        <w:gridCol w:w="3262"/>
      </w:tblGrid>
      <w:tr w:rsidR="003D0331" w:rsidRPr="00B9755A" w14:paraId="37D9D38C" w14:textId="77777777" w:rsidTr="1A9196EB">
        <w:trPr>
          <w:trHeight w:val="172"/>
          <w:tblHeader/>
        </w:trPr>
        <w:tc>
          <w:tcPr>
            <w:tcW w:w="2955" w:type="dxa"/>
            <w:shd w:val="clear" w:color="auto" w:fill="BFBFBF" w:themeFill="background1" w:themeFillShade="BF"/>
          </w:tcPr>
          <w:p w14:paraId="3427DF3E" w14:textId="77777777" w:rsidR="003D0331" w:rsidRPr="00B9755A" w:rsidRDefault="003D0331" w:rsidP="00283387">
            <w:pPr>
              <w:pStyle w:val="Header"/>
              <w:tabs>
                <w:tab w:val="clear" w:pos="4320"/>
                <w:tab w:val="clear" w:pos="8640"/>
              </w:tabs>
              <w:rPr>
                <w:rFonts w:cs="Calibri"/>
              </w:rPr>
            </w:pPr>
            <w:r w:rsidRPr="1A9196EB">
              <w:rPr>
                <w:rFonts w:cs="Calibri"/>
                <w:b/>
                <w:bCs/>
              </w:rPr>
              <w:t>Report</w:t>
            </w:r>
            <w:r>
              <w:tab/>
            </w:r>
          </w:p>
        </w:tc>
        <w:tc>
          <w:tcPr>
            <w:tcW w:w="3595" w:type="dxa"/>
            <w:shd w:val="clear" w:color="auto" w:fill="BFBFBF" w:themeFill="background1" w:themeFillShade="BF"/>
          </w:tcPr>
          <w:p w14:paraId="78AC2E8D" w14:textId="77777777" w:rsidR="003D0331" w:rsidRPr="00B9755A" w:rsidRDefault="003D0331" w:rsidP="00283387">
            <w:pPr>
              <w:pStyle w:val="Header"/>
              <w:tabs>
                <w:tab w:val="clear" w:pos="4320"/>
                <w:tab w:val="clear" w:pos="8640"/>
              </w:tabs>
              <w:rPr>
                <w:rFonts w:cs="Calibri"/>
              </w:rPr>
            </w:pPr>
            <w:r w:rsidRPr="1A9196EB">
              <w:rPr>
                <w:rFonts w:cs="Calibri"/>
                <w:b/>
                <w:bCs/>
              </w:rPr>
              <w:t>Reporting period</w:t>
            </w:r>
          </w:p>
        </w:tc>
        <w:tc>
          <w:tcPr>
            <w:tcW w:w="3262" w:type="dxa"/>
            <w:shd w:val="clear" w:color="auto" w:fill="BFBFBF" w:themeFill="background1" w:themeFillShade="BF"/>
          </w:tcPr>
          <w:p w14:paraId="0082E00C" w14:textId="77777777" w:rsidR="003D0331" w:rsidRPr="00B9755A" w:rsidRDefault="003D0331" w:rsidP="1A9196EB">
            <w:pPr>
              <w:rPr>
                <w:rFonts w:cs="Calibri"/>
                <w:b/>
                <w:bCs/>
              </w:rPr>
            </w:pPr>
            <w:r w:rsidRPr="1A9196EB">
              <w:rPr>
                <w:rFonts w:cs="Calibri"/>
                <w:b/>
                <w:bCs/>
              </w:rPr>
              <w:t xml:space="preserve"> Due date</w:t>
            </w:r>
          </w:p>
        </w:tc>
      </w:tr>
      <w:tr w:rsidR="003D0331" w:rsidRPr="00B9755A" w14:paraId="010E772B" w14:textId="77777777" w:rsidTr="1A9196EB">
        <w:trPr>
          <w:trHeight w:val="172"/>
        </w:trPr>
        <w:tc>
          <w:tcPr>
            <w:tcW w:w="2955" w:type="dxa"/>
          </w:tcPr>
          <w:p w14:paraId="3A957BA0" w14:textId="52B12FE7" w:rsidR="003D0331" w:rsidRPr="00AA42FE" w:rsidRDefault="003D0331" w:rsidP="00283387">
            <w:pPr>
              <w:pStyle w:val="Header"/>
              <w:tabs>
                <w:tab w:val="clear" w:pos="4320"/>
                <w:tab w:val="clear" w:pos="8640"/>
              </w:tabs>
              <w:rPr>
                <w:rFonts w:cs="Calibri"/>
              </w:rPr>
            </w:pPr>
            <w:r w:rsidRPr="1A9196EB">
              <w:rPr>
                <w:rFonts w:cs="Calibri"/>
              </w:rPr>
              <w:t xml:space="preserve">Year </w:t>
            </w:r>
            <w:r w:rsidR="000340F3" w:rsidRPr="1A9196EB">
              <w:rPr>
                <w:rFonts w:cs="Calibri"/>
              </w:rPr>
              <w:t>Four</w:t>
            </w:r>
            <w:r w:rsidRPr="1A9196EB">
              <w:rPr>
                <w:rFonts w:cs="Calibri"/>
              </w:rPr>
              <w:t xml:space="preserve"> - Interim</w:t>
            </w:r>
          </w:p>
        </w:tc>
        <w:tc>
          <w:tcPr>
            <w:tcW w:w="3595" w:type="dxa"/>
          </w:tcPr>
          <w:p w14:paraId="13B47F4C" w14:textId="6CD638C5" w:rsidR="003D0331" w:rsidRPr="00AA42FE" w:rsidRDefault="00397B05" w:rsidP="00283387">
            <w:pPr>
              <w:pStyle w:val="Header"/>
              <w:tabs>
                <w:tab w:val="clear" w:pos="4320"/>
                <w:tab w:val="clear" w:pos="8640"/>
              </w:tabs>
              <w:rPr>
                <w:rFonts w:cs="Calibri"/>
              </w:rPr>
            </w:pPr>
            <w:r w:rsidRPr="1A9196EB">
              <w:rPr>
                <w:rFonts w:cs="Calibri"/>
              </w:rPr>
              <w:t>February</w:t>
            </w:r>
            <w:r w:rsidR="003D0331" w:rsidRPr="1A9196EB">
              <w:rPr>
                <w:rFonts w:cs="Calibri"/>
              </w:rPr>
              <w:t xml:space="preserve"> 1, 202</w:t>
            </w:r>
            <w:r w:rsidR="000340F3" w:rsidRPr="1A9196EB">
              <w:rPr>
                <w:rFonts w:cs="Calibri"/>
              </w:rPr>
              <w:t>5</w:t>
            </w:r>
            <w:r w:rsidR="003D0331" w:rsidRPr="1A9196EB">
              <w:rPr>
                <w:rFonts w:cs="Calibri"/>
              </w:rPr>
              <w:t xml:space="preserve"> – </w:t>
            </w:r>
            <w:r w:rsidR="40326927" w:rsidRPr="1A9196EB">
              <w:rPr>
                <w:rFonts w:cs="Calibri"/>
              </w:rPr>
              <w:t>July</w:t>
            </w:r>
            <w:r w:rsidR="003D0331" w:rsidRPr="1A9196EB">
              <w:rPr>
                <w:rFonts w:cs="Calibri"/>
              </w:rPr>
              <w:t xml:space="preserve"> 3</w:t>
            </w:r>
            <w:r w:rsidR="40326927" w:rsidRPr="1A9196EB">
              <w:rPr>
                <w:rFonts w:cs="Calibri"/>
              </w:rPr>
              <w:t>1</w:t>
            </w:r>
            <w:r w:rsidR="003D0331" w:rsidRPr="1A9196EB">
              <w:rPr>
                <w:rFonts w:cs="Calibri"/>
              </w:rPr>
              <w:t>, 202</w:t>
            </w:r>
            <w:r w:rsidR="000340F3" w:rsidRPr="1A9196EB">
              <w:rPr>
                <w:rFonts w:cs="Calibri"/>
              </w:rPr>
              <w:t>5</w:t>
            </w:r>
          </w:p>
        </w:tc>
        <w:tc>
          <w:tcPr>
            <w:tcW w:w="3262" w:type="dxa"/>
          </w:tcPr>
          <w:p w14:paraId="0E8435BE" w14:textId="405979FB" w:rsidR="003D0331" w:rsidRPr="00AA42FE" w:rsidRDefault="40326927" w:rsidP="00283387">
            <w:pPr>
              <w:pStyle w:val="Header"/>
              <w:tabs>
                <w:tab w:val="clear" w:pos="4320"/>
                <w:tab w:val="clear" w:pos="8640"/>
              </w:tabs>
              <w:rPr>
                <w:rFonts w:cs="Calibri"/>
              </w:rPr>
            </w:pPr>
            <w:r w:rsidRPr="1A9196EB">
              <w:rPr>
                <w:rFonts w:cs="Calibri"/>
              </w:rPr>
              <w:t>August</w:t>
            </w:r>
            <w:r w:rsidR="003D0331" w:rsidRPr="1A9196EB">
              <w:rPr>
                <w:rFonts w:cs="Calibri"/>
              </w:rPr>
              <w:t xml:space="preserve"> </w:t>
            </w:r>
            <w:r w:rsidR="00054339">
              <w:rPr>
                <w:rFonts w:cs="Calibri"/>
              </w:rPr>
              <w:t>31</w:t>
            </w:r>
            <w:r w:rsidR="003D0331" w:rsidRPr="1A9196EB">
              <w:rPr>
                <w:rFonts w:cs="Calibri"/>
              </w:rPr>
              <w:t>, 202</w:t>
            </w:r>
            <w:r w:rsidR="000340F3" w:rsidRPr="1A9196EB">
              <w:rPr>
                <w:rFonts w:cs="Calibri"/>
              </w:rPr>
              <w:t>5</w:t>
            </w:r>
          </w:p>
        </w:tc>
      </w:tr>
      <w:tr w:rsidR="003D0331" w:rsidRPr="00B9755A" w14:paraId="0623FBEC" w14:textId="77777777" w:rsidTr="1A9196EB">
        <w:trPr>
          <w:trHeight w:val="282"/>
        </w:trPr>
        <w:tc>
          <w:tcPr>
            <w:tcW w:w="2955" w:type="dxa"/>
          </w:tcPr>
          <w:p w14:paraId="77E189A6" w14:textId="09C69583" w:rsidR="003D0331" w:rsidRPr="00AA42FE" w:rsidRDefault="003D0331" w:rsidP="00283387">
            <w:pPr>
              <w:rPr>
                <w:rFonts w:cs="Calibri"/>
              </w:rPr>
            </w:pPr>
            <w:r w:rsidRPr="1A9196EB">
              <w:rPr>
                <w:rFonts w:cs="Calibri"/>
              </w:rPr>
              <w:lastRenderedPageBreak/>
              <w:t xml:space="preserve">Year </w:t>
            </w:r>
            <w:r w:rsidR="000340F3" w:rsidRPr="1A9196EB">
              <w:rPr>
                <w:rFonts w:cs="Calibri"/>
              </w:rPr>
              <w:t>Four</w:t>
            </w:r>
            <w:r w:rsidRPr="1A9196EB">
              <w:rPr>
                <w:rFonts w:cs="Calibri"/>
              </w:rPr>
              <w:t xml:space="preserve"> - Final</w:t>
            </w:r>
          </w:p>
        </w:tc>
        <w:tc>
          <w:tcPr>
            <w:tcW w:w="3595" w:type="dxa"/>
          </w:tcPr>
          <w:p w14:paraId="226AA4CC" w14:textId="7F574749" w:rsidR="003D0331" w:rsidRPr="00AA42FE" w:rsidRDefault="40326927" w:rsidP="00283387">
            <w:pPr>
              <w:pStyle w:val="Header"/>
              <w:tabs>
                <w:tab w:val="clear" w:pos="4320"/>
                <w:tab w:val="clear" w:pos="8640"/>
              </w:tabs>
              <w:rPr>
                <w:rFonts w:cs="Calibri"/>
              </w:rPr>
            </w:pPr>
            <w:r w:rsidRPr="1A9196EB">
              <w:rPr>
                <w:rFonts w:cs="Calibri"/>
              </w:rPr>
              <w:t>February</w:t>
            </w:r>
            <w:r w:rsidR="003D0331" w:rsidRPr="1A9196EB">
              <w:rPr>
                <w:rFonts w:cs="Calibri"/>
              </w:rPr>
              <w:t xml:space="preserve"> 1, 202</w:t>
            </w:r>
            <w:r w:rsidR="000340F3" w:rsidRPr="1A9196EB">
              <w:rPr>
                <w:rFonts w:cs="Calibri"/>
              </w:rPr>
              <w:t>5</w:t>
            </w:r>
            <w:r w:rsidR="003D0331" w:rsidRPr="1A9196EB">
              <w:rPr>
                <w:rFonts w:cs="Calibri"/>
              </w:rPr>
              <w:t xml:space="preserve"> – J</w:t>
            </w:r>
            <w:r w:rsidR="00DB1BC9" w:rsidRPr="1A9196EB">
              <w:rPr>
                <w:rFonts w:cs="Calibri"/>
              </w:rPr>
              <w:t>anuary</w:t>
            </w:r>
            <w:r w:rsidRPr="1A9196EB">
              <w:rPr>
                <w:rFonts w:cs="Calibri"/>
              </w:rPr>
              <w:t xml:space="preserve"> 3</w:t>
            </w:r>
            <w:r w:rsidR="00DB1BC9" w:rsidRPr="1A9196EB">
              <w:rPr>
                <w:rFonts w:cs="Calibri"/>
              </w:rPr>
              <w:t>1</w:t>
            </w:r>
            <w:r w:rsidRPr="1A9196EB">
              <w:rPr>
                <w:rFonts w:cs="Calibri"/>
              </w:rPr>
              <w:t>,</w:t>
            </w:r>
            <w:r w:rsidR="003D0331" w:rsidRPr="1A9196EB">
              <w:rPr>
                <w:rFonts w:cs="Calibri"/>
              </w:rPr>
              <w:t xml:space="preserve"> </w:t>
            </w:r>
            <w:proofErr w:type="gramStart"/>
            <w:r w:rsidR="003D0331" w:rsidRPr="1A9196EB">
              <w:rPr>
                <w:rFonts w:cs="Calibri"/>
              </w:rPr>
              <w:t>202</w:t>
            </w:r>
            <w:r w:rsidR="000340F3" w:rsidRPr="1A9196EB">
              <w:rPr>
                <w:rFonts w:cs="Calibri"/>
              </w:rPr>
              <w:t>6</w:t>
            </w:r>
            <w:proofErr w:type="gramEnd"/>
            <w:r w:rsidR="003D0331" w:rsidRPr="1A9196EB">
              <w:rPr>
                <w:rFonts w:cs="Calibri"/>
              </w:rPr>
              <w:t xml:space="preserve"> </w:t>
            </w:r>
          </w:p>
        </w:tc>
        <w:tc>
          <w:tcPr>
            <w:tcW w:w="3262" w:type="dxa"/>
          </w:tcPr>
          <w:p w14:paraId="7040EF29" w14:textId="6369C597" w:rsidR="003D0331" w:rsidRPr="00AA42FE" w:rsidRDefault="00DB1BC9" w:rsidP="00283387">
            <w:pPr>
              <w:pStyle w:val="Header"/>
              <w:tabs>
                <w:tab w:val="clear" w:pos="4320"/>
                <w:tab w:val="clear" w:pos="8640"/>
              </w:tabs>
              <w:rPr>
                <w:rFonts w:cs="Calibri"/>
              </w:rPr>
            </w:pPr>
            <w:r w:rsidRPr="1A9196EB">
              <w:rPr>
                <w:rFonts w:cs="Calibri"/>
              </w:rPr>
              <w:t>March</w:t>
            </w:r>
            <w:r w:rsidR="40326927" w:rsidRPr="1A9196EB">
              <w:rPr>
                <w:rFonts w:cs="Calibri"/>
              </w:rPr>
              <w:t xml:space="preserve"> 31</w:t>
            </w:r>
            <w:r w:rsidR="003D0331" w:rsidRPr="1A9196EB">
              <w:rPr>
                <w:rFonts w:cs="Calibri"/>
              </w:rPr>
              <w:t>, 202</w:t>
            </w:r>
            <w:r w:rsidR="000340F3" w:rsidRPr="1A9196EB">
              <w:rPr>
                <w:rFonts w:cs="Calibri"/>
              </w:rPr>
              <w:t>6</w:t>
            </w:r>
          </w:p>
        </w:tc>
      </w:tr>
    </w:tbl>
    <w:p w14:paraId="2D84424F" w14:textId="77777777" w:rsidR="003D0331" w:rsidRDefault="003D0331" w:rsidP="003D0331">
      <w:pPr>
        <w:rPr>
          <w:rFonts w:cs="Calibri"/>
        </w:rPr>
      </w:pPr>
      <w:bookmarkStart w:id="119" w:name="_Toc533681890"/>
    </w:p>
    <w:p w14:paraId="45F0A5AB" w14:textId="6C2E7A7B" w:rsidR="003D0331" w:rsidRPr="00F63E8A" w:rsidRDefault="003D0331" w:rsidP="003D0331">
      <w:pPr>
        <w:rPr>
          <w:rFonts w:cs="Calibri"/>
        </w:rPr>
      </w:pPr>
      <w:r w:rsidRPr="00F63E8A">
        <w:rPr>
          <w:rFonts w:cs="Calibri"/>
        </w:rPr>
        <w:t>Reminder</w:t>
      </w:r>
      <w:r>
        <w:rPr>
          <w:rFonts w:cs="Calibri"/>
        </w:rPr>
        <w:t>:</w:t>
      </w:r>
      <w:r w:rsidRPr="00F63E8A">
        <w:rPr>
          <w:rFonts w:cs="Calibri"/>
        </w:rPr>
        <w:t xml:space="preserve"> do not upload student</w:t>
      </w:r>
      <w:r w:rsidR="008A05B4">
        <w:rPr>
          <w:rFonts w:cs="Calibri"/>
        </w:rPr>
        <w:t>-</w:t>
      </w:r>
      <w:r w:rsidRPr="00F63E8A">
        <w:rPr>
          <w:rFonts w:cs="Calibri"/>
        </w:rPr>
        <w:t>identifying information with your interim or final reports.</w:t>
      </w:r>
    </w:p>
    <w:p w14:paraId="3C106A36" w14:textId="77777777" w:rsidR="003D0331" w:rsidRDefault="6A7466AF" w:rsidP="003D0331">
      <w:pPr>
        <w:pStyle w:val="Heading3"/>
      </w:pPr>
      <w:bookmarkStart w:id="120" w:name="_Toc63095143"/>
      <w:bookmarkStart w:id="121" w:name="_Toc63095525"/>
      <w:bookmarkStart w:id="122" w:name="_Toc63095885"/>
      <w:bookmarkStart w:id="123" w:name="_Toc172890048"/>
      <w:r>
        <w:t>1.9</w:t>
      </w:r>
      <w:r w:rsidR="003D0331">
        <w:tab/>
      </w:r>
      <w:r>
        <w:t>Assessment of Statewide Program Results</w:t>
      </w:r>
      <w:bookmarkEnd w:id="119"/>
      <w:bookmarkEnd w:id="120"/>
      <w:bookmarkEnd w:id="121"/>
      <w:bookmarkEnd w:id="122"/>
      <w:bookmarkEnd w:id="123"/>
    </w:p>
    <w:p w14:paraId="5CC77255" w14:textId="0F8184B7" w:rsidR="003D0331" w:rsidRDefault="003D0331" w:rsidP="003D0331">
      <w:pPr>
        <w:rPr>
          <w:rFonts w:cs="Calibri"/>
        </w:rPr>
      </w:pPr>
      <w:r w:rsidRPr="00C93817">
        <w:rPr>
          <w:rFonts w:cs="Calibri"/>
        </w:rPr>
        <w:t xml:space="preserve">Over the </w:t>
      </w:r>
      <w:r>
        <w:rPr>
          <w:rFonts w:cs="Calibri"/>
        </w:rPr>
        <w:t xml:space="preserve">four-year </w:t>
      </w:r>
      <w:r w:rsidRPr="00C93817">
        <w:rPr>
          <w:rFonts w:cs="Calibri"/>
        </w:rPr>
        <w:t>grant period, the Office of Career Readiness will require ongoing reporting and data submission from the grantee</w:t>
      </w:r>
      <w:r>
        <w:rPr>
          <w:rFonts w:cs="Calibri"/>
        </w:rPr>
        <w:t xml:space="preserve"> </w:t>
      </w:r>
      <w:r w:rsidRPr="00C93817">
        <w:rPr>
          <w:rFonts w:cs="Calibri"/>
        </w:rPr>
        <w:t>to monitor the grantee</w:t>
      </w:r>
      <w:r w:rsidR="000D5A24">
        <w:rPr>
          <w:rFonts w:cs="Calibri"/>
        </w:rPr>
        <w:t>'</w:t>
      </w:r>
      <w:r w:rsidRPr="00C93817">
        <w:rPr>
          <w:rFonts w:cs="Calibri"/>
        </w:rPr>
        <w:t xml:space="preserve">s progress </w:t>
      </w:r>
      <w:r>
        <w:rPr>
          <w:rFonts w:cs="Calibri"/>
        </w:rPr>
        <w:t>toward</w:t>
      </w:r>
      <w:r w:rsidRPr="00C93817">
        <w:rPr>
          <w:rFonts w:cs="Calibri"/>
        </w:rPr>
        <w:t xml:space="preserve"> meeting the </w:t>
      </w:r>
      <w:r w:rsidR="00E5003A">
        <w:rPr>
          <w:rFonts w:cs="Calibri"/>
        </w:rPr>
        <w:t>grant's statewide goal, objectives, and outcomes</w:t>
      </w:r>
      <w:r w:rsidRPr="00C93817">
        <w:rPr>
          <w:rFonts w:cs="Calibri"/>
        </w:rPr>
        <w:t xml:space="preserve">. Assessments will be in the form of desk audits of periodic interim </w:t>
      </w:r>
      <w:proofErr w:type="gramStart"/>
      <w:r w:rsidRPr="00C93817">
        <w:rPr>
          <w:rFonts w:cs="Calibri"/>
        </w:rPr>
        <w:t>project</w:t>
      </w:r>
      <w:proofErr w:type="gramEnd"/>
      <w:r w:rsidRPr="00C93817">
        <w:rPr>
          <w:rFonts w:cs="Calibri"/>
        </w:rPr>
        <w:t xml:space="preserve"> and fiscal reports</w:t>
      </w:r>
      <w:r w:rsidR="00E5003A">
        <w:rPr>
          <w:rFonts w:cs="Calibri"/>
        </w:rPr>
        <w:t xml:space="preserve"> and</w:t>
      </w:r>
      <w:r w:rsidRPr="00C93817">
        <w:rPr>
          <w:rFonts w:cs="Calibri"/>
        </w:rPr>
        <w:t xml:space="preserve"> onsite monitoring visits. </w:t>
      </w:r>
    </w:p>
    <w:p w14:paraId="6A7A031D" w14:textId="17D4CB1A" w:rsidR="003D0331" w:rsidRDefault="003D0331" w:rsidP="003D0331">
      <w:r w:rsidRPr="00C30127">
        <w:rPr>
          <w:rFonts w:cs="Calibri"/>
        </w:rPr>
        <w:t xml:space="preserve">After successful planning, grantees will </w:t>
      </w:r>
      <w:r w:rsidRPr="00C30127">
        <w:t>concentrate on implementing, supporting, and evaluating the career pathways realized through high</w:t>
      </w:r>
      <w:r w:rsidR="008B2061">
        <w:t>-</w:t>
      </w:r>
      <w:r w:rsidRPr="00C30127">
        <w:t>quality CTE programs of study and support planned during year one. The second CTE program of study will be implemented no later than September 2025.</w:t>
      </w:r>
    </w:p>
    <w:p w14:paraId="65D66060" w14:textId="1F2A346D" w:rsidR="003D0331" w:rsidRDefault="003D0331" w:rsidP="003D0331">
      <w:pPr>
        <w:spacing w:after="120"/>
        <w:rPr>
          <w:rFonts w:cs="Calibri"/>
        </w:rPr>
      </w:pPr>
      <w:r>
        <w:rPr>
          <w:rFonts w:cs="Calibri"/>
        </w:rPr>
        <w:t>Districts may o</w:t>
      </w:r>
      <w:r w:rsidRPr="00243E8E">
        <w:rPr>
          <w:rFonts w:cs="Calibri"/>
        </w:rPr>
        <w:t>ptionally use the knowledge and information learned during the grant program to create additional CTE programs of study</w:t>
      </w:r>
      <w:r w:rsidR="005957FC">
        <w:rPr>
          <w:rFonts w:cs="Calibri"/>
        </w:rPr>
        <w:t>;</w:t>
      </w:r>
      <w:r w:rsidRPr="00243E8E">
        <w:rPr>
          <w:rFonts w:cs="Calibri"/>
        </w:rPr>
        <w:t xml:space="preserve"> however, only the two approved CTE programs of study developed through this grant will be eligible for funding through this grant opportunity</w:t>
      </w:r>
      <w:r>
        <w:rPr>
          <w:rFonts w:cs="Calibri"/>
        </w:rPr>
        <w:t>.</w:t>
      </w:r>
    </w:p>
    <w:p w14:paraId="6C3C31D7" w14:textId="28BD8FBC" w:rsidR="003D0331" w:rsidRPr="00243E8E" w:rsidRDefault="003D0331" w:rsidP="003D0331">
      <w:pPr>
        <w:spacing w:after="120"/>
        <w:rPr>
          <w:rFonts w:cs="Calibri"/>
        </w:rPr>
      </w:pPr>
      <w:r>
        <w:rPr>
          <w:rFonts w:cs="Calibri"/>
        </w:rPr>
        <w:t>Reports, monitoring visits</w:t>
      </w:r>
      <w:r w:rsidR="005957FC">
        <w:rPr>
          <w:rFonts w:cs="Calibri"/>
        </w:rPr>
        <w:t>,</w:t>
      </w:r>
      <w:r>
        <w:rPr>
          <w:rFonts w:cs="Calibri"/>
        </w:rPr>
        <w:t xml:space="preserve"> and participation by all required participants in NJDOE</w:t>
      </w:r>
      <w:r w:rsidR="005957FC">
        <w:rPr>
          <w:rFonts w:cs="Calibri"/>
        </w:rPr>
        <w:t>-</w:t>
      </w:r>
      <w:r>
        <w:rPr>
          <w:rFonts w:cs="Calibri"/>
        </w:rPr>
        <w:t xml:space="preserve">sponsored project events and </w:t>
      </w:r>
      <w:proofErr w:type="gramStart"/>
      <w:r>
        <w:rPr>
          <w:rFonts w:cs="Calibri"/>
        </w:rPr>
        <w:t>supports</w:t>
      </w:r>
      <w:proofErr w:type="gramEnd"/>
      <w:r>
        <w:rPr>
          <w:rFonts w:cs="Calibri"/>
        </w:rPr>
        <w:t xml:space="preserve"> will be used to evaluate the progress of the grant programs to determine continuation funding through the subsequent grant periods. Additional assessments may include surveys and external evaluations. </w:t>
      </w:r>
    </w:p>
    <w:p w14:paraId="5C5105AE" w14:textId="77777777" w:rsidR="003D0331" w:rsidRPr="00336E67" w:rsidRDefault="6A7466AF" w:rsidP="003D0331">
      <w:pPr>
        <w:pStyle w:val="Heading3"/>
      </w:pPr>
      <w:bookmarkStart w:id="124" w:name="_Toc533681891"/>
      <w:bookmarkStart w:id="125" w:name="_Toc63095144"/>
      <w:bookmarkStart w:id="126" w:name="_Toc63095526"/>
      <w:bookmarkStart w:id="127" w:name="_Toc63095886"/>
      <w:bookmarkStart w:id="128" w:name="_Toc172890049"/>
      <w:r>
        <w:t>1.10</w:t>
      </w:r>
      <w:r w:rsidR="003D0331">
        <w:tab/>
      </w:r>
      <w:r>
        <w:t>Reimbursement Requests</w:t>
      </w:r>
      <w:bookmarkEnd w:id="124"/>
      <w:bookmarkEnd w:id="125"/>
      <w:bookmarkEnd w:id="126"/>
      <w:bookmarkEnd w:id="127"/>
      <w:bookmarkEnd w:id="128"/>
      <w:r>
        <w:t xml:space="preserve"> </w:t>
      </w:r>
    </w:p>
    <w:p w14:paraId="2B53D8BA" w14:textId="0B3FDE51" w:rsidR="003D0331" w:rsidRPr="00B9755A" w:rsidRDefault="003D0331" w:rsidP="003D0331">
      <w:pPr>
        <w:spacing w:after="120"/>
        <w:rPr>
          <w:rFonts w:cs="Calibri"/>
          <w:szCs w:val="24"/>
        </w:rPr>
      </w:pPr>
      <w:r w:rsidRPr="00B9755A">
        <w:rPr>
          <w:rFonts w:cs="Calibri"/>
          <w:szCs w:val="24"/>
        </w:rPr>
        <w:t xml:space="preserve">Payment of grant funds is made through a reimbursement system. Reimbursement requests for any grant funds the local project has expended are made through the EWEG system. Reimbursement requests may begin once the application has been marked </w:t>
      </w:r>
      <w:r w:rsidR="000D5A24">
        <w:rPr>
          <w:rFonts w:cs="Calibri"/>
          <w:szCs w:val="24"/>
        </w:rPr>
        <w:t>"</w:t>
      </w:r>
      <w:r w:rsidRPr="00B9755A">
        <w:rPr>
          <w:rFonts w:cs="Calibri"/>
          <w:szCs w:val="24"/>
        </w:rPr>
        <w:t>Final Approved</w:t>
      </w:r>
      <w:r w:rsidR="000D5A24">
        <w:rPr>
          <w:rFonts w:cs="Calibri"/>
          <w:szCs w:val="24"/>
        </w:rPr>
        <w:t>"</w:t>
      </w:r>
      <w:r w:rsidRPr="00B9755A">
        <w:rPr>
          <w:rFonts w:cs="Calibri"/>
          <w:szCs w:val="24"/>
        </w:rPr>
        <w:t xml:space="preserve"> in the EWEG system and the grantee has accepted the award by clicking the </w:t>
      </w:r>
      <w:r w:rsidR="000D5A24">
        <w:rPr>
          <w:rFonts w:cs="Calibri"/>
          <w:szCs w:val="24"/>
        </w:rPr>
        <w:t>"</w:t>
      </w:r>
      <w:r w:rsidRPr="00B9755A">
        <w:rPr>
          <w:rFonts w:cs="Calibri"/>
          <w:szCs w:val="24"/>
        </w:rPr>
        <w:t>Accept Award</w:t>
      </w:r>
      <w:r w:rsidR="000D5A24">
        <w:rPr>
          <w:rFonts w:cs="Calibri"/>
          <w:szCs w:val="24"/>
        </w:rPr>
        <w:t>"</w:t>
      </w:r>
      <w:r w:rsidRPr="00B9755A">
        <w:rPr>
          <w:rFonts w:cs="Calibri"/>
          <w:szCs w:val="24"/>
        </w:rPr>
        <w:t xml:space="preserve"> button on the Application Select page and complet</w:t>
      </w:r>
      <w:r w:rsidR="005957FC">
        <w:rPr>
          <w:rFonts w:cs="Calibri"/>
          <w:szCs w:val="24"/>
        </w:rPr>
        <w:t>ing</w:t>
      </w:r>
      <w:r w:rsidRPr="00B9755A">
        <w:rPr>
          <w:rFonts w:cs="Calibri"/>
          <w:szCs w:val="24"/>
        </w:rPr>
        <w:t xml:space="preserve"> the Grant Acceptance Certificate.</w:t>
      </w:r>
    </w:p>
    <w:p w14:paraId="4AAE1C5B" w14:textId="3FA2EB7F" w:rsidR="003D0331" w:rsidRPr="00B9755A" w:rsidRDefault="003D0331" w:rsidP="003D0331">
      <w:pPr>
        <w:spacing w:after="120"/>
        <w:rPr>
          <w:rFonts w:cs="Calibri"/>
          <w:szCs w:val="24"/>
        </w:rPr>
      </w:pPr>
      <w:r w:rsidRPr="00B9755A">
        <w:rPr>
          <w:rFonts w:cs="Calibri"/>
          <w:szCs w:val="24"/>
        </w:rPr>
        <w:t xml:space="preserve">Only one </w:t>
      </w:r>
      <w:r>
        <w:rPr>
          <w:rFonts w:cs="Calibri"/>
          <w:szCs w:val="24"/>
        </w:rPr>
        <w:t xml:space="preserve">reimbursement </w:t>
      </w:r>
      <w:r w:rsidRPr="00B9755A">
        <w:rPr>
          <w:rFonts w:cs="Calibri"/>
          <w:szCs w:val="24"/>
        </w:rPr>
        <w:t>request may be submitted per month. Grantees must submit their request no later than the 15</w:t>
      </w:r>
      <w:r w:rsidRPr="00B9755A">
        <w:rPr>
          <w:rFonts w:cs="Calibri"/>
          <w:szCs w:val="24"/>
          <w:vertAlign w:val="superscript"/>
        </w:rPr>
        <w:t>th</w:t>
      </w:r>
      <w:r w:rsidRPr="00B9755A">
        <w:rPr>
          <w:rFonts w:cs="Calibri"/>
          <w:szCs w:val="24"/>
        </w:rPr>
        <w:t xml:space="preserve"> of the month. </w:t>
      </w:r>
      <w:r>
        <w:rPr>
          <w:rFonts w:cs="Calibri"/>
          <w:szCs w:val="24"/>
        </w:rPr>
        <w:t xml:space="preserve">It is expected that reimbursements </w:t>
      </w:r>
      <w:proofErr w:type="gramStart"/>
      <w:r>
        <w:rPr>
          <w:rFonts w:cs="Calibri"/>
          <w:szCs w:val="24"/>
        </w:rPr>
        <w:t>are</w:t>
      </w:r>
      <w:proofErr w:type="gramEnd"/>
      <w:r>
        <w:rPr>
          <w:rFonts w:cs="Calibri"/>
          <w:szCs w:val="24"/>
        </w:rPr>
        <w:t xml:space="preserve"> submitted monthly. </w:t>
      </w:r>
      <w:r w:rsidRPr="00B9755A">
        <w:rPr>
          <w:rFonts w:cs="Calibri"/>
          <w:szCs w:val="24"/>
        </w:rPr>
        <w:t xml:space="preserve">The requests may include funds that will be expended through the last calendar day of the month in which reimbursement is requested. If the </w:t>
      </w:r>
      <w:r w:rsidR="00B66D73">
        <w:rPr>
          <w:rFonts w:cs="Calibri"/>
          <w:szCs w:val="24"/>
        </w:rPr>
        <w:t>NJDOE program officer approves the grantee's request</w:t>
      </w:r>
      <w:r w:rsidRPr="00B9755A">
        <w:rPr>
          <w:rFonts w:cs="Calibri"/>
          <w:szCs w:val="24"/>
        </w:rPr>
        <w:t>, the grantee should receive payment around the 10</w:t>
      </w:r>
      <w:r w:rsidRPr="00B9755A">
        <w:rPr>
          <w:rFonts w:cs="Calibri"/>
          <w:szCs w:val="24"/>
          <w:vertAlign w:val="superscript"/>
        </w:rPr>
        <w:t>th</w:t>
      </w:r>
      <w:r w:rsidRPr="00B9755A">
        <w:rPr>
          <w:rFonts w:cs="Calibri"/>
          <w:szCs w:val="24"/>
        </w:rPr>
        <w:t xml:space="preserve"> of the following month. </w:t>
      </w:r>
    </w:p>
    <w:p w14:paraId="14829F29" w14:textId="6CF1CCEF" w:rsidR="003D0331" w:rsidRDefault="003D0331" w:rsidP="003D0331">
      <w:pPr>
        <w:spacing w:after="120"/>
        <w:jc w:val="both"/>
        <w:rPr>
          <w:rFonts w:cs="Calibri"/>
        </w:rPr>
      </w:pPr>
      <w:r w:rsidRPr="1A9196EB">
        <w:rPr>
          <w:rFonts w:cs="Calibri"/>
          <w:b/>
          <w:bCs/>
        </w:rPr>
        <w:t>Note:</w:t>
      </w:r>
      <w:r w:rsidRPr="1A9196EB">
        <w:rPr>
          <w:rFonts w:cs="Calibri"/>
        </w:rPr>
        <w:t xml:space="preserve"> Payments cannot be processed until the award has been accepted </w:t>
      </w:r>
      <w:proofErr w:type="gramStart"/>
      <w:r w:rsidRPr="1A9196EB">
        <w:rPr>
          <w:rFonts w:cs="Calibri"/>
        </w:rPr>
        <w:t>in</w:t>
      </w:r>
      <w:proofErr w:type="gramEnd"/>
      <w:r w:rsidRPr="1A9196EB">
        <w:rPr>
          <w:rFonts w:cs="Calibri"/>
        </w:rPr>
        <w:t xml:space="preserve"> EWEG. No reimbursement requests will be accepted after </w:t>
      </w:r>
      <w:r w:rsidR="00DB1BC9" w:rsidRPr="1A9196EB">
        <w:rPr>
          <w:rFonts w:cs="Calibri"/>
        </w:rPr>
        <w:t>January</w:t>
      </w:r>
      <w:r w:rsidRPr="1A9196EB">
        <w:rPr>
          <w:rFonts w:cs="Calibri"/>
        </w:rPr>
        <w:t xml:space="preserve"> 15, 202</w:t>
      </w:r>
      <w:r w:rsidR="000340F3" w:rsidRPr="1A9196EB">
        <w:rPr>
          <w:rFonts w:cs="Calibri"/>
        </w:rPr>
        <w:t>6</w:t>
      </w:r>
      <w:r w:rsidRPr="1A9196EB">
        <w:rPr>
          <w:rFonts w:cs="Calibri"/>
        </w:rPr>
        <w:t>.</w:t>
      </w:r>
    </w:p>
    <w:p w14:paraId="7220A209" w14:textId="77777777" w:rsidR="003D0331" w:rsidRPr="00271A49" w:rsidRDefault="003D0331" w:rsidP="003D0331">
      <w:pPr>
        <w:spacing w:after="0" w:line="240" w:lineRule="auto"/>
        <w:rPr>
          <w:rFonts w:cs="Calibri"/>
          <w:szCs w:val="24"/>
        </w:rPr>
      </w:pPr>
      <w:r>
        <w:rPr>
          <w:rFonts w:cs="Calibri"/>
          <w:szCs w:val="24"/>
        </w:rPr>
        <w:br w:type="page"/>
      </w:r>
    </w:p>
    <w:p w14:paraId="68F531AC" w14:textId="77777777" w:rsidR="003D0331" w:rsidRPr="00336E67" w:rsidRDefault="6A7466AF" w:rsidP="003D0331">
      <w:pPr>
        <w:pStyle w:val="Heading2"/>
      </w:pPr>
      <w:bookmarkStart w:id="129" w:name="_Toc533681892"/>
      <w:bookmarkStart w:id="130" w:name="_Toc63095145"/>
      <w:bookmarkStart w:id="131" w:name="_Toc63095527"/>
      <w:bookmarkStart w:id="132" w:name="_Toc63095887"/>
      <w:bookmarkStart w:id="133" w:name="_Toc172890050"/>
      <w:r>
        <w:lastRenderedPageBreak/>
        <w:t>Section 2:  Project Guidelines</w:t>
      </w:r>
      <w:bookmarkEnd w:id="129"/>
      <w:bookmarkEnd w:id="130"/>
      <w:bookmarkEnd w:id="131"/>
      <w:bookmarkEnd w:id="132"/>
      <w:bookmarkEnd w:id="133"/>
    </w:p>
    <w:p w14:paraId="217F7DCF" w14:textId="6068BCCF" w:rsidR="003D0331" w:rsidRPr="00B9755A" w:rsidRDefault="003D0331" w:rsidP="003D0331">
      <w:r w:rsidRPr="00B9755A">
        <w:t>Th</w:t>
      </w:r>
      <w:r w:rsidR="006A5931">
        <w:t>is section intend</w:t>
      </w:r>
      <w:r w:rsidRPr="00B9755A">
        <w:t xml:space="preserve">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w:t>
      </w:r>
      <w:r w:rsidR="006A5931">
        <w:t>fully understand</w:t>
      </w:r>
      <w:r w:rsidRPr="00B9755A">
        <w:t xml:space="preserve"> </w:t>
      </w:r>
      <w:r w:rsidRPr="001F05F5">
        <w:t>the State</w:t>
      </w:r>
      <w:r w:rsidR="000D5A24">
        <w:t>'</w:t>
      </w:r>
      <w:r w:rsidRPr="001F05F5">
        <w:t>s goal</w:t>
      </w:r>
      <w:r w:rsidRPr="00B9755A">
        <w:t xml:space="preserve"> and purpose for offering the program. Additionally, the information </w:t>
      </w:r>
      <w:r w:rsidR="006A5931">
        <w:t>in Section 2 will complete the applicant's understanding of the specific considerations and requirements</w:t>
      </w:r>
      <w:r w:rsidRPr="00B9755A">
        <w:t xml:space="preserve"> to be considered and/or addressed in their project. </w:t>
      </w:r>
    </w:p>
    <w:p w14:paraId="330A3E60" w14:textId="77777777" w:rsidR="003D0331" w:rsidRDefault="003D0331" w:rsidP="003D0331">
      <w:r w:rsidRPr="00B9755A">
        <w:t xml:space="preserve">Please note that </w:t>
      </w:r>
      <w:r w:rsidRPr="001C30DC">
        <w:t>N.J.A.C</w:t>
      </w:r>
      <w:r w:rsidRPr="00B9755A">
        <w:t xml:space="preserve"> 6A:23A-7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14:paraId="2B07A9FD" w14:textId="77777777" w:rsidR="003D0331" w:rsidRDefault="003D0331" w:rsidP="003D0331">
      <w:r>
        <w:t>Successful grant applications will include:</w:t>
      </w:r>
    </w:p>
    <w:p w14:paraId="601122D4" w14:textId="00D8C275" w:rsidR="003D0331" w:rsidRDefault="6A7466AF" w:rsidP="003D0331">
      <w:pPr>
        <w:pStyle w:val="ListParagraph"/>
      </w:pPr>
      <w:r>
        <w:t>Successful completion of year</w:t>
      </w:r>
      <w:r w:rsidR="3E0D113E">
        <w:t>s</w:t>
      </w:r>
      <w:r>
        <w:t xml:space="preserve"> one</w:t>
      </w:r>
      <w:r w:rsidR="000340F3">
        <w:t>,</w:t>
      </w:r>
      <w:r w:rsidR="3E0D113E">
        <w:t xml:space="preserve"> two</w:t>
      </w:r>
      <w:r w:rsidR="000340F3">
        <w:t xml:space="preserve">, and </w:t>
      </w:r>
      <w:proofErr w:type="gramStart"/>
      <w:r w:rsidR="000340F3">
        <w:t>three</w:t>
      </w:r>
      <w:r>
        <w:t>;</w:t>
      </w:r>
      <w:proofErr w:type="gramEnd"/>
    </w:p>
    <w:p w14:paraId="0C7209A4" w14:textId="5AD50EB5" w:rsidR="003D0331" w:rsidRDefault="003D0331" w:rsidP="003D0331">
      <w:pPr>
        <w:pStyle w:val="ListParagraph"/>
      </w:pPr>
      <w:r>
        <w:t>Measurable activities that will lead to accomplishing the objectives and</w:t>
      </w:r>
    </w:p>
    <w:p w14:paraId="0DE89E44" w14:textId="77777777" w:rsidR="003D0331" w:rsidRDefault="003D0331" w:rsidP="003D0331">
      <w:pPr>
        <w:pStyle w:val="ListParagraph"/>
      </w:pPr>
      <w:r>
        <w:t>A budget that will lead to accomplishing the activities.</w:t>
      </w:r>
    </w:p>
    <w:p w14:paraId="300C4755" w14:textId="53160E07" w:rsidR="003D0331" w:rsidRDefault="003D0331" w:rsidP="003D0331">
      <w:pPr>
        <w:spacing w:after="120"/>
        <w:rPr>
          <w:rFonts w:cs="Calibri"/>
        </w:rPr>
      </w:pPr>
      <w:r>
        <w:rPr>
          <w:rFonts w:cs="Calibri"/>
        </w:rPr>
        <w:t xml:space="preserve">The State goal and purpose for offering the </w:t>
      </w:r>
      <w:r w:rsidRPr="004B1EC3">
        <w:rPr>
          <w:rFonts w:cs="Calibri"/>
        </w:rPr>
        <w:t xml:space="preserve">Building Capacity for Career Pathways in Comprehensive Schools </w:t>
      </w:r>
      <w:r>
        <w:rPr>
          <w:rFonts w:cs="Calibri"/>
        </w:rPr>
        <w:t>grant</w:t>
      </w:r>
      <w:r w:rsidRPr="003A0868">
        <w:rPr>
          <w:rFonts w:cs="Calibri"/>
        </w:rPr>
        <w:t xml:space="preserve"> is </w:t>
      </w:r>
      <w:r w:rsidR="000D5A24">
        <w:rPr>
          <w:rFonts w:cs="Calibri"/>
        </w:rPr>
        <w:t>"</w:t>
      </w:r>
      <w:r w:rsidRPr="003A0868">
        <w:rPr>
          <w:rFonts w:cs="Calibri"/>
        </w:rPr>
        <w:t>to increase access and opportunities for New Jersey students to participate in high-quality career and technical education programs in comprehensive high schools, delivered through career pathways leading to high-skill, high-wage</w:t>
      </w:r>
      <w:r w:rsidR="00327C5E">
        <w:rPr>
          <w:rFonts w:cs="Calibri"/>
        </w:rPr>
        <w:t>,</w:t>
      </w:r>
      <w:r w:rsidRPr="003A0868">
        <w:rPr>
          <w:rFonts w:cs="Calibri"/>
        </w:rPr>
        <w:t xml:space="preserve"> and in-demand careers.</w:t>
      </w:r>
      <w:r w:rsidR="000D5A24">
        <w:rPr>
          <w:rFonts w:cs="Calibri"/>
        </w:rPr>
        <w:t>"</w:t>
      </w:r>
      <w:r w:rsidRPr="003A0868">
        <w:rPr>
          <w:rFonts w:cs="Calibri"/>
        </w:rPr>
        <w:t xml:space="preserve"> Th</w:t>
      </w:r>
      <w:r>
        <w:rPr>
          <w:rFonts w:cs="Calibri"/>
        </w:rPr>
        <w:t>is</w:t>
      </w:r>
      <w:r w:rsidRPr="003A0868">
        <w:rPr>
          <w:rFonts w:cs="Calibri"/>
        </w:rPr>
        <w:t xml:space="preserve"> cohort will support</w:t>
      </w:r>
      <w:r>
        <w:rPr>
          <w:rFonts w:cs="Calibri"/>
        </w:rPr>
        <w:t xml:space="preserve"> comprehensive school</w:t>
      </w:r>
      <w:r w:rsidRPr="003A0868">
        <w:rPr>
          <w:rFonts w:cs="Calibri"/>
        </w:rPr>
        <w:t xml:space="preserve"> districts</w:t>
      </w:r>
      <w:r>
        <w:rPr>
          <w:rFonts w:cs="Calibri"/>
        </w:rPr>
        <w:t>, including regional school districts and charter schools, serving grades 9-12</w:t>
      </w:r>
      <w:r w:rsidRPr="003A0868">
        <w:rPr>
          <w:rFonts w:cs="Calibri"/>
        </w:rPr>
        <w:t xml:space="preserve"> </w:t>
      </w:r>
      <w:r>
        <w:rPr>
          <w:rFonts w:cs="Calibri"/>
        </w:rPr>
        <w:t>that currently do not have approved CTE programs or programs of study.</w:t>
      </w:r>
      <w:r w:rsidRPr="003A0868">
        <w:rPr>
          <w:rFonts w:cs="Calibri"/>
        </w:rPr>
        <w:t xml:space="preserve"> </w:t>
      </w:r>
      <w:r>
        <w:rPr>
          <w:rFonts w:cs="Calibri"/>
        </w:rPr>
        <w:t xml:space="preserve">Additionally, this cohort will assist districts that are seeking to </w:t>
      </w:r>
      <w:r w:rsidRPr="003A0868">
        <w:rPr>
          <w:rFonts w:cs="Calibri"/>
        </w:rPr>
        <w:t>plan and implement career pathway</w:t>
      </w:r>
      <w:r>
        <w:rPr>
          <w:rFonts w:cs="Calibri"/>
        </w:rPr>
        <w:t xml:space="preserve"> programs</w:t>
      </w:r>
      <w:r w:rsidRPr="003A0868">
        <w:rPr>
          <w:rFonts w:cs="Calibri"/>
        </w:rPr>
        <w:t xml:space="preserve"> as a </w:t>
      </w:r>
      <w:r>
        <w:rPr>
          <w:rFonts w:cs="Calibri"/>
        </w:rPr>
        <w:t>strategy</w:t>
      </w:r>
      <w:r w:rsidRPr="003A0868">
        <w:rPr>
          <w:rFonts w:cs="Calibri"/>
        </w:rPr>
        <w:t xml:space="preserve"> to </w:t>
      </w:r>
      <w:r>
        <w:rPr>
          <w:rFonts w:cs="Calibri"/>
        </w:rPr>
        <w:t xml:space="preserve">equitably </w:t>
      </w:r>
      <w:r w:rsidRPr="003A0868">
        <w:rPr>
          <w:rFonts w:cs="Calibri"/>
        </w:rPr>
        <w:t xml:space="preserve">improve student achievement, postsecondary and career outcomes linked to New Jersey </w:t>
      </w:r>
      <w:r>
        <w:rPr>
          <w:rFonts w:cs="Calibri"/>
        </w:rPr>
        <w:t>K</w:t>
      </w:r>
      <w:r w:rsidRPr="003A0868">
        <w:rPr>
          <w:rFonts w:cs="Calibri"/>
        </w:rPr>
        <w:t xml:space="preserve">ey </w:t>
      </w:r>
      <w:r>
        <w:rPr>
          <w:rFonts w:cs="Calibri"/>
        </w:rPr>
        <w:t>I</w:t>
      </w:r>
      <w:r w:rsidRPr="003A0868">
        <w:rPr>
          <w:rFonts w:cs="Calibri"/>
        </w:rPr>
        <w:t>ndustries</w:t>
      </w:r>
      <w:r>
        <w:rPr>
          <w:rFonts w:cs="Calibri"/>
        </w:rPr>
        <w:t xml:space="preserve"> identified by NJDOL: </w:t>
      </w:r>
    </w:p>
    <w:p w14:paraId="62195D4C" w14:textId="77777777" w:rsidR="003D0331" w:rsidRPr="00DB5368" w:rsidRDefault="003D0331" w:rsidP="00442C8B">
      <w:pPr>
        <w:pStyle w:val="ListParagraph"/>
        <w:numPr>
          <w:ilvl w:val="0"/>
          <w:numId w:val="20"/>
        </w:numPr>
        <w:rPr>
          <w:bCs/>
        </w:rPr>
      </w:pPr>
      <w:r w:rsidRPr="00DB5368">
        <w:t xml:space="preserve">Construction and </w:t>
      </w:r>
      <w:proofErr w:type="gramStart"/>
      <w:r w:rsidRPr="00DB5368">
        <w:t>Energy</w:t>
      </w:r>
      <w:r>
        <w:t>;</w:t>
      </w:r>
      <w:proofErr w:type="gramEnd"/>
    </w:p>
    <w:p w14:paraId="021D0926" w14:textId="77777777" w:rsidR="003D0331" w:rsidRPr="00DB5368" w:rsidRDefault="003D0331" w:rsidP="00442C8B">
      <w:pPr>
        <w:pStyle w:val="ListParagraph"/>
        <w:numPr>
          <w:ilvl w:val="0"/>
          <w:numId w:val="20"/>
        </w:numPr>
      </w:pPr>
      <w:proofErr w:type="gramStart"/>
      <w:r>
        <w:t>Finance;</w:t>
      </w:r>
      <w:proofErr w:type="gramEnd"/>
    </w:p>
    <w:p w14:paraId="2EF4B6CB" w14:textId="77777777" w:rsidR="003D0331" w:rsidRPr="00DB5368" w:rsidRDefault="003D0331" w:rsidP="00442C8B">
      <w:pPr>
        <w:pStyle w:val="ListParagraph"/>
        <w:numPr>
          <w:ilvl w:val="0"/>
          <w:numId w:val="20"/>
        </w:numPr>
        <w:rPr>
          <w:bCs/>
        </w:rPr>
      </w:pPr>
      <w:r w:rsidRPr="00DB5368">
        <w:t xml:space="preserve">Health </w:t>
      </w:r>
      <w:proofErr w:type="gramStart"/>
      <w:r w:rsidRPr="00DB5368">
        <w:t>Care</w:t>
      </w:r>
      <w:r>
        <w:t>;</w:t>
      </w:r>
      <w:proofErr w:type="gramEnd"/>
    </w:p>
    <w:p w14:paraId="7D15683B" w14:textId="77777777" w:rsidR="003D0331" w:rsidRPr="00DB5368" w:rsidRDefault="003D0331" w:rsidP="00442C8B">
      <w:pPr>
        <w:pStyle w:val="ListParagraph"/>
        <w:numPr>
          <w:ilvl w:val="0"/>
          <w:numId w:val="20"/>
        </w:numPr>
        <w:rPr>
          <w:bCs/>
        </w:rPr>
      </w:pPr>
      <w:r>
        <w:t xml:space="preserve">Leisure and </w:t>
      </w:r>
      <w:proofErr w:type="gramStart"/>
      <w:r>
        <w:t>Hospitality;</w:t>
      </w:r>
      <w:proofErr w:type="gramEnd"/>
    </w:p>
    <w:p w14:paraId="394C9226" w14:textId="77777777" w:rsidR="003D0331" w:rsidRPr="00DB5368" w:rsidRDefault="003D0331" w:rsidP="00442C8B">
      <w:pPr>
        <w:pStyle w:val="ListParagraph"/>
        <w:numPr>
          <w:ilvl w:val="0"/>
          <w:numId w:val="20"/>
        </w:numPr>
        <w:rPr>
          <w:bCs/>
        </w:rPr>
      </w:pPr>
      <w:r>
        <w:t xml:space="preserve">Life </w:t>
      </w:r>
      <w:proofErr w:type="gramStart"/>
      <w:r>
        <w:t>Sciences;</w:t>
      </w:r>
      <w:proofErr w:type="gramEnd"/>
    </w:p>
    <w:p w14:paraId="498F993D" w14:textId="77777777" w:rsidR="003D0331" w:rsidRPr="00DB5368" w:rsidRDefault="003D0331" w:rsidP="00442C8B">
      <w:pPr>
        <w:pStyle w:val="ListParagraph"/>
        <w:numPr>
          <w:ilvl w:val="0"/>
          <w:numId w:val="20"/>
        </w:numPr>
      </w:pPr>
      <w:r w:rsidRPr="00DB5368">
        <w:t>Transportation, Logistics</w:t>
      </w:r>
      <w:r>
        <w:t>,</w:t>
      </w:r>
      <w:r w:rsidRPr="00DB5368">
        <w:t xml:space="preserve"> and </w:t>
      </w:r>
      <w:proofErr w:type="gramStart"/>
      <w:r w:rsidRPr="00DB5368">
        <w:t>Distribution</w:t>
      </w:r>
      <w:r>
        <w:t>;</w:t>
      </w:r>
      <w:proofErr w:type="gramEnd"/>
    </w:p>
    <w:p w14:paraId="24F6A668" w14:textId="77777777" w:rsidR="003D0331" w:rsidRDefault="003D0331" w:rsidP="00442C8B">
      <w:pPr>
        <w:pStyle w:val="ListParagraph"/>
        <w:numPr>
          <w:ilvl w:val="0"/>
          <w:numId w:val="20"/>
        </w:numPr>
      </w:pPr>
      <w:proofErr w:type="gramStart"/>
      <w:r>
        <w:t>Manufacturing;</w:t>
      </w:r>
      <w:proofErr w:type="gramEnd"/>
    </w:p>
    <w:p w14:paraId="255AB72E" w14:textId="77777777" w:rsidR="003D0331" w:rsidRDefault="003D0331" w:rsidP="00442C8B">
      <w:pPr>
        <w:pStyle w:val="ListParagraph"/>
        <w:numPr>
          <w:ilvl w:val="0"/>
          <w:numId w:val="20"/>
        </w:numPr>
      </w:pPr>
      <w:r>
        <w:t xml:space="preserve">Retail Trade; and </w:t>
      </w:r>
    </w:p>
    <w:p w14:paraId="2432198F" w14:textId="77777777" w:rsidR="003D0331" w:rsidRPr="00C01BF8" w:rsidRDefault="003D0331" w:rsidP="00442C8B">
      <w:pPr>
        <w:pStyle w:val="ListParagraph"/>
        <w:numPr>
          <w:ilvl w:val="0"/>
          <w:numId w:val="20"/>
        </w:numPr>
      </w:pPr>
      <w:r>
        <w:t>Technology.</w:t>
      </w:r>
    </w:p>
    <w:p w14:paraId="310B3F1E" w14:textId="75DEEE2D" w:rsidR="003D0331" w:rsidRDefault="003D0331" w:rsidP="003D0331">
      <w:pPr>
        <w:spacing w:after="120"/>
        <w:rPr>
          <w:rFonts w:cs="Calibri"/>
        </w:rPr>
      </w:pPr>
      <w:r>
        <w:rPr>
          <w:rFonts w:cs="Calibri"/>
        </w:rPr>
        <w:t xml:space="preserve">The development of career pathways </w:t>
      </w:r>
      <w:r w:rsidRPr="004B1EC3">
        <w:rPr>
          <w:rFonts w:cs="Calibri"/>
        </w:rPr>
        <w:t>support</w:t>
      </w:r>
      <w:r>
        <w:rPr>
          <w:rFonts w:cs="Calibri"/>
        </w:rPr>
        <w:t>s</w:t>
      </w:r>
      <w:r w:rsidRPr="004B1EC3">
        <w:rPr>
          <w:rFonts w:cs="Calibri"/>
        </w:rPr>
        <w:t xml:space="preserve"> the strategic goals identified in the </w:t>
      </w:r>
      <w:hyperlink r:id="rId21" w:history="1">
        <w:r w:rsidRPr="00C35334">
          <w:rPr>
            <w:rStyle w:val="Hyperlink"/>
            <w:rFonts w:eastAsia="SimSun" w:cs="Calibri"/>
          </w:rPr>
          <w:t>New Jersey Perkins V State Plan</w:t>
        </w:r>
      </w:hyperlink>
      <w:r>
        <w:rPr>
          <w:rFonts w:cs="Calibri"/>
        </w:rPr>
        <w:t xml:space="preserve">: </w:t>
      </w:r>
      <w:r w:rsidRPr="004B1EC3">
        <w:rPr>
          <w:rFonts w:cs="Calibri"/>
        </w:rPr>
        <w:t>quality programs, work-based learning, career advisement</w:t>
      </w:r>
      <w:r w:rsidR="00327C5E">
        <w:rPr>
          <w:rFonts w:cs="Calibri"/>
        </w:rPr>
        <w:t>,</w:t>
      </w:r>
      <w:r w:rsidRPr="004B1EC3">
        <w:rPr>
          <w:rFonts w:cs="Calibri"/>
        </w:rPr>
        <w:t xml:space="preserve"> and development, and CTE teacher recruitment and retention and will provide the necessary groundwork for students to pursue and receive equitable career education and talent development in New Jersey</w:t>
      </w:r>
      <w:r w:rsidR="000D5A24">
        <w:rPr>
          <w:rFonts w:cs="Calibri"/>
        </w:rPr>
        <w:t>'</w:t>
      </w:r>
      <w:r w:rsidRPr="004B1EC3">
        <w:rPr>
          <w:rFonts w:cs="Calibri"/>
        </w:rPr>
        <w:t>s school districts. Th</w:t>
      </w:r>
      <w:r>
        <w:rPr>
          <w:rFonts w:cs="Calibri"/>
        </w:rPr>
        <w:t>is grant</w:t>
      </w:r>
      <w:r w:rsidRPr="004B1EC3">
        <w:rPr>
          <w:rFonts w:cs="Calibri"/>
        </w:rPr>
        <w:t xml:space="preserve"> will help build upon New Jersey</w:t>
      </w:r>
      <w:r w:rsidR="000D5A24">
        <w:rPr>
          <w:rFonts w:cs="Calibri"/>
        </w:rPr>
        <w:t>'</w:t>
      </w:r>
      <w:r w:rsidRPr="004B1EC3">
        <w:rPr>
          <w:rFonts w:cs="Calibri"/>
        </w:rPr>
        <w:t>s highly educated and skilled workforce with a focus on innovation and diversity</w:t>
      </w:r>
      <w:r w:rsidR="00327C5E">
        <w:rPr>
          <w:rFonts w:cs="Calibri"/>
        </w:rPr>
        <w:t>,</w:t>
      </w:r>
      <w:r w:rsidRPr="004B1EC3">
        <w:rPr>
          <w:rFonts w:cs="Calibri"/>
        </w:rPr>
        <w:t xml:space="preserve"> which are the foundation of our economy. </w:t>
      </w:r>
    </w:p>
    <w:p w14:paraId="17813645" w14:textId="6564B524" w:rsidR="003D0331" w:rsidRPr="008B36CB" w:rsidRDefault="003D0331" w:rsidP="003D0331">
      <w:r>
        <w:lastRenderedPageBreak/>
        <w:t xml:space="preserve">Continuation funding will be available to the </w:t>
      </w:r>
      <w:r w:rsidR="7399C66C">
        <w:t>three</w:t>
      </w:r>
      <w:r>
        <w:t xml:space="preserve"> awarded districts </w:t>
      </w:r>
      <w:r w:rsidR="007E5964">
        <w:t>selected in year one, including comprehensive</w:t>
      </w:r>
      <w:r>
        <w:t xml:space="preserve"> and regional school districts serving grades 9-12. This NGO is for the project period </w:t>
      </w:r>
      <w:r w:rsidR="00CA4BDF">
        <w:t>February</w:t>
      </w:r>
      <w:r>
        <w:t xml:space="preserve"> 1, 202</w:t>
      </w:r>
      <w:r w:rsidR="000340F3">
        <w:t>5</w:t>
      </w:r>
      <w:r w:rsidR="00327C5E">
        <w:t>,</w:t>
      </w:r>
      <w:r>
        <w:t xml:space="preserve"> through </w:t>
      </w:r>
      <w:r w:rsidR="00CA4BDF">
        <w:t>J</w:t>
      </w:r>
      <w:r w:rsidR="00AA42FE">
        <w:t>anuary 31</w:t>
      </w:r>
      <w:r>
        <w:t>, 202</w:t>
      </w:r>
      <w:r w:rsidR="000340F3">
        <w:t>6</w:t>
      </w:r>
      <w:r>
        <w:t>. The activities during this project period fall into two phases</w:t>
      </w:r>
      <w:r w:rsidR="00327C5E">
        <w:t>,</w:t>
      </w:r>
      <w:r>
        <w:t xml:space="preserve"> as described below:</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635"/>
        <w:gridCol w:w="4860"/>
      </w:tblGrid>
      <w:tr w:rsidR="003D0331" w:rsidRPr="00210569" w14:paraId="7A21B50F" w14:textId="77777777" w:rsidTr="1AE24D0C">
        <w:trPr>
          <w:trHeight w:val="265"/>
          <w:tblHeader/>
          <w:jc w:val="center"/>
        </w:trPr>
        <w:tc>
          <w:tcPr>
            <w:tcW w:w="1860" w:type="dxa"/>
            <w:shd w:val="clear" w:color="auto" w:fill="auto"/>
          </w:tcPr>
          <w:p w14:paraId="530BBCC6" w14:textId="77777777" w:rsidR="003D0331" w:rsidRPr="00276080" w:rsidRDefault="003D0331" w:rsidP="00283387">
            <w:pPr>
              <w:rPr>
                <w:rStyle w:val="Strong"/>
              </w:rPr>
            </w:pPr>
            <w:r w:rsidRPr="00276080">
              <w:rPr>
                <w:rStyle w:val="Strong"/>
              </w:rPr>
              <w:t>Phase</w:t>
            </w:r>
          </w:p>
        </w:tc>
        <w:tc>
          <w:tcPr>
            <w:tcW w:w="2635" w:type="dxa"/>
            <w:shd w:val="clear" w:color="auto" w:fill="auto"/>
          </w:tcPr>
          <w:p w14:paraId="0455CB41" w14:textId="77777777" w:rsidR="003D0331" w:rsidRPr="00276080" w:rsidRDefault="003D0331" w:rsidP="00283387">
            <w:pPr>
              <w:rPr>
                <w:rStyle w:val="Strong"/>
              </w:rPr>
            </w:pPr>
            <w:r>
              <w:rPr>
                <w:rStyle w:val="Strong"/>
              </w:rPr>
              <w:t>Dates</w:t>
            </w:r>
          </w:p>
        </w:tc>
        <w:tc>
          <w:tcPr>
            <w:tcW w:w="4860" w:type="dxa"/>
            <w:shd w:val="clear" w:color="auto" w:fill="auto"/>
          </w:tcPr>
          <w:p w14:paraId="6A632F7D" w14:textId="77777777" w:rsidR="003D0331" w:rsidRPr="00276080" w:rsidRDefault="003D0331" w:rsidP="00283387">
            <w:pPr>
              <w:rPr>
                <w:rStyle w:val="Strong"/>
              </w:rPr>
            </w:pPr>
            <w:r w:rsidRPr="00276080">
              <w:rPr>
                <w:rStyle w:val="Strong"/>
              </w:rPr>
              <w:t>Description</w:t>
            </w:r>
            <w:r>
              <w:rPr>
                <w:rStyle w:val="Strong"/>
              </w:rPr>
              <w:t xml:space="preserve"> of Activities</w:t>
            </w:r>
          </w:p>
        </w:tc>
      </w:tr>
      <w:tr w:rsidR="003D0331" w:rsidRPr="00210569" w14:paraId="4C0C87FF" w14:textId="77777777" w:rsidTr="1AE24D0C">
        <w:trPr>
          <w:trHeight w:val="701"/>
          <w:jc w:val="center"/>
        </w:trPr>
        <w:tc>
          <w:tcPr>
            <w:tcW w:w="1860" w:type="dxa"/>
            <w:shd w:val="clear" w:color="auto" w:fill="auto"/>
          </w:tcPr>
          <w:p w14:paraId="0F75235A" w14:textId="77777777" w:rsidR="003D0331" w:rsidRDefault="003D0331" w:rsidP="00283387">
            <w:pPr>
              <w:spacing w:after="0"/>
            </w:pPr>
            <w:r w:rsidRPr="00210569">
              <w:t>Phase Two</w:t>
            </w:r>
            <w:r>
              <w:t>:</w:t>
            </w:r>
          </w:p>
          <w:p w14:paraId="1BD9F87B" w14:textId="77777777" w:rsidR="003D0331" w:rsidRPr="00210569" w:rsidRDefault="003D0331" w:rsidP="00283387">
            <w:pPr>
              <w:spacing w:after="0"/>
            </w:pPr>
            <w:r>
              <w:t>Implementation</w:t>
            </w:r>
          </w:p>
        </w:tc>
        <w:tc>
          <w:tcPr>
            <w:tcW w:w="2635" w:type="dxa"/>
            <w:shd w:val="clear" w:color="auto" w:fill="auto"/>
          </w:tcPr>
          <w:p w14:paraId="141E56C9" w14:textId="77777777" w:rsidR="003D0331" w:rsidRPr="00210569" w:rsidRDefault="003D0331" w:rsidP="00283387">
            <w:r w:rsidRPr="00CC5BF8">
              <w:t xml:space="preserve">September 1, </w:t>
            </w:r>
            <w:proofErr w:type="gramStart"/>
            <w:r w:rsidRPr="00CC5BF8">
              <w:t>2022</w:t>
            </w:r>
            <w:proofErr w:type="gramEnd"/>
            <w:r>
              <w:t xml:space="preserve"> to </w:t>
            </w:r>
            <w:r>
              <w:br/>
              <w:t>January 31, 2026</w:t>
            </w:r>
          </w:p>
        </w:tc>
        <w:tc>
          <w:tcPr>
            <w:tcW w:w="4860" w:type="dxa"/>
            <w:shd w:val="clear" w:color="auto" w:fill="auto"/>
          </w:tcPr>
          <w:p w14:paraId="6AF41729" w14:textId="474E932B" w:rsidR="003D0331" w:rsidRDefault="003D0331" w:rsidP="00283387">
            <w:r>
              <w:t>C</w:t>
            </w:r>
            <w:r w:rsidRPr="00210569">
              <w:t>oncentrate on implementing, supporting, and evaluating the career pathways and supports realized through high</w:t>
            </w:r>
            <w:r w:rsidR="00327C5E">
              <w:t>-</w:t>
            </w:r>
            <w:r w:rsidRPr="00210569">
              <w:t>quality CTE programs of study created in Phase</w:t>
            </w:r>
            <w:r>
              <w:t xml:space="preserve"> </w:t>
            </w:r>
            <w:proofErr w:type="gramStart"/>
            <w:r w:rsidRPr="00210569">
              <w:t>One</w:t>
            </w:r>
            <w:r>
              <w:t>;</w:t>
            </w:r>
            <w:proofErr w:type="gramEnd"/>
          </w:p>
          <w:p w14:paraId="31297E4D" w14:textId="79B1F397" w:rsidR="003D0331" w:rsidRDefault="003D0331" w:rsidP="00283387">
            <w:r>
              <w:t>The first CTE program of study must be implemented no later than September 2022</w:t>
            </w:r>
            <w:r w:rsidR="00327C5E">
              <w:t>,</w:t>
            </w:r>
            <w:r>
              <w:t xml:space="preserve"> and</w:t>
            </w:r>
          </w:p>
          <w:p w14:paraId="1FDF13EF" w14:textId="3ADAD52D" w:rsidR="003D0331" w:rsidRPr="00210569" w:rsidRDefault="003D0331" w:rsidP="00283387">
            <w:r>
              <w:t>The second CTE program of study will be implemented no later than September 2025</w:t>
            </w:r>
            <w:r w:rsidR="00327C5E">
              <w:t>,</w:t>
            </w:r>
            <w:r>
              <w:t xml:space="preserve"> with the option for the grantee to begin sooner if the district demonstrates capacity.</w:t>
            </w:r>
          </w:p>
        </w:tc>
      </w:tr>
    </w:tbl>
    <w:p w14:paraId="17CA291E" w14:textId="77777777" w:rsidR="003D0331" w:rsidRDefault="003D0331" w:rsidP="003D0331">
      <w:pPr>
        <w:spacing w:before="120" w:after="120"/>
        <w:rPr>
          <w:rFonts w:cs="Calibri"/>
        </w:rPr>
      </w:pPr>
      <w:r>
        <w:rPr>
          <w:rFonts w:cs="Calibri"/>
        </w:rPr>
        <w:t>While conducting planning and research for a career pathway program, applicants should review the following:</w:t>
      </w:r>
    </w:p>
    <w:p w14:paraId="41981174" w14:textId="77777777" w:rsidR="003D0331" w:rsidRDefault="003D0331" w:rsidP="00442C8B">
      <w:pPr>
        <w:pStyle w:val="ListParagraph"/>
        <w:numPr>
          <w:ilvl w:val="0"/>
          <w:numId w:val="21"/>
        </w:numPr>
      </w:pPr>
      <w:r>
        <w:t xml:space="preserve">Review the CTE program of study </w:t>
      </w:r>
      <w:hyperlink r:id="rId22" w:history="1">
        <w:r w:rsidRPr="00123421">
          <w:rPr>
            <w:rStyle w:val="Hyperlink"/>
            <w:rFonts w:eastAsia="SimSun"/>
          </w:rPr>
          <w:t>CTE-DMS system guide</w:t>
        </w:r>
      </w:hyperlink>
      <w:r>
        <w:t xml:space="preserve"> for information on submitting a CTE program of study for approval.</w:t>
      </w:r>
    </w:p>
    <w:p w14:paraId="01E279C5" w14:textId="11934460" w:rsidR="003D0331" w:rsidRPr="00B022B3" w:rsidRDefault="003D0331" w:rsidP="00442C8B">
      <w:pPr>
        <w:pStyle w:val="ListParagraph"/>
        <w:numPr>
          <w:ilvl w:val="0"/>
          <w:numId w:val="21"/>
        </w:numPr>
      </w:pPr>
      <w:r w:rsidRPr="00B022B3">
        <w:t xml:space="preserve">Create a career pathway based on the needs of your school district and those of the local, regional, and/or State labor market. Some programs are costlier than others to implement and maintain because of the cost of equipment and supplies. Applicants must be fiscally responsible </w:t>
      </w:r>
      <w:r w:rsidR="00327C5E">
        <w:t>for</w:t>
      </w:r>
      <w:r w:rsidRPr="00B022B3">
        <w:t xml:space="preserve"> strategic plan</w:t>
      </w:r>
      <w:r w:rsidR="00951D19">
        <w:t>ning</w:t>
      </w:r>
      <w:r w:rsidRPr="00B022B3">
        <w:t xml:space="preserve"> and administer all grant funds when implementing their career pathway CTE programs of study.</w:t>
      </w:r>
    </w:p>
    <w:p w14:paraId="686619E2" w14:textId="2B38582F" w:rsidR="003D0331" w:rsidRDefault="003D0331" w:rsidP="00442C8B">
      <w:pPr>
        <w:pStyle w:val="ListParagraph"/>
        <w:numPr>
          <w:ilvl w:val="0"/>
          <w:numId w:val="21"/>
        </w:numPr>
      </w:pPr>
      <w:r>
        <w:t xml:space="preserve">Review the </w:t>
      </w:r>
      <w:hyperlink r:id="rId23" w:history="1">
        <w:r w:rsidRPr="00927FA5">
          <w:rPr>
            <w:rStyle w:val="Hyperlink"/>
            <w:rFonts w:eastAsia="SimSun"/>
          </w:rPr>
          <w:t>New Jersey Perkins V State Plan</w:t>
        </w:r>
      </w:hyperlink>
      <w:r>
        <w:t xml:space="preserve"> for size, secondary scope, and quality information. Also found in the New Jersey Comprehensive Local Needs Assessment (</w:t>
      </w:r>
      <w:hyperlink r:id="rId24" w:history="1">
        <w:r w:rsidRPr="00123421">
          <w:rPr>
            <w:rStyle w:val="Hyperlink"/>
            <w:rFonts w:eastAsia="SimSun"/>
          </w:rPr>
          <w:t>CLNA</w:t>
        </w:r>
      </w:hyperlink>
      <w:r>
        <w:t>) guide and template. A CTE program of study must contain a minimum enrollment of 10 students in the first course</w:t>
      </w:r>
      <w:r w:rsidR="00951D19">
        <w:t>,</w:t>
      </w:r>
      <w:r>
        <w:t xml:space="preserve"> and the programs of study must retain 40% of participants initially enrolled through their </w:t>
      </w:r>
      <w:r w:rsidR="007E5964">
        <w:t>program completion</w:t>
      </w:r>
      <w:r>
        <w:t>.</w:t>
      </w:r>
    </w:p>
    <w:p w14:paraId="2FFBF076" w14:textId="77777777" w:rsidR="003D0331" w:rsidRDefault="003D0331" w:rsidP="00442C8B">
      <w:pPr>
        <w:pStyle w:val="ListParagraph"/>
        <w:numPr>
          <w:ilvl w:val="0"/>
          <w:numId w:val="22"/>
        </w:numPr>
      </w:pPr>
      <w:r>
        <w:t xml:space="preserve">Establish a Career Pathways Program Advisory Team consisting of: </w:t>
      </w:r>
    </w:p>
    <w:p w14:paraId="6F44A4EC" w14:textId="77777777" w:rsidR="003D0331" w:rsidRPr="00443AA7" w:rsidRDefault="003D0331" w:rsidP="00442C8B">
      <w:pPr>
        <w:pStyle w:val="ListParagraph"/>
        <w:numPr>
          <w:ilvl w:val="0"/>
          <w:numId w:val="25"/>
        </w:numPr>
      </w:pPr>
      <w:r w:rsidRPr="00443AA7">
        <w:t xml:space="preserve">Central office and building </w:t>
      </w:r>
      <w:proofErr w:type="gramStart"/>
      <w:r w:rsidRPr="00443AA7">
        <w:t>administrators;</w:t>
      </w:r>
      <w:proofErr w:type="gramEnd"/>
      <w:r w:rsidRPr="00443AA7">
        <w:t xml:space="preserve"> </w:t>
      </w:r>
    </w:p>
    <w:p w14:paraId="3777EB92" w14:textId="77777777" w:rsidR="003D0331" w:rsidRPr="00443AA7" w:rsidRDefault="003D0331" w:rsidP="00442C8B">
      <w:pPr>
        <w:pStyle w:val="ListParagraph"/>
        <w:numPr>
          <w:ilvl w:val="0"/>
          <w:numId w:val="25"/>
        </w:numPr>
      </w:pPr>
      <w:r w:rsidRPr="00443AA7">
        <w:t xml:space="preserve">Director of school counseling/guidance </w:t>
      </w:r>
      <w:proofErr w:type="gramStart"/>
      <w:r w:rsidRPr="00443AA7">
        <w:t>director;</w:t>
      </w:r>
      <w:proofErr w:type="gramEnd"/>
    </w:p>
    <w:p w14:paraId="0E950101" w14:textId="77777777" w:rsidR="003D0331" w:rsidRPr="00443AA7" w:rsidRDefault="003D0331" w:rsidP="00442C8B">
      <w:pPr>
        <w:pStyle w:val="ListParagraph"/>
        <w:numPr>
          <w:ilvl w:val="0"/>
          <w:numId w:val="25"/>
        </w:numPr>
      </w:pPr>
      <w:r w:rsidRPr="00443AA7">
        <w:t xml:space="preserve">Curriculum </w:t>
      </w:r>
      <w:proofErr w:type="gramStart"/>
      <w:r w:rsidRPr="00443AA7">
        <w:t>lead;</w:t>
      </w:r>
      <w:proofErr w:type="gramEnd"/>
    </w:p>
    <w:p w14:paraId="0554495A" w14:textId="7A80F919" w:rsidR="003D0331" w:rsidRPr="00443AA7" w:rsidRDefault="003D0331" w:rsidP="00442C8B">
      <w:pPr>
        <w:pStyle w:val="ListParagraph"/>
        <w:numPr>
          <w:ilvl w:val="0"/>
          <w:numId w:val="25"/>
        </w:numPr>
      </w:pPr>
      <w:r w:rsidRPr="00443AA7">
        <w:t>Teaching leads to operat</w:t>
      </w:r>
      <w:r w:rsidR="00951D19">
        <w:t>e</w:t>
      </w:r>
      <w:r w:rsidRPr="00443AA7">
        <w:t xml:space="preserve"> effective career pathways </w:t>
      </w:r>
      <w:r w:rsidR="00E46435">
        <w:t xml:space="preserve">in </w:t>
      </w:r>
      <w:r w:rsidRPr="00443AA7">
        <w:t xml:space="preserve">CTE programs of </w:t>
      </w:r>
      <w:proofErr w:type="gramStart"/>
      <w:r w:rsidRPr="00443AA7">
        <w:t>study;</w:t>
      </w:r>
      <w:proofErr w:type="gramEnd"/>
    </w:p>
    <w:p w14:paraId="0D8EA7D6" w14:textId="77777777" w:rsidR="003D0331" w:rsidRPr="00443AA7" w:rsidRDefault="003D0331" w:rsidP="00442C8B">
      <w:pPr>
        <w:pStyle w:val="ListParagraph"/>
        <w:numPr>
          <w:ilvl w:val="0"/>
          <w:numId w:val="25"/>
        </w:numPr>
      </w:pPr>
      <w:r w:rsidRPr="00443AA7">
        <w:t xml:space="preserve">Industry </w:t>
      </w:r>
      <w:proofErr w:type="gramStart"/>
      <w:r w:rsidRPr="00443AA7">
        <w:t>partners;</w:t>
      </w:r>
      <w:proofErr w:type="gramEnd"/>
    </w:p>
    <w:p w14:paraId="34C981AD" w14:textId="77777777" w:rsidR="003D0331" w:rsidRPr="00443AA7" w:rsidRDefault="003D0331" w:rsidP="00442C8B">
      <w:pPr>
        <w:pStyle w:val="ListParagraph"/>
        <w:numPr>
          <w:ilvl w:val="0"/>
          <w:numId w:val="25"/>
        </w:numPr>
      </w:pPr>
      <w:r w:rsidRPr="00443AA7">
        <w:t>Postsecondary partner</w:t>
      </w:r>
      <w:r>
        <w:t>s</w:t>
      </w:r>
      <w:r w:rsidRPr="00443AA7">
        <w:t>;</w:t>
      </w:r>
      <w:r>
        <w:t xml:space="preserve"> and</w:t>
      </w:r>
    </w:p>
    <w:p w14:paraId="3180A7E2" w14:textId="77777777" w:rsidR="003D0331" w:rsidRPr="00D32314" w:rsidRDefault="003D0331" w:rsidP="00442C8B">
      <w:pPr>
        <w:pStyle w:val="ListParagraph"/>
        <w:numPr>
          <w:ilvl w:val="0"/>
          <w:numId w:val="25"/>
        </w:numPr>
      </w:pPr>
      <w:r w:rsidRPr="00D32314">
        <w:t>Additional partners who represent community organizations or business partnerships that are established throughout the grant program.</w:t>
      </w:r>
    </w:p>
    <w:p w14:paraId="2FB5615E" w14:textId="192F1458" w:rsidR="003D0331" w:rsidRDefault="003D0331" w:rsidP="003D0331">
      <w:pPr>
        <w:pStyle w:val="ListParagraph"/>
      </w:pPr>
      <w:r>
        <w:lastRenderedPageBreak/>
        <w:t>Ensure e</w:t>
      </w:r>
      <w:r w:rsidRPr="008B36CB">
        <w:t>ngage</w:t>
      </w:r>
      <w:r>
        <w:t>ment</w:t>
      </w:r>
      <w:r w:rsidRPr="008B36CB">
        <w:t xml:space="preserve"> in an intensive</w:t>
      </w:r>
      <w:r>
        <w:t>, required</w:t>
      </w:r>
      <w:r w:rsidRPr="008B36CB">
        <w:t xml:space="preserve"> pro</w:t>
      </w:r>
      <w:r w:rsidR="008A3D3F">
        <w:t>fessional development program</w:t>
      </w:r>
      <w:r w:rsidRPr="008B36CB">
        <w:t xml:space="preserve"> provided by </w:t>
      </w:r>
      <w:r>
        <w:t xml:space="preserve">the school district, </w:t>
      </w:r>
      <w:r w:rsidRPr="008B36CB">
        <w:t>NJDOE</w:t>
      </w:r>
      <w:r>
        <w:t xml:space="preserve">, </w:t>
      </w:r>
      <w:r w:rsidRPr="008B36CB">
        <w:t>identified partners</w:t>
      </w:r>
      <w:r>
        <w:t>, and/or other outside vendors</w:t>
      </w:r>
      <w:r w:rsidRPr="008B36CB">
        <w:t>.</w:t>
      </w:r>
      <w:r>
        <w:t xml:space="preserve"> </w:t>
      </w:r>
      <w:r w:rsidRPr="00831898">
        <w:t xml:space="preserve">The district must commit to having </w:t>
      </w:r>
      <w:r w:rsidR="008A3D3F">
        <w:t>Career Pathways Program Advisory Team members</w:t>
      </w:r>
      <w:r w:rsidRPr="00831898">
        <w:t xml:space="preserve"> participate in planned professional development sessions throughout the grant period.</w:t>
      </w:r>
      <w:r>
        <w:t xml:space="preserve"> The t</w:t>
      </w:r>
      <w:r w:rsidRPr="00831898">
        <w:t xml:space="preserve">raining </w:t>
      </w:r>
      <w:r>
        <w:t>provided by the NJDOE will include a</w:t>
      </w:r>
      <w:r w:rsidRPr="00831898">
        <w:t xml:space="preserve"> variety of experts</w:t>
      </w:r>
      <w:r w:rsidR="00E46435">
        <w:t>,</w:t>
      </w:r>
      <w:r w:rsidRPr="00831898">
        <w:t xml:space="preserve"> including NJDOE staff, related </w:t>
      </w:r>
      <w:r w:rsidR="005957FC">
        <w:t>S</w:t>
      </w:r>
      <w:r w:rsidRPr="00831898">
        <w:t>tate and/or federal agency staff, educational consultants, and industry and postsecondary partners</w:t>
      </w:r>
      <w:r>
        <w:t>.</w:t>
      </w:r>
    </w:p>
    <w:p w14:paraId="5C652BF0" w14:textId="3F3CCEB9" w:rsidR="003D0331" w:rsidRDefault="003D0331" w:rsidP="003D0331">
      <w:pPr>
        <w:pStyle w:val="ListParagraph"/>
      </w:pPr>
      <w:r>
        <w:t xml:space="preserve">Research and include student support programs and other methodologies to aid in </w:t>
      </w:r>
      <w:r w:rsidR="008A3D3F">
        <w:t>recruiting and enrolling</w:t>
      </w:r>
      <w:r>
        <w:t xml:space="preserve"> a diverse student population into the career pathway CTE program of study through an </w:t>
      </w:r>
      <w:r w:rsidRPr="00463915">
        <w:rPr>
          <w:rFonts w:cs="Calibri"/>
        </w:rPr>
        <w:t>extended school day</w:t>
      </w:r>
      <w:r>
        <w:rPr>
          <w:rFonts w:cs="Calibri"/>
        </w:rPr>
        <w:t xml:space="preserve"> or </w:t>
      </w:r>
      <w:r w:rsidRPr="00463915">
        <w:rPr>
          <w:rFonts w:cs="Calibri"/>
        </w:rPr>
        <w:t>year</w:t>
      </w:r>
      <w:r>
        <w:rPr>
          <w:rFonts w:cs="Calibri"/>
        </w:rPr>
        <w:t>.</w:t>
      </w:r>
      <w:r w:rsidRPr="00463915">
        <w:rPr>
          <w:rFonts w:cs="Calibri"/>
        </w:rPr>
        <w:t xml:space="preserve"> </w:t>
      </w:r>
      <w:r>
        <w:rPr>
          <w:rFonts w:cs="Calibri"/>
        </w:rPr>
        <w:t>L</w:t>
      </w:r>
      <w:r w:rsidRPr="00463915">
        <w:rPr>
          <w:rFonts w:cs="Calibri"/>
        </w:rPr>
        <w:t xml:space="preserve">earning </w:t>
      </w:r>
      <w:r>
        <w:t>workshops such as Saturday school, after</w:t>
      </w:r>
      <w:r w:rsidR="00E46435">
        <w:t>-</w:t>
      </w:r>
      <w:r>
        <w:t>school programming</w:t>
      </w:r>
      <w:r w:rsidR="00E46435">
        <w:t>,</w:t>
      </w:r>
      <w:r>
        <w:t xml:space="preserve"> and/or a summer bridge program are examples of such programs.</w:t>
      </w:r>
    </w:p>
    <w:p w14:paraId="6442AAA2" w14:textId="1F2EF1F5" w:rsidR="2CEDE8EF" w:rsidRDefault="2CEDE8EF" w:rsidP="6201094E">
      <w:pPr>
        <w:pStyle w:val="ListParagraph"/>
      </w:pPr>
      <w:r>
        <w:t xml:space="preserve">Develop </w:t>
      </w:r>
      <w:r w:rsidR="00E46435">
        <w:t xml:space="preserve">an </w:t>
      </w:r>
      <w:r>
        <w:t>industry-informed curriculum for a minimum sequence of three courses aligned to New Jersey Student Learning Standards (</w:t>
      </w:r>
      <w:hyperlink r:id="rId25">
        <w:r w:rsidRPr="6201094E">
          <w:rPr>
            <w:rStyle w:val="Hyperlink"/>
            <w:rFonts w:eastAsia="SimSun"/>
          </w:rPr>
          <w:t>NJSLS</w:t>
        </w:r>
      </w:hyperlink>
      <w:r>
        <w:t xml:space="preserve">). </w:t>
      </w:r>
      <w:r w:rsidR="00E46435">
        <w:t>The c</w:t>
      </w:r>
      <w:r>
        <w:t>urriculum should be rigorous and develop academic, technical</w:t>
      </w:r>
      <w:r w:rsidR="00E46435">
        <w:t>,</w:t>
      </w:r>
      <w:r>
        <w:t xml:space="preserve"> and employability skills for students. Skills mapping with industry and postsecondary partners is recommended. </w:t>
      </w:r>
    </w:p>
    <w:p w14:paraId="0D64DE0D" w14:textId="42337DA9" w:rsidR="003D0331" w:rsidRPr="00FD1853" w:rsidRDefault="11D310CF" w:rsidP="6201094E">
      <w:pPr>
        <w:pStyle w:val="Heading3"/>
      </w:pPr>
      <w:bookmarkStart w:id="134" w:name="_Toc533681894"/>
      <w:bookmarkStart w:id="135" w:name="_Toc63095147"/>
      <w:bookmarkStart w:id="136" w:name="_Toc63095529"/>
      <w:bookmarkStart w:id="137" w:name="_Toc63095889"/>
      <w:bookmarkStart w:id="138" w:name="_Toc172890051"/>
      <w:r>
        <w:t>2.1</w:t>
      </w:r>
      <w:r w:rsidR="1F6F9062">
        <w:tab/>
      </w:r>
      <w:r w:rsidR="33961635">
        <w:t>Project Requirement</w:t>
      </w:r>
      <w:bookmarkEnd w:id="134"/>
      <w:r w:rsidR="33961635">
        <w:t>s</w:t>
      </w:r>
      <w:bookmarkEnd w:id="135"/>
      <w:bookmarkEnd w:id="136"/>
      <w:bookmarkEnd w:id="137"/>
      <w:bookmarkEnd w:id="138"/>
    </w:p>
    <w:p w14:paraId="71A761B3" w14:textId="4C339B82" w:rsidR="003D0331" w:rsidRPr="006E01F0" w:rsidRDefault="003D0331" w:rsidP="003D0331">
      <w:pPr>
        <w:rPr>
          <w:szCs w:val="24"/>
        </w:rPr>
      </w:pPr>
      <w:r w:rsidRPr="006E01F0">
        <w:rPr>
          <w:szCs w:val="24"/>
        </w:rPr>
        <w:t>Applicants will find within this section the requirements that must be addressed by the grant applications in the project update, project description, and the project activity plan. All the planning and designs should support the Statewide Goal, Objectives</w:t>
      </w:r>
      <w:r w:rsidR="006C6AD2">
        <w:rPr>
          <w:szCs w:val="24"/>
        </w:rPr>
        <w:t>,</w:t>
      </w:r>
      <w:r w:rsidRPr="006E01F0">
        <w:rPr>
          <w:szCs w:val="24"/>
        </w:rPr>
        <w:t xml:space="preserve"> and Indicators. </w:t>
      </w:r>
    </w:p>
    <w:p w14:paraId="3D5C0D15" w14:textId="77777777" w:rsidR="003D0331" w:rsidRPr="006E01F0" w:rsidRDefault="003D0331" w:rsidP="003D0331">
      <w:pPr>
        <w:rPr>
          <w:rStyle w:val="Heading4Char"/>
          <w:b w:val="0"/>
        </w:rPr>
      </w:pPr>
      <w:r w:rsidRPr="006E01F0">
        <w:rPr>
          <w:rStyle w:val="Heading4Char"/>
        </w:rPr>
        <w:t>Project Description/Update</w:t>
      </w:r>
    </w:p>
    <w:p w14:paraId="0F6EBE9E" w14:textId="1CD2C52A" w:rsidR="003D0331" w:rsidRPr="006E01F0" w:rsidRDefault="003D0331" w:rsidP="003D0331">
      <w:pPr>
        <w:rPr>
          <w:rStyle w:val="Heading4Char"/>
          <w:b w:val="0"/>
        </w:rPr>
      </w:pPr>
      <w:r w:rsidRPr="1A9196EB">
        <w:rPr>
          <w:rStyle w:val="Heading4Char"/>
          <w:b w:val="0"/>
        </w:rPr>
        <w:t>The Project update is a recap of the project from year one and includes the project</w:t>
      </w:r>
      <w:r w:rsidR="000D5A24" w:rsidRPr="1A9196EB">
        <w:rPr>
          <w:rStyle w:val="Heading4Char"/>
          <w:b w:val="0"/>
        </w:rPr>
        <w:t>'</w:t>
      </w:r>
      <w:r w:rsidRPr="1A9196EB">
        <w:rPr>
          <w:rStyle w:val="Heading4Char"/>
          <w:b w:val="0"/>
        </w:rPr>
        <w:t>s future need</w:t>
      </w:r>
      <w:r w:rsidR="00D111F7" w:rsidRPr="1A9196EB">
        <w:rPr>
          <w:rStyle w:val="Heading4Char"/>
          <w:b w:val="0"/>
        </w:rPr>
        <w:t>s</w:t>
      </w:r>
      <w:r w:rsidRPr="1A9196EB">
        <w:rPr>
          <w:rStyle w:val="Heading4Char"/>
          <w:b w:val="0"/>
        </w:rPr>
        <w:t>, purpose</w:t>
      </w:r>
      <w:r w:rsidR="00D111F7" w:rsidRPr="1A9196EB">
        <w:rPr>
          <w:rStyle w:val="Heading4Char"/>
          <w:b w:val="0"/>
        </w:rPr>
        <w:t>,</w:t>
      </w:r>
      <w:r w:rsidRPr="1A9196EB">
        <w:rPr>
          <w:rStyle w:val="Heading4Char"/>
          <w:b w:val="0"/>
        </w:rPr>
        <w:t xml:space="preserve"> and projected outcomes. Describe the progress made in Year </w:t>
      </w:r>
      <w:r w:rsidR="00A547C1" w:rsidRPr="1A9196EB">
        <w:rPr>
          <w:rStyle w:val="Heading4Char"/>
          <w:b w:val="0"/>
        </w:rPr>
        <w:t>Three</w:t>
      </w:r>
      <w:r w:rsidRPr="1A9196EB">
        <w:rPr>
          <w:rStyle w:val="Heading4Char"/>
          <w:b w:val="0"/>
        </w:rPr>
        <w:t xml:space="preserve"> of the grant project and how work towards meeting the goals and objectives outlined in the Year </w:t>
      </w:r>
      <w:r w:rsidR="0022501E" w:rsidRPr="1A9196EB">
        <w:rPr>
          <w:rStyle w:val="Heading4Char"/>
          <w:b w:val="0"/>
        </w:rPr>
        <w:t>Two</w:t>
      </w:r>
      <w:r w:rsidRPr="1A9196EB">
        <w:rPr>
          <w:rStyle w:val="Heading4Char"/>
          <w:b w:val="0"/>
        </w:rPr>
        <w:t xml:space="preserve"> grant application will continue in Year </w:t>
      </w:r>
      <w:r w:rsidR="00A547C1" w:rsidRPr="1A9196EB">
        <w:rPr>
          <w:rStyle w:val="Heading4Char"/>
          <w:b w:val="0"/>
        </w:rPr>
        <w:t>Four</w:t>
      </w:r>
      <w:r w:rsidRPr="1A9196EB">
        <w:rPr>
          <w:rStyle w:val="Heading4Char"/>
          <w:b w:val="0"/>
        </w:rPr>
        <w:t>. The activities that were accomplished in year</w:t>
      </w:r>
      <w:r w:rsidR="006F75F4" w:rsidRPr="1A9196EB">
        <w:rPr>
          <w:rStyle w:val="Heading4Char"/>
          <w:b w:val="0"/>
        </w:rPr>
        <w:t>s</w:t>
      </w:r>
      <w:r w:rsidRPr="1A9196EB">
        <w:rPr>
          <w:rStyle w:val="Heading4Char"/>
          <w:b w:val="0"/>
        </w:rPr>
        <w:t xml:space="preserve"> one</w:t>
      </w:r>
      <w:r w:rsidR="006F75F4" w:rsidRPr="1A9196EB">
        <w:rPr>
          <w:rStyle w:val="Heading4Char"/>
          <w:b w:val="0"/>
        </w:rPr>
        <w:t>,</w:t>
      </w:r>
      <w:r w:rsidR="0022501E" w:rsidRPr="1A9196EB">
        <w:rPr>
          <w:rStyle w:val="Heading4Char"/>
          <w:b w:val="0"/>
        </w:rPr>
        <w:t xml:space="preserve"> two</w:t>
      </w:r>
      <w:r w:rsidR="00D111F7" w:rsidRPr="1A9196EB">
        <w:rPr>
          <w:rStyle w:val="Heading4Char"/>
          <w:b w:val="0"/>
        </w:rPr>
        <w:t>,</w:t>
      </w:r>
      <w:r w:rsidR="006F75F4" w:rsidRPr="1A9196EB">
        <w:rPr>
          <w:rStyle w:val="Heading4Char"/>
          <w:b w:val="0"/>
        </w:rPr>
        <w:t xml:space="preserve"> and three</w:t>
      </w:r>
      <w:r w:rsidRPr="1A9196EB">
        <w:rPr>
          <w:rStyle w:val="Heading4Char"/>
          <w:b w:val="0"/>
        </w:rPr>
        <w:t xml:space="preserve"> should be addressed</w:t>
      </w:r>
      <w:r w:rsidR="00D111F7" w:rsidRPr="1A9196EB">
        <w:rPr>
          <w:rStyle w:val="Heading4Char"/>
          <w:b w:val="0"/>
        </w:rPr>
        <w:t>,</w:t>
      </w:r>
      <w:r w:rsidRPr="1A9196EB">
        <w:rPr>
          <w:rStyle w:val="Heading4Char"/>
          <w:b w:val="0"/>
        </w:rPr>
        <w:t xml:space="preserve"> as well as </w:t>
      </w:r>
      <w:r w:rsidR="00D111F7" w:rsidRPr="1A9196EB">
        <w:rPr>
          <w:rStyle w:val="Heading4Char"/>
          <w:b w:val="0"/>
        </w:rPr>
        <w:t xml:space="preserve">the </w:t>
      </w:r>
      <w:r w:rsidRPr="1A9196EB">
        <w:rPr>
          <w:rStyle w:val="Heading4Char"/>
          <w:b w:val="0"/>
        </w:rPr>
        <w:t>next steps that the district will take regarding professional development, student recruitment activities and projections, a</w:t>
      </w:r>
      <w:r w:rsidR="00D111F7" w:rsidRPr="1A9196EB">
        <w:rPr>
          <w:rStyle w:val="Heading4Char"/>
          <w:b w:val="0"/>
        </w:rPr>
        <w:t>nd</w:t>
      </w:r>
      <w:r w:rsidRPr="1A9196EB">
        <w:rPr>
          <w:rStyle w:val="Heading4Char"/>
          <w:b w:val="0"/>
        </w:rPr>
        <w:t xml:space="preserve"> activity plan actions.</w:t>
      </w:r>
      <w:r w:rsidRPr="1A9196EB">
        <w:rPr>
          <w:rStyle w:val="Heading4Char"/>
        </w:rPr>
        <w:t xml:space="preserve"> </w:t>
      </w:r>
    </w:p>
    <w:p w14:paraId="26935AAA" w14:textId="77777777" w:rsidR="003D0331" w:rsidRPr="006E01F0" w:rsidRDefault="003D0331" w:rsidP="003D0331">
      <w:pPr>
        <w:rPr>
          <w:b/>
          <w:bCs/>
        </w:rPr>
      </w:pPr>
      <w:r w:rsidRPr="006E01F0">
        <w:rPr>
          <w:rStyle w:val="Heading4Char"/>
        </w:rPr>
        <w:t>Goals, Objectives, and Indicators</w:t>
      </w:r>
      <w:r w:rsidRPr="006E01F0">
        <w:t xml:space="preserve"> </w:t>
      </w:r>
    </w:p>
    <w:p w14:paraId="7E09E620" w14:textId="4F5D350A" w:rsidR="003D0331" w:rsidRPr="006E01F0" w:rsidRDefault="003D0331" w:rsidP="003D0331">
      <w:pPr>
        <w:rPr>
          <w:rFonts w:cs="Calibri"/>
        </w:rPr>
      </w:pPr>
      <w:r w:rsidRPr="1A9196EB">
        <w:rPr>
          <w:rFonts w:cs="Calibri"/>
        </w:rPr>
        <w:t xml:space="preserve">The goals and objectives for the Building Capacity for Career Pathways for Comprehensive Schools (Cohort 2) were established in Year one of the NGO. For year </w:t>
      </w:r>
      <w:r w:rsidR="00B07703" w:rsidRPr="1A9196EB">
        <w:rPr>
          <w:rFonts w:cs="Calibri"/>
        </w:rPr>
        <w:t>four</w:t>
      </w:r>
      <w:r w:rsidRPr="1A9196EB">
        <w:rPr>
          <w:rFonts w:cs="Calibri"/>
        </w:rPr>
        <w:t xml:space="preserve"> of the grant</w:t>
      </w:r>
      <w:r w:rsidR="00A75DEB" w:rsidRPr="1A9196EB">
        <w:rPr>
          <w:rFonts w:cs="Calibri"/>
        </w:rPr>
        <w:t>,</w:t>
      </w:r>
      <w:r w:rsidRPr="1A9196EB">
        <w:rPr>
          <w:rFonts w:cs="Calibri"/>
        </w:rPr>
        <w:t xml:space="preserve"> eligible districts may </w:t>
      </w:r>
      <w:proofErr w:type="gramStart"/>
      <w:r w:rsidRPr="1A9196EB">
        <w:rPr>
          <w:rFonts w:cs="Calibri"/>
        </w:rPr>
        <w:t>add</w:t>
      </w:r>
      <w:proofErr w:type="gramEnd"/>
      <w:r w:rsidRPr="1A9196EB">
        <w:rPr>
          <w:rFonts w:cs="Calibri"/>
        </w:rPr>
        <w:t xml:space="preserve"> or revise indicators as needed.</w:t>
      </w:r>
    </w:p>
    <w:p w14:paraId="5CCE4692" w14:textId="77777777" w:rsidR="003D0331" w:rsidRPr="00336E67" w:rsidRDefault="003D0331" w:rsidP="003D0331">
      <w:r w:rsidRPr="006E01F0">
        <w:rPr>
          <w:rStyle w:val="Heading4Char"/>
        </w:rPr>
        <w:t>Project Activity Plan</w:t>
      </w:r>
    </w:p>
    <w:p w14:paraId="70762D12" w14:textId="58663B68" w:rsidR="003D0331" w:rsidRDefault="003D0331" w:rsidP="003D0331">
      <w:pPr>
        <w:rPr>
          <w:rFonts w:cs="Calibri"/>
        </w:rPr>
      </w:pPr>
      <w:r w:rsidRPr="00B9755A">
        <w:rPr>
          <w:rFonts w:cs="Calibri"/>
        </w:rPr>
        <w:t xml:space="preserve">The Project Activity Plan follows the goal(s) and objectives that were listed in the previous section. </w:t>
      </w:r>
      <w:r w:rsidRPr="00B9755A">
        <w:rPr>
          <w:rFonts w:cs="Calibri"/>
          <w:b/>
        </w:rPr>
        <w:t>The Activity Plan is for the current grant period</w:t>
      </w:r>
      <w:r w:rsidRPr="00B9755A">
        <w:rPr>
          <w:rFonts w:cs="Calibri"/>
        </w:rPr>
        <w:t xml:space="preserve">. Activities represent the </w:t>
      </w:r>
      <w:r w:rsidR="00534C04">
        <w:rPr>
          <w:rFonts w:cs="Calibri"/>
        </w:rPr>
        <w:t>district's steps</w:t>
      </w:r>
      <w:r w:rsidRPr="00B9755A">
        <w:rPr>
          <w:rFonts w:cs="Calibri"/>
        </w:rPr>
        <w:t xml:space="preserve"> to achieve each identified objective. Also, the activities </w:t>
      </w:r>
      <w:r w:rsidR="00534C04">
        <w:rPr>
          <w:rFonts w:cs="Calibri"/>
        </w:rPr>
        <w:t>identified in this section serve as the basis for the individual expenditures</w:t>
      </w:r>
      <w:r w:rsidRPr="00B9755A">
        <w:rPr>
          <w:rFonts w:cs="Calibri"/>
        </w:rPr>
        <w:t xml:space="preserve"> being proposed in the budget. Review the Goals and Objectives when constructing the Project Activity Plan to ensure that appropriate links have been established between the goal(s) and objectives and the activities.</w:t>
      </w:r>
    </w:p>
    <w:p w14:paraId="00AC0A2C" w14:textId="77777777" w:rsidR="003D0331" w:rsidRPr="00B9755A" w:rsidRDefault="003D0331" w:rsidP="003D0331">
      <w:pPr>
        <w:rPr>
          <w:rFonts w:cs="Calibri"/>
        </w:rPr>
      </w:pPr>
      <w:r>
        <w:rPr>
          <w:rFonts w:cs="Calibri"/>
        </w:rPr>
        <w:t>For this section:</w:t>
      </w:r>
    </w:p>
    <w:p w14:paraId="630EEC8F" w14:textId="46A29920" w:rsidR="003D0331" w:rsidRPr="00336E67" w:rsidRDefault="003D0331" w:rsidP="00442C8B">
      <w:pPr>
        <w:pStyle w:val="ListParagraph"/>
        <w:numPr>
          <w:ilvl w:val="0"/>
          <w:numId w:val="18"/>
        </w:numPr>
      </w:pPr>
      <w:r w:rsidRPr="00336E67">
        <w:t xml:space="preserve">State the relevant objective in full in the space provided. Number the </w:t>
      </w:r>
      <w:r>
        <w:t xml:space="preserve">local goal </w:t>
      </w:r>
      <w:r w:rsidR="000D5A24">
        <w:t>"</w:t>
      </w:r>
      <w:r w:rsidRPr="00336E67">
        <w:t>Goal 1</w:t>
      </w:r>
      <w:r w:rsidR="000D5A24">
        <w:t>"</w:t>
      </w:r>
      <w:r w:rsidRPr="00336E67">
        <w:t xml:space="preserve"> and each objective 1.1, 1.2, 1.3, </w:t>
      </w:r>
      <w:proofErr w:type="gramStart"/>
      <w:r w:rsidRPr="00336E67">
        <w:t>etc.</w:t>
      </w:r>
      <w:r>
        <w:t>;</w:t>
      </w:r>
      <w:proofErr w:type="gramEnd"/>
    </w:p>
    <w:p w14:paraId="4E961B17" w14:textId="77777777" w:rsidR="003D0331" w:rsidRPr="00336E67" w:rsidRDefault="003D0331" w:rsidP="00442C8B">
      <w:pPr>
        <w:pStyle w:val="ListParagraph"/>
        <w:numPr>
          <w:ilvl w:val="0"/>
          <w:numId w:val="18"/>
        </w:numPr>
      </w:pPr>
      <w:r w:rsidRPr="00336E67">
        <w:lastRenderedPageBreak/>
        <w:t xml:space="preserve">Describe all the tasks and activities planned for the accomplishment of each goal and </w:t>
      </w:r>
      <w:proofErr w:type="gramStart"/>
      <w:r w:rsidRPr="00336E67">
        <w:t>objective</w:t>
      </w:r>
      <w:r>
        <w:t>;</w:t>
      </w:r>
      <w:proofErr w:type="gramEnd"/>
    </w:p>
    <w:p w14:paraId="6F9A314C" w14:textId="77777777" w:rsidR="003D0331" w:rsidRPr="00336E67" w:rsidRDefault="003D0331" w:rsidP="00442C8B">
      <w:pPr>
        <w:pStyle w:val="ListParagraph"/>
        <w:numPr>
          <w:ilvl w:val="0"/>
          <w:numId w:val="18"/>
        </w:numPr>
      </w:pPr>
      <w:r w:rsidRPr="00336E67">
        <w:t xml:space="preserve">List all the activities in chronological </w:t>
      </w:r>
      <w:proofErr w:type="gramStart"/>
      <w:r w:rsidRPr="00336E67">
        <w:t>order</w:t>
      </w:r>
      <w:r>
        <w:t>;</w:t>
      </w:r>
      <w:proofErr w:type="gramEnd"/>
    </w:p>
    <w:p w14:paraId="096218B0" w14:textId="77777777" w:rsidR="003D0331" w:rsidRPr="00336E67" w:rsidRDefault="003D0331" w:rsidP="00442C8B">
      <w:pPr>
        <w:pStyle w:val="ListParagraph"/>
        <w:numPr>
          <w:ilvl w:val="0"/>
          <w:numId w:val="3"/>
        </w:numPr>
      </w:pPr>
      <w:r w:rsidRPr="00336E67">
        <w:t xml:space="preserve">Space the activities appropriately across all report periods of the grant </w:t>
      </w:r>
      <w:proofErr w:type="gramStart"/>
      <w:r w:rsidRPr="00336E67">
        <w:t>project</w:t>
      </w:r>
      <w:r>
        <w:t>;</w:t>
      </w:r>
      <w:proofErr w:type="gramEnd"/>
    </w:p>
    <w:p w14:paraId="1359D6F5" w14:textId="77777777" w:rsidR="003D0331" w:rsidRPr="00336E67" w:rsidRDefault="003D0331" w:rsidP="00442C8B">
      <w:pPr>
        <w:pStyle w:val="ListParagraph"/>
        <w:numPr>
          <w:ilvl w:val="0"/>
          <w:numId w:val="3"/>
        </w:numPr>
      </w:pPr>
      <w:r w:rsidRPr="00336E67">
        <w:t xml:space="preserve">Identify the staff directly responsible for the implementation of the activity. If the individual conducting the activity is not referenced appropriately on the Project Activity Plan, it may not be possible to determine an allocation of the requested cost, and costs may be </w:t>
      </w:r>
      <w:proofErr w:type="gramStart"/>
      <w:r w:rsidRPr="00336E67">
        <w:t>disallowed</w:t>
      </w:r>
      <w:r>
        <w:t>;</w:t>
      </w:r>
      <w:proofErr w:type="gramEnd"/>
    </w:p>
    <w:p w14:paraId="78981F43" w14:textId="77777777" w:rsidR="003D0331" w:rsidRPr="00336E67" w:rsidRDefault="003D0331" w:rsidP="00442C8B">
      <w:pPr>
        <w:pStyle w:val="ListParagraph"/>
        <w:numPr>
          <w:ilvl w:val="0"/>
          <w:numId w:val="3"/>
        </w:numPr>
      </w:pPr>
      <w:r w:rsidRPr="00336E67">
        <w:t xml:space="preserve">List the documentation that tracks the progress and confirms the completion of each activity, such as agenda, minutes, curriculum, </w:t>
      </w:r>
      <w:proofErr w:type="gramStart"/>
      <w:r w:rsidRPr="00336E67">
        <w:t>etc.</w:t>
      </w:r>
      <w:r>
        <w:t>;</w:t>
      </w:r>
      <w:proofErr w:type="gramEnd"/>
    </w:p>
    <w:p w14:paraId="7EF43842" w14:textId="79B9F171" w:rsidR="003D0331" w:rsidRPr="00336E67" w:rsidRDefault="003D0331" w:rsidP="00442C8B">
      <w:pPr>
        <w:pStyle w:val="ListParagraph"/>
        <w:numPr>
          <w:ilvl w:val="0"/>
          <w:numId w:val="3"/>
        </w:numPr>
      </w:pPr>
      <w:r w:rsidRPr="00336E67">
        <w:t>In the Report Period Column on the Project Activity Plan, indicate with a checkmark the period in which the activity will be implemented. If the activity is ongoing or recurring, place a checkmark in the boxes under each period in which the activity will ta</w:t>
      </w:r>
      <w:r w:rsidR="00C52421">
        <w:t>ke</w:t>
      </w:r>
      <w:r w:rsidRPr="00336E67">
        <w:t xml:space="preserve"> place</w:t>
      </w:r>
      <w:r>
        <w:t>; and</w:t>
      </w:r>
    </w:p>
    <w:p w14:paraId="7A1F43F8" w14:textId="4A5447B4" w:rsidR="003D0331" w:rsidRDefault="6A7466AF" w:rsidP="00442C8B">
      <w:pPr>
        <w:pStyle w:val="ListParagraph"/>
        <w:numPr>
          <w:ilvl w:val="0"/>
          <w:numId w:val="3"/>
        </w:numPr>
      </w:pPr>
      <w:r>
        <w:t xml:space="preserve">Do not list the project director or other person with general oversight authority for the project as the </w:t>
      </w:r>
      <w:r w:rsidR="000D5A24">
        <w:t>"</w:t>
      </w:r>
      <w:r>
        <w:t>person responsible</w:t>
      </w:r>
      <w:r w:rsidR="000D5A24">
        <w:t>"</w:t>
      </w:r>
      <w:r>
        <w:t xml:space="preserve"> for carrying out all activities. </w:t>
      </w:r>
      <w:bookmarkStart w:id="139" w:name="_Toc533681895"/>
      <w:bookmarkStart w:id="140" w:name="_Toc63095148"/>
      <w:bookmarkStart w:id="141" w:name="_Toc63095530"/>
      <w:bookmarkStart w:id="142" w:name="_Toc63095890"/>
    </w:p>
    <w:p w14:paraId="1C7F7503" w14:textId="77777777" w:rsidR="003D0331" w:rsidRPr="00B9755A" w:rsidRDefault="6A7466AF" w:rsidP="003D0331">
      <w:pPr>
        <w:pStyle w:val="Heading3"/>
        <w:rPr>
          <w:rFonts w:cs="Calibri"/>
        </w:rPr>
      </w:pPr>
      <w:bookmarkStart w:id="143" w:name="_Toc172890052"/>
      <w:r>
        <w:t>2.2</w:t>
      </w:r>
      <w:r w:rsidR="003D0331">
        <w:tab/>
      </w:r>
      <w:r>
        <w:t>Budget Design Considerations</w:t>
      </w:r>
      <w:bookmarkEnd w:id="143"/>
    </w:p>
    <w:bookmarkEnd w:id="139"/>
    <w:bookmarkEnd w:id="140"/>
    <w:bookmarkEnd w:id="141"/>
    <w:bookmarkEnd w:id="142"/>
    <w:p w14:paraId="60B8A790" w14:textId="31CED3BA" w:rsidR="003D0331" w:rsidRPr="00B9755A" w:rsidRDefault="6A7466AF" w:rsidP="003D0331">
      <w:r>
        <w:t xml:space="preserve">Once the objectives that will guide the work in the implementation phase of the grant have been prioritized, begin to develop the </w:t>
      </w:r>
      <w:r w:rsidR="00C97F14">
        <w:t>budget details</w:t>
      </w:r>
      <w:r>
        <w:t xml:space="preserve"> that will be necessary to carry out each activity. </w:t>
      </w:r>
    </w:p>
    <w:p w14:paraId="27013759" w14:textId="3C74A5BE" w:rsidR="003D0331" w:rsidRPr="00B9755A" w:rsidRDefault="003D0331" w:rsidP="003D0331">
      <w:r w:rsidRPr="00B9755A">
        <w:t>The applicant</w:t>
      </w:r>
      <w:r w:rsidR="000D5A24">
        <w:t>'</w:t>
      </w:r>
      <w:r w:rsidRPr="00B9755A">
        <w:t xml:space="preserve">s budget </w:t>
      </w:r>
      <w:r w:rsidRPr="00051DEC">
        <w:t>must</w:t>
      </w:r>
      <w:r w:rsidRPr="00B9755A">
        <w:t xml:space="preserve"> be well-considered, necessary for the implementation of the project, remain within the funding parameters contained in this handout, and demonstrate prudent use of resources. The budget will be reviewed to ensure that costs are customary and reasonable for </w:t>
      </w:r>
      <w:r w:rsidR="00C97F14">
        <w:t>implementing</w:t>
      </w:r>
      <w:r w:rsidRPr="00B9755A">
        <w:t xml:space="preserve"> each project activity. </w:t>
      </w:r>
    </w:p>
    <w:p w14:paraId="74B52AB8" w14:textId="40FDED14" w:rsidR="003D0331" w:rsidRPr="00B9755A" w:rsidRDefault="003D0331" w:rsidP="003D0331">
      <w:r w:rsidRPr="00B9755A">
        <w:t>The applicant must provide a direct link for each cost to the goal</w:t>
      </w:r>
      <w:r>
        <w:t>s</w:t>
      </w:r>
      <w:r w:rsidRPr="00B9755A">
        <w:t>, objectives</w:t>
      </w:r>
      <w:r w:rsidR="00C52421">
        <w:t>,</w:t>
      </w:r>
      <w:r w:rsidRPr="00B9755A">
        <w:t xml:space="preserve"> and activities in the Project Activity Plan that provides programmatic support for the proposed cost. In addition, the applicant must provide documentation and details sufficient to support each proposed cost. </w:t>
      </w:r>
    </w:p>
    <w:p w14:paraId="6534C96E" w14:textId="77777777" w:rsidR="003D0331" w:rsidRPr="00B9755A" w:rsidRDefault="003D0331" w:rsidP="003D0331">
      <w:r w:rsidRPr="00B9755A">
        <w:t xml:space="preserve">Guidance on constructing a grant budget may be found in the </w:t>
      </w:r>
      <w:hyperlink r:id="rId26" w:history="1">
        <w:r w:rsidRPr="007E18B7">
          <w:rPr>
            <w:rStyle w:val="Hyperlink"/>
            <w:rFonts w:eastAsia="SimSun"/>
          </w:rPr>
          <w:t>Pre-award Manual for Discretionary Grants</w:t>
        </w:r>
      </w:hyperlink>
      <w:r>
        <w:t>.</w:t>
      </w:r>
    </w:p>
    <w:p w14:paraId="35207314" w14:textId="77777777" w:rsidR="003D0331" w:rsidRPr="00392CF6" w:rsidRDefault="003D0331" w:rsidP="003D0331">
      <w:pPr>
        <w:rPr>
          <w:rStyle w:val="Strong"/>
        </w:rPr>
      </w:pPr>
      <w:r w:rsidRPr="00392CF6">
        <w:rPr>
          <w:rStyle w:val="Strong"/>
        </w:rPr>
        <w:t>The budget submitted as part of the application is for the current grant period only.</w:t>
      </w:r>
    </w:p>
    <w:p w14:paraId="38EB923E" w14:textId="146C8043" w:rsidR="003D0331" w:rsidRPr="00B9755A" w:rsidRDefault="003D0331" w:rsidP="003D0331">
      <w:r w:rsidRPr="00B9755A">
        <w:t xml:space="preserve">The </w:t>
      </w:r>
      <w:r>
        <w:t xml:space="preserve">NJDOE </w:t>
      </w:r>
      <w:r w:rsidRPr="00B9755A">
        <w:t>will remove from consideration all ineligible costs</w:t>
      </w:r>
      <w:r w:rsidR="007F56CA">
        <w:t xml:space="preserve"> and</w:t>
      </w:r>
      <w:r w:rsidRPr="00B9755A">
        <w:t xml:space="preserve"> costs not supported by the Project Activity Plan. The actual amount awarded will be contingent upon the applicant</w:t>
      </w:r>
      <w:r w:rsidR="000D5A24">
        <w:t>'</w:t>
      </w:r>
      <w:r w:rsidRPr="00B9755A">
        <w:t xml:space="preserve">s ability to </w:t>
      </w:r>
      <w:r w:rsidR="007F56CA">
        <w:t>support</w:t>
      </w:r>
      <w:r w:rsidRPr="00B9755A">
        <w:t xml:space="preserve"> its proposed budget upon application and ultimately will be determined by the </w:t>
      </w:r>
      <w:r>
        <w:t xml:space="preserve">NJDOE </w:t>
      </w:r>
      <w:r w:rsidRPr="00B9755A">
        <w:t>through the pre-award revision process. The applicant</w:t>
      </w:r>
      <w:r w:rsidR="000D5A24">
        <w:t>'</w:t>
      </w:r>
      <w:r w:rsidRPr="00B9755A">
        <w:t xml:space="preserve">s opportunity to make pre-award revisions will be limited by the </w:t>
      </w:r>
      <w:r>
        <w:t>NJDOE</w:t>
      </w:r>
      <w:r w:rsidR="003A2234">
        <w:t>, which is not responsible for either providing repeated opportunities for revisions or permitting</w:t>
      </w:r>
      <w:r w:rsidRPr="00B9755A">
        <w:t xml:space="preserve"> reallocation of the funds previously requested for costs that have not been app</w:t>
      </w:r>
      <w:r>
        <w:t xml:space="preserve">roved or disallowed. </w:t>
      </w:r>
    </w:p>
    <w:p w14:paraId="40563568" w14:textId="77777777" w:rsidR="003D0331" w:rsidRPr="00336E67" w:rsidRDefault="003D0331" w:rsidP="003D0331">
      <w:pPr>
        <w:pStyle w:val="Heading4"/>
      </w:pPr>
      <w:bookmarkStart w:id="144" w:name="_Toc533681896"/>
      <w:bookmarkStart w:id="145" w:name="_Toc63095149"/>
      <w:bookmarkStart w:id="146" w:name="_Toc63095531"/>
      <w:r w:rsidRPr="006825FE">
        <w:t>Budget Requirements</w:t>
      </w:r>
      <w:bookmarkEnd w:id="144"/>
      <w:bookmarkEnd w:id="145"/>
      <w:bookmarkEnd w:id="146"/>
    </w:p>
    <w:p w14:paraId="464BAB4D" w14:textId="2D56F30F" w:rsidR="003D0331" w:rsidRPr="00B9755A" w:rsidRDefault="003D0331" w:rsidP="003D0331">
      <w:pPr>
        <w:rPr>
          <w:b/>
        </w:rPr>
      </w:pPr>
      <w:r w:rsidRPr="00B9755A">
        <w:t xml:space="preserve">Budget requests should be linked to specific project activities and objectives of the </w:t>
      </w:r>
      <w:r w:rsidRPr="007E18B7">
        <w:t>Building Capacity for Career Pathways in Comprehensive Schools (Cohort 2).</w:t>
      </w:r>
    </w:p>
    <w:p w14:paraId="5FF77E9D" w14:textId="77777777" w:rsidR="003D0331" w:rsidRPr="00B9755A" w:rsidRDefault="003D0331" w:rsidP="003D0331">
      <w:r w:rsidRPr="00B9755A">
        <w:t xml:space="preserve">The provisions of N.J.A.C. 6A:23A-7 contain additional requirements concerning prior approvals, as well as expenditures related to travel. It is strongly recommended that the applicant work with their business </w:t>
      </w:r>
      <w:r w:rsidRPr="00B9755A">
        <w:lastRenderedPageBreak/>
        <w:t>administrator when constructing the budget. The NJDOE applies these restrictions uniformly to all grantees. Unless otherwise specified, the following restrictions apply to all grant programs:</w:t>
      </w:r>
    </w:p>
    <w:p w14:paraId="34C13E7A" w14:textId="77777777" w:rsidR="003D0331" w:rsidRPr="00B9755A" w:rsidRDefault="003D0331" w:rsidP="00442C8B">
      <w:pPr>
        <w:pStyle w:val="ListParagraph"/>
        <w:numPr>
          <w:ilvl w:val="0"/>
          <w:numId w:val="4"/>
        </w:numPr>
      </w:pPr>
      <w:r w:rsidRPr="00B9755A">
        <w:t>No reimbursement for in-state overnight travel (meals and/or lodging</w:t>
      </w:r>
      <w:proofErr w:type="gramStart"/>
      <w:r w:rsidRPr="00B9755A">
        <w:t>)</w:t>
      </w:r>
      <w:r>
        <w:t>;</w:t>
      </w:r>
      <w:proofErr w:type="gramEnd"/>
    </w:p>
    <w:p w14:paraId="7486A84E" w14:textId="77777777" w:rsidR="003D0331" w:rsidRPr="00B9755A" w:rsidRDefault="003D0331" w:rsidP="00442C8B">
      <w:pPr>
        <w:pStyle w:val="ListParagraph"/>
        <w:numPr>
          <w:ilvl w:val="0"/>
          <w:numId w:val="4"/>
        </w:numPr>
      </w:pPr>
      <w:r w:rsidRPr="00B9755A">
        <w:t>No reimbursement for meals on in-state travel</w:t>
      </w:r>
      <w:r>
        <w:t>; and</w:t>
      </w:r>
    </w:p>
    <w:p w14:paraId="6CF3BE4E" w14:textId="77777777" w:rsidR="003D0331" w:rsidRPr="00B9755A" w:rsidRDefault="003D0331" w:rsidP="00442C8B">
      <w:pPr>
        <w:pStyle w:val="ListParagraph"/>
        <w:numPr>
          <w:ilvl w:val="0"/>
          <w:numId w:val="4"/>
        </w:numPr>
      </w:pPr>
      <w:r w:rsidRPr="00B9755A">
        <w:t>Mileage reimbursement is capped at $.</w:t>
      </w:r>
      <w:r w:rsidRPr="0022501E">
        <w:t>47</w:t>
      </w:r>
      <w:r w:rsidRPr="00B9755A">
        <w:t>/mile</w:t>
      </w:r>
      <w:r>
        <w:t>.</w:t>
      </w:r>
    </w:p>
    <w:p w14:paraId="5DD8ADD8" w14:textId="77777777" w:rsidR="003D0331" w:rsidRPr="00392CF6" w:rsidRDefault="003D0331" w:rsidP="003D0331">
      <w:pPr>
        <w:rPr>
          <w:rStyle w:val="Strong"/>
        </w:rPr>
      </w:pPr>
      <w:bookmarkStart w:id="147" w:name="_Toc63095150"/>
      <w:r w:rsidRPr="00392CF6">
        <w:rPr>
          <w:rStyle w:val="Strong"/>
        </w:rPr>
        <w:t>Eligible costs may include</w:t>
      </w:r>
      <w:bookmarkEnd w:id="147"/>
    </w:p>
    <w:p w14:paraId="5C922CE1" w14:textId="77777777" w:rsidR="003D0331" w:rsidRDefault="003D0331" w:rsidP="00442C8B">
      <w:pPr>
        <w:pStyle w:val="ListParagraph"/>
        <w:numPr>
          <w:ilvl w:val="0"/>
          <w:numId w:val="15"/>
        </w:numPr>
      </w:pPr>
      <w:bookmarkStart w:id="148" w:name="_Toc63095151"/>
      <w:r>
        <w:t>Curriculum development</w:t>
      </w:r>
      <w:bookmarkEnd w:id="148"/>
    </w:p>
    <w:p w14:paraId="6ED0A5C7" w14:textId="77777777" w:rsidR="003D0331" w:rsidRDefault="003D0331" w:rsidP="00442C8B">
      <w:pPr>
        <w:pStyle w:val="ListParagraph"/>
        <w:numPr>
          <w:ilvl w:val="0"/>
          <w:numId w:val="15"/>
        </w:numPr>
      </w:pPr>
      <w:bookmarkStart w:id="149" w:name="_Toc63095152"/>
      <w:r>
        <w:t>Professional development/learning</w:t>
      </w:r>
      <w:bookmarkEnd w:id="149"/>
    </w:p>
    <w:p w14:paraId="5574AEAA" w14:textId="77777777" w:rsidR="003D0331" w:rsidRDefault="003D0331" w:rsidP="00442C8B">
      <w:pPr>
        <w:pStyle w:val="ListParagraph"/>
        <w:numPr>
          <w:ilvl w:val="0"/>
          <w:numId w:val="15"/>
        </w:numPr>
      </w:pPr>
      <w:bookmarkStart w:id="150" w:name="_Toc63095153"/>
      <w:r>
        <w:t>Attracting, enrolling, and supporting a diverse group of students to the program</w:t>
      </w:r>
      <w:bookmarkEnd w:id="150"/>
    </w:p>
    <w:p w14:paraId="785D94D5" w14:textId="77777777" w:rsidR="003D0331" w:rsidRDefault="003D0331" w:rsidP="00442C8B">
      <w:pPr>
        <w:pStyle w:val="ListParagraph"/>
        <w:numPr>
          <w:ilvl w:val="0"/>
          <w:numId w:val="15"/>
        </w:numPr>
      </w:pPr>
      <w:bookmarkStart w:id="151" w:name="_Toc63095154"/>
      <w:r>
        <w:t>Classroom equipment and supplies for use during the grant period</w:t>
      </w:r>
      <w:bookmarkEnd w:id="151"/>
    </w:p>
    <w:p w14:paraId="3923B0DB" w14:textId="77777777" w:rsidR="003D0331" w:rsidRPr="007F7A33" w:rsidRDefault="003D0331" w:rsidP="00442C8B">
      <w:pPr>
        <w:pStyle w:val="ListParagraph"/>
        <w:numPr>
          <w:ilvl w:val="0"/>
          <w:numId w:val="15"/>
        </w:numPr>
      </w:pPr>
      <w:bookmarkStart w:id="152" w:name="_Toc63095155"/>
      <w:r>
        <w:t>Travel related to the program</w:t>
      </w:r>
      <w:bookmarkEnd w:id="152"/>
    </w:p>
    <w:p w14:paraId="2944969B" w14:textId="77777777" w:rsidR="003D0331" w:rsidRPr="007F7A33" w:rsidRDefault="003D0331" w:rsidP="00442C8B">
      <w:pPr>
        <w:pStyle w:val="ListParagraph"/>
        <w:numPr>
          <w:ilvl w:val="0"/>
          <w:numId w:val="15"/>
        </w:numPr>
      </w:pPr>
      <w:bookmarkStart w:id="153" w:name="_Toc63095156"/>
      <w:r>
        <w:t>Other costs that directly relate to the operation of the program</w:t>
      </w:r>
      <w:bookmarkEnd w:id="153"/>
      <w:r>
        <w:t xml:space="preserve"> </w:t>
      </w:r>
    </w:p>
    <w:p w14:paraId="47527201" w14:textId="77777777" w:rsidR="003D0331" w:rsidRPr="002D4DC2" w:rsidRDefault="003D0331" w:rsidP="00442C8B">
      <w:pPr>
        <w:pStyle w:val="ListParagraph"/>
        <w:numPr>
          <w:ilvl w:val="0"/>
          <w:numId w:val="15"/>
        </w:numPr>
      </w:pPr>
      <w:bookmarkStart w:id="154" w:name="_Toc63095157"/>
      <w:r>
        <w:t>Administrative costs are not to exceed 5 percent of the total budget</w:t>
      </w:r>
      <w:bookmarkEnd w:id="154"/>
    </w:p>
    <w:p w14:paraId="40EC64F5" w14:textId="77777777" w:rsidR="003D0331" w:rsidRDefault="003D0331" w:rsidP="003D0331">
      <w:pPr>
        <w:spacing w:after="0" w:line="240" w:lineRule="auto"/>
        <w:rPr>
          <w:rStyle w:val="Strong"/>
        </w:rPr>
      </w:pPr>
      <w:bookmarkStart w:id="155" w:name="_Toc63095158"/>
    </w:p>
    <w:p w14:paraId="47E9E79D" w14:textId="77777777" w:rsidR="003D0331" w:rsidRPr="00392CF6" w:rsidRDefault="003D0331" w:rsidP="003D0331">
      <w:pPr>
        <w:spacing w:after="0" w:line="240" w:lineRule="auto"/>
        <w:rPr>
          <w:rStyle w:val="Strong"/>
        </w:rPr>
      </w:pPr>
      <w:r w:rsidRPr="00392CF6">
        <w:rPr>
          <w:rStyle w:val="Strong"/>
        </w:rPr>
        <w:t>Ineligible costs</w:t>
      </w:r>
      <w:bookmarkEnd w:id="155"/>
    </w:p>
    <w:p w14:paraId="73675F5A" w14:textId="77777777" w:rsidR="003D0331" w:rsidRPr="00B022B3" w:rsidRDefault="003D0331" w:rsidP="003D0331">
      <w:bookmarkStart w:id="156" w:name="_Toc63095159"/>
      <w:r w:rsidRPr="00B022B3">
        <w:t>Funds may not be used for the following costs:</w:t>
      </w:r>
      <w:bookmarkEnd w:id="156"/>
    </w:p>
    <w:p w14:paraId="5FC2006C" w14:textId="77777777" w:rsidR="003D0331" w:rsidRPr="00B022B3" w:rsidRDefault="003D0331" w:rsidP="00442C8B">
      <w:pPr>
        <w:pStyle w:val="ListParagraph"/>
        <w:numPr>
          <w:ilvl w:val="0"/>
          <w:numId w:val="19"/>
        </w:numPr>
      </w:pPr>
      <w:bookmarkStart w:id="157" w:name="_Toc63095160"/>
      <w:r w:rsidRPr="00B022B3">
        <w:t>Indirect costs</w:t>
      </w:r>
      <w:bookmarkEnd w:id="157"/>
    </w:p>
    <w:p w14:paraId="30970B79" w14:textId="77777777" w:rsidR="003D0331" w:rsidRPr="00B022B3" w:rsidRDefault="003D0331" w:rsidP="00442C8B">
      <w:pPr>
        <w:pStyle w:val="ListParagraph"/>
        <w:numPr>
          <w:ilvl w:val="0"/>
          <w:numId w:val="19"/>
        </w:numPr>
      </w:pPr>
      <w:bookmarkStart w:id="158" w:name="_Toc63095161"/>
      <w:r w:rsidRPr="00B022B3">
        <w:t>Costs not supported by the program plan</w:t>
      </w:r>
      <w:bookmarkEnd w:id="158"/>
      <w:r w:rsidRPr="00B022B3">
        <w:t xml:space="preserve"> </w:t>
      </w:r>
    </w:p>
    <w:p w14:paraId="2D9FEB70" w14:textId="77777777" w:rsidR="003D0331" w:rsidRDefault="003D0331" w:rsidP="00442C8B">
      <w:pPr>
        <w:pStyle w:val="ListParagraph"/>
        <w:numPr>
          <w:ilvl w:val="0"/>
          <w:numId w:val="19"/>
        </w:numPr>
      </w:pPr>
      <w:bookmarkStart w:id="159" w:name="_Toc63095162"/>
      <w:r w:rsidRPr="00B022B3">
        <w:t>Entertainment</w:t>
      </w:r>
      <w:bookmarkEnd w:id="159"/>
    </w:p>
    <w:p w14:paraId="6B17F04A" w14:textId="77777777" w:rsidR="003D0331" w:rsidRDefault="003D0331" w:rsidP="003D0331">
      <w:pPr>
        <w:pStyle w:val="ListParagraph"/>
        <w:numPr>
          <w:ilvl w:val="0"/>
          <w:numId w:val="0"/>
        </w:numPr>
        <w:ind w:left="720"/>
      </w:pPr>
    </w:p>
    <w:p w14:paraId="47584611" w14:textId="77777777" w:rsidR="003D0331" w:rsidRPr="00336E67" w:rsidRDefault="6A7466AF" w:rsidP="003D0331">
      <w:pPr>
        <w:pStyle w:val="Heading2"/>
      </w:pPr>
      <w:bookmarkStart w:id="160" w:name="_Toc533681897"/>
      <w:bookmarkStart w:id="161" w:name="_Toc63095163"/>
      <w:bookmarkStart w:id="162" w:name="_Toc63095532"/>
      <w:bookmarkStart w:id="163" w:name="_Toc63095891"/>
      <w:bookmarkStart w:id="164" w:name="_Toc172890053"/>
      <w:r>
        <w:t>Section 3:  Completing the Application</w:t>
      </w:r>
      <w:bookmarkEnd w:id="160"/>
      <w:bookmarkEnd w:id="161"/>
      <w:bookmarkEnd w:id="162"/>
      <w:bookmarkEnd w:id="163"/>
      <w:bookmarkEnd w:id="164"/>
    </w:p>
    <w:p w14:paraId="2084CC73" w14:textId="77777777" w:rsidR="003D0331" w:rsidRPr="00336E67" w:rsidRDefault="6A7466AF" w:rsidP="00442C8B">
      <w:pPr>
        <w:pStyle w:val="Heading3"/>
        <w:numPr>
          <w:ilvl w:val="0"/>
          <w:numId w:val="6"/>
        </w:numPr>
      </w:pPr>
      <w:bookmarkStart w:id="165" w:name="_Toc533681898"/>
      <w:bookmarkStart w:id="166" w:name="_Toc63095164"/>
      <w:bookmarkStart w:id="167" w:name="_Toc63095533"/>
      <w:bookmarkStart w:id="168" w:name="_Toc63095892"/>
      <w:bookmarkStart w:id="169" w:name="_Toc172890054"/>
      <w:r>
        <w:t>General Instructions for Applying</w:t>
      </w:r>
      <w:bookmarkEnd w:id="165"/>
      <w:bookmarkEnd w:id="166"/>
      <w:bookmarkEnd w:id="167"/>
      <w:bookmarkEnd w:id="168"/>
      <w:bookmarkEnd w:id="169"/>
    </w:p>
    <w:p w14:paraId="21A41C30" w14:textId="1D248D5E" w:rsidR="003D0331" w:rsidRPr="00B9755A" w:rsidRDefault="00BD4ED4" w:rsidP="003D0331">
      <w:pPr>
        <w:pStyle w:val="BodyTextIndent"/>
        <w:ind w:left="0"/>
        <w:jc w:val="left"/>
        <w:rPr>
          <w:rFonts w:cs="Calibri"/>
        </w:rPr>
      </w:pPr>
      <w:r>
        <w:rPr>
          <w:rFonts w:cs="Calibri"/>
        </w:rPr>
        <w:t>Applicants must prepare and submit a complete application to apply for a grant under this NGO</w:t>
      </w:r>
      <w:r w:rsidR="003D0331" w:rsidRPr="00B9755A">
        <w:rPr>
          <w:rFonts w:cs="Calibri"/>
        </w:rPr>
        <w:t xml:space="preserve">. The application must </w:t>
      </w:r>
      <w:r>
        <w:rPr>
          <w:rFonts w:cs="Calibri"/>
        </w:rPr>
        <w:t>respond</w:t>
      </w:r>
      <w:r w:rsidR="003D0331" w:rsidRPr="00B9755A">
        <w:rPr>
          <w:rFonts w:cs="Calibri"/>
        </w:rPr>
        <w:t xml:space="preserve"> to the State</w:t>
      </w:r>
      <w:r w:rsidR="000D5A24">
        <w:rPr>
          <w:rFonts w:cs="Calibri"/>
        </w:rPr>
        <w:t>'</w:t>
      </w:r>
      <w:r w:rsidR="003D0331" w:rsidRPr="00B9755A">
        <w:rPr>
          <w:rFonts w:cs="Calibri"/>
        </w:rPr>
        <w:t>s vision as articulated in Section 1: Grant Program Information of this NGO. It must be planned, designed, and developed in accordance with the program framework articulated in Section 2: Project Guidelines of this NGO. The applicant may wish to consult additional guidance found in the</w:t>
      </w:r>
      <w:r w:rsidR="003D0331">
        <w:rPr>
          <w:rFonts w:cs="Calibri"/>
        </w:rPr>
        <w:t xml:space="preserve"> </w:t>
      </w:r>
      <w:hyperlink r:id="rId27" w:history="1">
        <w:r w:rsidR="003D0331" w:rsidRPr="007E18B7">
          <w:rPr>
            <w:rStyle w:val="Hyperlink"/>
            <w:rFonts w:eastAsia="SimSun" w:cs="Calibri"/>
          </w:rPr>
          <w:t>Pre-award Manual for Discretionary Grants.</w:t>
        </w:r>
      </w:hyperlink>
    </w:p>
    <w:p w14:paraId="2FDA310F" w14:textId="77777777" w:rsidR="003D0331" w:rsidRDefault="6A7466AF" w:rsidP="00442C8B">
      <w:pPr>
        <w:pStyle w:val="Heading3"/>
        <w:numPr>
          <w:ilvl w:val="0"/>
          <w:numId w:val="7"/>
        </w:numPr>
      </w:pPr>
      <w:bookmarkStart w:id="170" w:name="_Toc533681899"/>
      <w:bookmarkStart w:id="171" w:name="_Toc63095165"/>
      <w:bookmarkStart w:id="172" w:name="_Toc63095534"/>
      <w:bookmarkStart w:id="173" w:name="_Toc63095893"/>
      <w:bookmarkStart w:id="174" w:name="_Toc172890055"/>
      <w:r>
        <w:t xml:space="preserve">Review of </w:t>
      </w:r>
      <w:bookmarkEnd w:id="170"/>
      <w:bookmarkEnd w:id="171"/>
      <w:bookmarkEnd w:id="172"/>
      <w:bookmarkEnd w:id="173"/>
      <w:r>
        <w:t>Continuation Applications</w:t>
      </w:r>
      <w:bookmarkEnd w:id="174"/>
    </w:p>
    <w:p w14:paraId="6098DB32" w14:textId="394A64E7" w:rsidR="003D0331" w:rsidRPr="009D79EA" w:rsidRDefault="6A7466AF" w:rsidP="003D0331">
      <w:r w:rsidRPr="009D79EA">
        <w:t xml:space="preserve">Department staff will review each continuation grant application </w:t>
      </w:r>
      <w:r w:rsidR="002C43F2">
        <w:t>based on</w:t>
      </w:r>
      <w:r w:rsidRPr="009D79EA">
        <w:t xml:space="preserve"> quality and comprehensiveness, including consistency with the comprehensive project plan selected and approved in the application under the initiating multi-year NGO. Applications will also be reviewed for completeness, accuracy</w:t>
      </w:r>
      <w:r w:rsidR="003A2234">
        <w:t>,</w:t>
      </w:r>
      <w:r w:rsidRPr="009D79EA">
        <w:t xml:space="preserve"> and appropriateness of response to each of the items identified in Section 2.</w:t>
      </w:r>
    </w:p>
    <w:p w14:paraId="25F017EC" w14:textId="41C84D27" w:rsidR="00DA4574" w:rsidRPr="009D79EA" w:rsidRDefault="39EA911F" w:rsidP="1AE24D0C">
      <w:pPr>
        <w:rPr>
          <w:rFonts w:eastAsia="SimSun"/>
        </w:rPr>
      </w:pPr>
      <w:r w:rsidRPr="009D79EA">
        <w:rPr>
          <w:rFonts w:eastAsia="SimSun"/>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1E09B1" w14:textId="77777777" w:rsidR="003D0331" w:rsidRPr="00336E67" w:rsidRDefault="6A7466AF" w:rsidP="00442C8B">
      <w:pPr>
        <w:pStyle w:val="Heading3"/>
        <w:numPr>
          <w:ilvl w:val="0"/>
          <w:numId w:val="7"/>
        </w:numPr>
      </w:pPr>
      <w:bookmarkStart w:id="175" w:name="_Toc533681900"/>
      <w:bookmarkStart w:id="176" w:name="_Toc63095166"/>
      <w:bookmarkStart w:id="177" w:name="_Toc63095535"/>
      <w:bookmarkStart w:id="178" w:name="_Toc63095894"/>
      <w:bookmarkStart w:id="179" w:name="_Toc172890056"/>
      <w:bookmarkStart w:id="180" w:name="_Toc63088786"/>
      <w:r>
        <w:lastRenderedPageBreak/>
        <w:t>Application Component Checklist</w:t>
      </w:r>
      <w:bookmarkEnd w:id="175"/>
      <w:bookmarkEnd w:id="176"/>
      <w:bookmarkEnd w:id="177"/>
      <w:bookmarkEnd w:id="178"/>
      <w:bookmarkEnd w:id="179"/>
    </w:p>
    <w:p w14:paraId="1266C729" w14:textId="456AD2A0" w:rsidR="003D0331" w:rsidRPr="00B9755A" w:rsidRDefault="003D0331" w:rsidP="003D0331">
      <w:pPr>
        <w:pStyle w:val="BodyText3"/>
        <w:jc w:val="left"/>
        <w:rPr>
          <w:rFonts w:cs="Calibri"/>
          <w:b w:val="0"/>
        </w:rPr>
      </w:pPr>
      <w:r w:rsidRPr="00B9755A">
        <w:rPr>
          <w:rFonts w:cs="Calibri"/>
          <w:b w:val="0"/>
        </w:rPr>
        <w:t xml:space="preserve">The following components are required (see </w:t>
      </w:r>
      <w:r w:rsidRPr="00B9755A">
        <w:rPr>
          <w:rFonts w:cs="Calibri"/>
          <w:b w:val="0"/>
          <w:i/>
        </w:rPr>
        <w:t xml:space="preserve">Required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be included as part of the application. Failure to include a required component may result in the application being removed from consideration for funding. Use the checklist (see </w:t>
      </w:r>
      <w:r w:rsidRPr="00B9755A">
        <w:rPr>
          <w:rFonts w:cs="Calibri"/>
          <w:b w:val="0"/>
          <w:i/>
        </w:rPr>
        <w:t xml:space="preserve">Included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ensure that all </w:t>
      </w:r>
      <w:r w:rsidR="00F84553">
        <w:rPr>
          <w:rFonts w:cs="Calibri"/>
          <w:b w:val="0"/>
        </w:rPr>
        <w:t>the necessary</w:t>
      </w:r>
      <w:r w:rsidRPr="00B9755A">
        <w:rPr>
          <w:rFonts w:cs="Calibri"/>
          <w:b w:val="0"/>
        </w:rPr>
        <w:t xml:space="preserve"> </w:t>
      </w:r>
      <w:r w:rsidR="00F84553">
        <w:rPr>
          <w:rFonts w:cs="Calibri"/>
          <w:b w:val="0"/>
        </w:rPr>
        <w:t>elem</w:t>
      </w:r>
      <w:r w:rsidRPr="00B9755A">
        <w:rPr>
          <w:rFonts w:cs="Calibri"/>
          <w:b w:val="0"/>
        </w:rPr>
        <w:t xml:space="preserve">ents have been completed in the application. </w:t>
      </w:r>
    </w:p>
    <w:tbl>
      <w:tblPr>
        <w:tblStyle w:val="TableGrid1"/>
        <w:tblW w:w="0" w:type="auto"/>
        <w:tblLook w:val="04A0" w:firstRow="1" w:lastRow="0" w:firstColumn="1" w:lastColumn="0" w:noHBand="0" w:noVBand="1"/>
      </w:tblPr>
      <w:tblGrid>
        <w:gridCol w:w="7020"/>
        <w:gridCol w:w="2330"/>
        <w:gridCol w:w="10"/>
      </w:tblGrid>
      <w:tr w:rsidR="003D0331" w:rsidRPr="00DF0D7B" w14:paraId="0934D15D" w14:textId="77777777" w:rsidTr="1AE24D0C">
        <w:tc>
          <w:tcPr>
            <w:tcW w:w="7020" w:type="dxa"/>
            <w:tcBorders>
              <w:top w:val="nil"/>
              <w:left w:val="nil"/>
              <w:bottom w:val="single" w:sz="4" w:space="0" w:color="auto"/>
              <w:right w:val="nil"/>
            </w:tcBorders>
            <w:shd w:val="clear" w:color="auto" w:fill="FFFFFF" w:themeFill="background1"/>
          </w:tcPr>
          <w:p w14:paraId="0BF32D0A" w14:textId="77777777" w:rsidR="003D0331" w:rsidRPr="00392CF6" w:rsidRDefault="003D0331" w:rsidP="00283387">
            <w:pPr>
              <w:rPr>
                <w:rStyle w:val="Strong"/>
              </w:rPr>
            </w:pPr>
            <w:bookmarkStart w:id="181" w:name="_Toc530056198"/>
            <w:r w:rsidRPr="00392CF6">
              <w:rPr>
                <w:rStyle w:val="Strong"/>
              </w:rPr>
              <w:t>Required Components in EWEG</w:t>
            </w:r>
            <w:bookmarkEnd w:id="181"/>
          </w:p>
        </w:tc>
        <w:tc>
          <w:tcPr>
            <w:tcW w:w="2340" w:type="dxa"/>
            <w:gridSpan w:val="2"/>
            <w:tcBorders>
              <w:top w:val="nil"/>
              <w:left w:val="nil"/>
              <w:bottom w:val="single" w:sz="4" w:space="0" w:color="auto"/>
              <w:right w:val="nil"/>
            </w:tcBorders>
            <w:shd w:val="clear" w:color="auto" w:fill="FFFFFF" w:themeFill="background1"/>
          </w:tcPr>
          <w:p w14:paraId="0B139481" w14:textId="77777777" w:rsidR="003D0331" w:rsidRPr="00DF0D7B" w:rsidRDefault="003D0331" w:rsidP="00283387">
            <w:pPr>
              <w:pStyle w:val="Heading4"/>
              <w:spacing w:after="0"/>
              <w:rPr>
                <w:color w:val="auto"/>
                <w:szCs w:val="20"/>
              </w:rPr>
            </w:pPr>
          </w:p>
        </w:tc>
      </w:tr>
      <w:tr w:rsidR="003D0331" w:rsidRPr="005F24D4" w14:paraId="20872EE3" w14:textId="77777777" w:rsidTr="1AE24D0C">
        <w:tc>
          <w:tcPr>
            <w:tcW w:w="7020" w:type="dxa"/>
            <w:tcBorders>
              <w:top w:val="single" w:sz="4" w:space="0" w:color="auto"/>
            </w:tcBorders>
            <w:shd w:val="clear" w:color="auto" w:fill="D9D9D9" w:themeFill="background1" w:themeFillShade="D9"/>
          </w:tcPr>
          <w:p w14:paraId="4A508E9D" w14:textId="77777777" w:rsidR="003D0331" w:rsidRPr="009D79EA" w:rsidRDefault="003D0331" w:rsidP="00283387">
            <w:pPr>
              <w:rPr>
                <w:color w:val="auto"/>
                <w:szCs w:val="20"/>
              </w:rPr>
            </w:pPr>
            <w:r w:rsidRPr="009D79EA">
              <w:rPr>
                <w:color w:val="auto"/>
                <w:szCs w:val="20"/>
              </w:rPr>
              <w:t>EWEG Tab/Subtab</w:t>
            </w:r>
          </w:p>
        </w:tc>
        <w:tc>
          <w:tcPr>
            <w:tcW w:w="2340" w:type="dxa"/>
            <w:gridSpan w:val="2"/>
            <w:tcBorders>
              <w:top w:val="single" w:sz="4" w:space="0" w:color="auto"/>
            </w:tcBorders>
            <w:shd w:val="clear" w:color="auto" w:fill="D9D9D9" w:themeFill="background1" w:themeFillShade="D9"/>
          </w:tcPr>
          <w:p w14:paraId="0F7BEEDC" w14:textId="77777777" w:rsidR="003D0331" w:rsidRPr="0022501E" w:rsidRDefault="003D0331" w:rsidP="00283387">
            <w:pPr>
              <w:rPr>
                <w:color w:val="auto"/>
                <w:szCs w:val="20"/>
                <w:highlight w:val="yellow"/>
              </w:rPr>
            </w:pPr>
            <w:r w:rsidRPr="009D79EA">
              <w:rPr>
                <w:color w:val="auto"/>
                <w:szCs w:val="20"/>
              </w:rPr>
              <w:t>Check (</w:t>
            </w:r>
            <w:r w:rsidRPr="009D79EA">
              <w:rPr>
                <w:rFonts w:ascii="Wingdings" w:eastAsia="Wingdings" w:hAnsi="Wingdings" w:cs="Wingdings"/>
                <w:i/>
                <w:color w:val="auto"/>
                <w:szCs w:val="22"/>
              </w:rPr>
              <w:t></w:t>
            </w:r>
            <w:r w:rsidRPr="009D79EA">
              <w:rPr>
                <w:i/>
                <w:color w:val="auto"/>
                <w:szCs w:val="22"/>
              </w:rPr>
              <w:t>)</w:t>
            </w:r>
            <w:r w:rsidRPr="009D79EA">
              <w:rPr>
                <w:color w:val="auto"/>
                <w:szCs w:val="20"/>
              </w:rPr>
              <w:t xml:space="preserve"> if included</w:t>
            </w:r>
          </w:p>
        </w:tc>
      </w:tr>
      <w:tr w:rsidR="003D0331" w:rsidRPr="005F24D4" w14:paraId="2BA2F72B" w14:textId="77777777" w:rsidTr="1AE24D0C">
        <w:tc>
          <w:tcPr>
            <w:tcW w:w="7020" w:type="dxa"/>
          </w:tcPr>
          <w:p w14:paraId="7D1E8072" w14:textId="47DC9E7E" w:rsidR="003D0331" w:rsidRPr="009D79EA" w:rsidRDefault="6A7466AF" w:rsidP="1AE24D0C">
            <w:pPr>
              <w:rPr>
                <w:color w:val="auto"/>
              </w:rPr>
            </w:pPr>
            <w:r w:rsidRPr="009D79EA">
              <w:rPr>
                <w:color w:val="auto"/>
              </w:rPr>
              <w:t>Admin (Contacts, Allocation, Assurance,</w:t>
            </w:r>
            <w:r w:rsidR="6B8299B6" w:rsidRPr="009D79EA">
              <w:rPr>
                <w:color w:val="auto"/>
              </w:rPr>
              <w:t xml:space="preserve"> and</w:t>
            </w:r>
            <w:r w:rsidRPr="009D79EA">
              <w:rPr>
                <w:color w:val="auto"/>
              </w:rPr>
              <w:t xml:space="preserve"> Board Resolution)</w:t>
            </w:r>
          </w:p>
        </w:tc>
        <w:tc>
          <w:tcPr>
            <w:tcW w:w="2340" w:type="dxa"/>
            <w:gridSpan w:val="2"/>
          </w:tcPr>
          <w:p w14:paraId="16328848" w14:textId="77777777" w:rsidR="003D0331" w:rsidRPr="0022501E" w:rsidRDefault="003D0331" w:rsidP="00283387">
            <w:pPr>
              <w:rPr>
                <w:color w:val="auto"/>
                <w:szCs w:val="20"/>
                <w:highlight w:val="yellow"/>
              </w:rPr>
            </w:pPr>
          </w:p>
        </w:tc>
      </w:tr>
      <w:tr w:rsidR="003D0331" w:rsidRPr="005F24D4" w14:paraId="54099736" w14:textId="77777777" w:rsidTr="1AE24D0C">
        <w:tc>
          <w:tcPr>
            <w:tcW w:w="7020" w:type="dxa"/>
          </w:tcPr>
          <w:p w14:paraId="25F0EB43" w14:textId="77777777" w:rsidR="003D0331" w:rsidRPr="009D79EA" w:rsidRDefault="003D0331" w:rsidP="00283387">
            <w:pPr>
              <w:rPr>
                <w:color w:val="auto"/>
                <w:szCs w:val="20"/>
              </w:rPr>
            </w:pPr>
            <w:r w:rsidRPr="009D79EA">
              <w:rPr>
                <w:color w:val="auto"/>
                <w:szCs w:val="22"/>
              </w:rPr>
              <w:t>Budget</w:t>
            </w:r>
          </w:p>
        </w:tc>
        <w:tc>
          <w:tcPr>
            <w:tcW w:w="2340" w:type="dxa"/>
            <w:gridSpan w:val="2"/>
          </w:tcPr>
          <w:p w14:paraId="267E3D7C" w14:textId="77777777" w:rsidR="003D0331" w:rsidRPr="0022501E" w:rsidRDefault="003D0331" w:rsidP="00283387">
            <w:pPr>
              <w:rPr>
                <w:color w:val="auto"/>
                <w:szCs w:val="20"/>
                <w:highlight w:val="yellow"/>
              </w:rPr>
            </w:pPr>
          </w:p>
        </w:tc>
      </w:tr>
      <w:tr w:rsidR="003D0331" w:rsidRPr="005F24D4" w14:paraId="2F70B936" w14:textId="77777777" w:rsidTr="1AE24D0C">
        <w:tc>
          <w:tcPr>
            <w:tcW w:w="7020" w:type="dxa"/>
          </w:tcPr>
          <w:p w14:paraId="0EFAD24E" w14:textId="77777777" w:rsidR="003D0331" w:rsidRPr="009D79EA" w:rsidRDefault="003D0331" w:rsidP="00283387">
            <w:pPr>
              <w:rPr>
                <w:color w:val="auto"/>
                <w:szCs w:val="20"/>
              </w:rPr>
            </w:pPr>
            <w:r w:rsidRPr="009D79EA">
              <w:rPr>
                <w:color w:val="auto"/>
                <w:szCs w:val="22"/>
              </w:rPr>
              <w:t>Narrative (Description, Goals/Objectives/Indicators, Activity Plan)</w:t>
            </w:r>
          </w:p>
        </w:tc>
        <w:tc>
          <w:tcPr>
            <w:tcW w:w="2340" w:type="dxa"/>
            <w:gridSpan w:val="2"/>
          </w:tcPr>
          <w:p w14:paraId="4762AC17" w14:textId="77777777" w:rsidR="003D0331" w:rsidRPr="0022501E" w:rsidRDefault="003D0331" w:rsidP="00283387">
            <w:pPr>
              <w:rPr>
                <w:color w:val="auto"/>
                <w:szCs w:val="20"/>
                <w:highlight w:val="yellow"/>
              </w:rPr>
            </w:pPr>
          </w:p>
        </w:tc>
      </w:tr>
      <w:tr w:rsidR="003D0331" w:rsidRPr="00DF0D7B" w14:paraId="255F8C06" w14:textId="77777777" w:rsidTr="1AE24D0C">
        <w:trPr>
          <w:gridAfter w:val="1"/>
          <w:wAfter w:w="10" w:type="dxa"/>
          <w:tblHeader/>
        </w:trPr>
        <w:tc>
          <w:tcPr>
            <w:tcW w:w="7020" w:type="dxa"/>
            <w:tcBorders>
              <w:top w:val="nil"/>
              <w:left w:val="nil"/>
              <w:bottom w:val="single" w:sz="4" w:space="0" w:color="auto"/>
              <w:right w:val="nil"/>
            </w:tcBorders>
            <w:shd w:val="clear" w:color="auto" w:fill="FFFFFF" w:themeFill="background1"/>
          </w:tcPr>
          <w:p w14:paraId="127E11B4" w14:textId="28758471" w:rsidR="003D0331" w:rsidRPr="00392CF6" w:rsidRDefault="003D0331" w:rsidP="00283387">
            <w:pPr>
              <w:spacing w:before="120"/>
              <w:rPr>
                <w:rStyle w:val="Strong"/>
              </w:rPr>
            </w:pPr>
          </w:p>
        </w:tc>
        <w:tc>
          <w:tcPr>
            <w:tcW w:w="2330" w:type="dxa"/>
            <w:tcBorders>
              <w:top w:val="nil"/>
              <w:left w:val="nil"/>
              <w:bottom w:val="single" w:sz="4" w:space="0" w:color="auto"/>
              <w:right w:val="nil"/>
            </w:tcBorders>
            <w:shd w:val="clear" w:color="auto" w:fill="FFFFFF" w:themeFill="background1"/>
          </w:tcPr>
          <w:p w14:paraId="0979EC01" w14:textId="77777777" w:rsidR="003D0331" w:rsidRPr="00DF0D7B" w:rsidRDefault="003D0331" w:rsidP="00283387">
            <w:pPr>
              <w:pStyle w:val="Heading4"/>
              <w:spacing w:after="0"/>
            </w:pPr>
          </w:p>
        </w:tc>
      </w:tr>
    </w:tbl>
    <w:p w14:paraId="35A3F243" w14:textId="62B02317" w:rsidR="1AE24D0C" w:rsidRDefault="1AE24D0C"/>
    <w:p w14:paraId="5DF0E434" w14:textId="6F45120B" w:rsidR="1AE24D0C" w:rsidRDefault="1AE24D0C"/>
    <w:p w14:paraId="3ACB4CE6" w14:textId="77777777" w:rsidR="00DA4574" w:rsidRDefault="00DA4574">
      <w:pPr>
        <w:spacing w:line="259" w:lineRule="auto"/>
      </w:pPr>
      <w:r>
        <w:br w:type="page"/>
      </w:r>
    </w:p>
    <w:p w14:paraId="3FF36F47" w14:textId="77777777" w:rsidR="003D0331" w:rsidRPr="007442EE" w:rsidRDefault="6A7466AF" w:rsidP="003D0331">
      <w:pPr>
        <w:pStyle w:val="Heading2"/>
      </w:pPr>
      <w:bookmarkStart w:id="182" w:name="_Toc172890057"/>
      <w:r>
        <w:lastRenderedPageBreak/>
        <w:t>Appendix A: Eligible Career Clusters® and New Jersey Key Industry Pathways</w:t>
      </w:r>
      <w:bookmarkEnd w:id="180"/>
      <w:bookmarkEnd w:id="182"/>
    </w:p>
    <w:p w14:paraId="7900DFB0" w14:textId="6791E1E3" w:rsidR="003D0331" w:rsidRDefault="003D0331" w:rsidP="003D0331">
      <w:r>
        <w:t xml:space="preserve">In the New Jersey Perkins V State Plan, the NJDOE announced its focus on rigorous CTE programs of study at the high school that align </w:t>
      </w:r>
      <w:r w:rsidR="003A2234">
        <w:t>with</w:t>
      </w:r>
      <w:r>
        <w:t xml:space="preserve"> high-wage, high-skill, in-demand careers. Our sister agency, the NJDOL</w:t>
      </w:r>
      <w:r w:rsidR="009A40C0">
        <w:t>,</w:t>
      </w:r>
      <w:r>
        <w:t xml:space="preserve"> has identified nine key industry clusters in New Jersey: Construction and Energy</w:t>
      </w:r>
      <w:r w:rsidR="009A40C0">
        <w:t>,</w:t>
      </w:r>
      <w:r>
        <w:t xml:space="preserve"> Finance</w:t>
      </w:r>
      <w:r w:rsidR="009A40C0">
        <w:t>,</w:t>
      </w:r>
      <w:r>
        <w:t xml:space="preserve"> Health Care</w:t>
      </w:r>
      <w:r w:rsidR="009A40C0">
        <w:t>,</w:t>
      </w:r>
      <w:r>
        <w:t xml:space="preserve"> Leisure and Hospitality</w:t>
      </w:r>
      <w:r w:rsidR="009A40C0">
        <w:t>,</w:t>
      </w:r>
      <w:r>
        <w:t xml:space="preserve"> Life Sciences</w:t>
      </w:r>
      <w:r w:rsidR="009A40C0">
        <w:t>,</w:t>
      </w:r>
      <w:r>
        <w:t xml:space="preserve"> Manufacturing</w:t>
      </w:r>
      <w:r w:rsidR="009A40C0">
        <w:t>,</w:t>
      </w:r>
      <w:r>
        <w:t xml:space="preserve"> Retail Trade</w:t>
      </w:r>
      <w:r w:rsidR="009A40C0">
        <w:t>,</w:t>
      </w:r>
      <w:r>
        <w:t xml:space="preserve"> Technology</w:t>
      </w:r>
      <w:r w:rsidR="001C3E44">
        <w:t>,</w:t>
      </w:r>
      <w:r>
        <w:t xml:space="preserve"> and Transportation, Logistics and Distribution. </w:t>
      </w:r>
    </w:p>
    <w:p w14:paraId="31926E88" w14:textId="66DE62F3" w:rsidR="003D0331" w:rsidRPr="003B26A0" w:rsidRDefault="003D0331" w:rsidP="003D0331">
      <w:pPr>
        <w:rPr>
          <w:b/>
        </w:rPr>
      </w:pPr>
      <w:r>
        <w:t>This grant opportunity focuses on the high-skill, high-wage, in-demand pathways that fall within each of these key industry clusters.</w:t>
      </w:r>
      <w:r>
        <w:rPr>
          <w:b/>
        </w:rPr>
        <w:t xml:space="preserve"> </w:t>
      </w:r>
      <w:r>
        <w:t>A brief description of each industry and the focus of the CTE cluster are included for reference. It is critical to note that not all o</w:t>
      </w:r>
      <w:r w:rsidR="006C1850">
        <w:t>ccupations</w:t>
      </w:r>
      <w:r>
        <w:t xml:space="preserve"> within these clusters meet the high-skill, high-wage, in-demand designation. Key pathways have been selected for your reference and review, with a link to brief descriptions found on the</w:t>
      </w:r>
      <w:r>
        <w:br/>
        <w:t xml:space="preserve"> </w:t>
      </w:r>
      <w:hyperlink r:id="rId28" w:history="1">
        <w:r w:rsidRPr="00113503">
          <w:rPr>
            <w:rStyle w:val="Hyperlink"/>
            <w:rFonts w:eastAsia="SimSun"/>
          </w:rPr>
          <w:t>Advance CTE website</w:t>
        </w:r>
      </w:hyperlink>
      <w:r>
        <w:t xml:space="preserve"> </w:t>
      </w:r>
      <w:r w:rsidRPr="00113503">
        <w:rPr>
          <w:rFonts w:ascii="Segoe UI Symbol" w:hAnsi="Segoe UI Symbol"/>
          <w:spacing w:val="-24"/>
        </w:rPr>
        <w:t>⎸</w:t>
      </w:r>
      <w:r w:rsidRPr="00113503">
        <w:rPr>
          <w:spacing w:val="-24"/>
        </w:rPr>
        <w:t xml:space="preserve"> </w:t>
      </w:r>
      <w:hyperlink r:id="rId29" w:history="1">
        <w:r w:rsidRPr="00AA47D8">
          <w:rPr>
            <w:rStyle w:val="Hyperlink"/>
            <w:rFonts w:eastAsia="SimSun"/>
          </w:rPr>
          <w:t>https://careertech.org/career-clusters</w:t>
        </w:r>
      </w:hyperlink>
      <w:r>
        <w:t xml:space="preserve"> </w:t>
      </w:r>
    </w:p>
    <w:p w14:paraId="59A71A2B" w14:textId="77777777" w:rsidR="003D0331" w:rsidRDefault="003D0331" w:rsidP="003D0331">
      <w:pPr>
        <w:spacing w:after="0"/>
        <w:rPr>
          <w:b/>
        </w:rPr>
      </w:pPr>
    </w:p>
    <w:p w14:paraId="7AA3B763" w14:textId="77777777" w:rsidR="003D0331" w:rsidRPr="007442EE" w:rsidRDefault="003D0331" w:rsidP="003D0331">
      <w:pPr>
        <w:spacing w:after="0"/>
        <w:rPr>
          <w:rStyle w:val="Strong"/>
        </w:rPr>
      </w:pPr>
      <w:r w:rsidRPr="007442EE">
        <w:rPr>
          <w:rStyle w:val="Strong"/>
        </w:rPr>
        <w:t>Architecture and Construction</w:t>
      </w:r>
    </w:p>
    <w:p w14:paraId="75BF5403" w14:textId="77777777" w:rsidR="003D0331" w:rsidRDefault="003D0331" w:rsidP="003D0331">
      <w:pPr>
        <w:spacing w:after="0"/>
      </w:pPr>
      <w:r w:rsidRPr="00534F86">
        <w:rPr>
          <w:iCs/>
        </w:rPr>
        <w:t>This Career Cluster is focused on careers in designing, planning, managing, building, and maintaining the built environment</w:t>
      </w:r>
      <w:r w:rsidRPr="002F21CC">
        <w:rPr>
          <w:i/>
          <w:iCs/>
        </w:rPr>
        <w:t>.</w:t>
      </w:r>
    </w:p>
    <w:p w14:paraId="4806EB74" w14:textId="77777777" w:rsidR="003D0331" w:rsidRPr="00091FD0" w:rsidRDefault="003D0331" w:rsidP="00442C8B">
      <w:pPr>
        <w:pStyle w:val="ListParagraph"/>
        <w:numPr>
          <w:ilvl w:val="0"/>
          <w:numId w:val="8"/>
        </w:numPr>
      </w:pPr>
      <w:r w:rsidRPr="00895EA6">
        <w:t>Design/Pre-Construction Pathway</w:t>
      </w:r>
      <w:r>
        <w:t xml:space="preserve">: </w:t>
      </w:r>
      <w:r w:rsidRPr="00091FD0">
        <w:t xml:space="preserve">People with careers in design/pre-construction turn a concept into a set of plans. Their plans guide other construction professionals as they continue the building process. </w:t>
      </w:r>
    </w:p>
    <w:p w14:paraId="4C839E6D" w14:textId="5EECA095" w:rsidR="003D0331" w:rsidRPr="00091FD0" w:rsidRDefault="003D0331" w:rsidP="00442C8B">
      <w:pPr>
        <w:pStyle w:val="ListParagraph"/>
        <w:numPr>
          <w:ilvl w:val="0"/>
          <w:numId w:val="8"/>
        </w:numPr>
      </w:pPr>
      <w:r w:rsidRPr="00091FD0">
        <w:t>Construction Pathway: Employees in construction build and remodel houses, apartments, industrial buildings, warehouses, office buildings, churches, schools, and recreational facilities. This pathway also includes the builders of highways, streets, bridges, tunnels, a</w:t>
      </w:r>
      <w:r w:rsidR="006C1850">
        <w:t>irports, and</w:t>
      </w:r>
      <w:r w:rsidRPr="00091FD0">
        <w:t xml:space="preserve"> power plants, chemical plants, refineries, and mills.</w:t>
      </w:r>
    </w:p>
    <w:p w14:paraId="70619AE7" w14:textId="58BEB733" w:rsidR="003D0331" w:rsidRPr="00091FD0" w:rsidRDefault="003D0331" w:rsidP="00442C8B">
      <w:pPr>
        <w:pStyle w:val="ListParagraph"/>
        <w:numPr>
          <w:ilvl w:val="0"/>
          <w:numId w:val="8"/>
        </w:numPr>
        <w:rPr>
          <w:b/>
        </w:rPr>
      </w:pPr>
      <w:r w:rsidRPr="00091FD0">
        <w:t>Maintenance/Operations Pathway: Employees in maintenance and operations unload, inspect, and move new equipment into position. They determine the optimal placement of machines in a plant, assemble machinery, install machinery, repair machinery, and perform preventive maintenance. They detect, diagnose</w:t>
      </w:r>
      <w:r w:rsidR="001C3E44">
        <w:t>,</w:t>
      </w:r>
      <w:r w:rsidRPr="00091FD0">
        <w:t xml:space="preserve"> and correct minor problems </w:t>
      </w:r>
      <w:proofErr w:type="gramStart"/>
      <w:r w:rsidRPr="00091FD0">
        <w:t>on</w:t>
      </w:r>
      <w:proofErr w:type="gramEnd"/>
      <w:r w:rsidRPr="00091FD0">
        <w:t xml:space="preserve"> machinery. </w:t>
      </w:r>
    </w:p>
    <w:p w14:paraId="6B8091EB" w14:textId="77777777" w:rsidR="003D0331" w:rsidRDefault="003D0331" w:rsidP="003D0331">
      <w:pPr>
        <w:spacing w:after="0"/>
        <w:rPr>
          <w:b/>
        </w:rPr>
      </w:pPr>
    </w:p>
    <w:p w14:paraId="3E6AC3E8" w14:textId="77777777" w:rsidR="003D0331" w:rsidRPr="007442EE" w:rsidRDefault="003D0331" w:rsidP="003D0331">
      <w:pPr>
        <w:spacing w:after="0"/>
        <w:rPr>
          <w:rStyle w:val="Strong"/>
        </w:rPr>
      </w:pPr>
      <w:r w:rsidRPr="007442EE">
        <w:rPr>
          <w:rStyle w:val="Strong"/>
        </w:rPr>
        <w:t>Business</w:t>
      </w:r>
      <w:r>
        <w:rPr>
          <w:rStyle w:val="Strong"/>
        </w:rPr>
        <w:t xml:space="preserve"> Management</w:t>
      </w:r>
    </w:p>
    <w:p w14:paraId="20EA658A" w14:textId="77777777" w:rsidR="003D0331" w:rsidRPr="00472B81" w:rsidRDefault="003D0331" w:rsidP="003D0331">
      <w:pPr>
        <w:spacing w:after="0"/>
      </w:pPr>
      <w:r w:rsidRPr="00472B81">
        <w:rPr>
          <w:iCs/>
        </w:rPr>
        <w:t>This Career Cluster is focused on careers in planning, organizing, directing, and evaluating business functions essential to efficient and productive business operations.</w:t>
      </w:r>
    </w:p>
    <w:p w14:paraId="5B4612D5" w14:textId="77777777" w:rsidR="003D0331" w:rsidRPr="00091FD0" w:rsidRDefault="003D0331" w:rsidP="00442C8B">
      <w:pPr>
        <w:pStyle w:val="ListParagraph"/>
        <w:numPr>
          <w:ilvl w:val="0"/>
          <w:numId w:val="9"/>
        </w:numPr>
      </w:pPr>
      <w:r w:rsidRPr="00895EA6">
        <w:t>General Management Pathway</w:t>
      </w:r>
      <w:r>
        <w:t xml:space="preserve">: </w:t>
      </w:r>
      <w:r w:rsidRPr="00091FD0">
        <w:t>General Management focuses on careers that plan, organize, direct, and evaluate all or part of a business organization through the allocation and use of financial, human, and material resources.</w:t>
      </w:r>
    </w:p>
    <w:p w14:paraId="2A4D5BF5" w14:textId="77777777" w:rsidR="003D0331" w:rsidRPr="007442EE" w:rsidRDefault="003D0331" w:rsidP="003D0331">
      <w:pPr>
        <w:spacing w:after="0" w:line="240" w:lineRule="auto"/>
        <w:rPr>
          <w:rStyle w:val="Strong"/>
        </w:rPr>
      </w:pPr>
      <w:r w:rsidRPr="007442EE">
        <w:rPr>
          <w:rStyle w:val="Strong"/>
        </w:rPr>
        <w:t>Finance</w:t>
      </w:r>
    </w:p>
    <w:p w14:paraId="74CD9307" w14:textId="2786F83F" w:rsidR="003D0331" w:rsidRPr="00485B39" w:rsidRDefault="003D0331" w:rsidP="003D0331">
      <w:pPr>
        <w:shd w:val="clear" w:color="auto" w:fill="FFFFFF"/>
        <w:spacing w:after="0" w:line="240" w:lineRule="auto"/>
      </w:pPr>
      <w:r w:rsidRPr="00472B81">
        <w:rPr>
          <w:iCs/>
        </w:rPr>
        <w:t>This Career Cluster is focused on planning services for financial and investment planning, banking, insurance, and business financial management.</w:t>
      </w:r>
    </w:p>
    <w:p w14:paraId="0D8E6942" w14:textId="77777777" w:rsidR="003D0331" w:rsidRPr="00091FD0" w:rsidRDefault="003D0331" w:rsidP="00442C8B">
      <w:pPr>
        <w:pStyle w:val="ListParagraph"/>
        <w:numPr>
          <w:ilvl w:val="0"/>
          <w:numId w:val="10"/>
        </w:numPr>
      </w:pPr>
      <w:r w:rsidRPr="002F21CC">
        <w:t>Business Finance Pathway</w:t>
      </w:r>
      <w:r>
        <w:t xml:space="preserve">: </w:t>
      </w:r>
      <w:r w:rsidRPr="00091FD0">
        <w:t>The business finance function in a company is to manage policy and strategy for (and the implementation of) capital structure, budgeting, acquisition and investment, financial modeling and planning, funding, dividends, and taxation.</w:t>
      </w:r>
    </w:p>
    <w:p w14:paraId="2B68CA3E" w14:textId="77777777" w:rsidR="003D0331" w:rsidRPr="00091FD0" w:rsidRDefault="003D0331" w:rsidP="00442C8B">
      <w:pPr>
        <w:pStyle w:val="ListParagraph"/>
        <w:numPr>
          <w:ilvl w:val="0"/>
          <w:numId w:val="10"/>
        </w:numPr>
      </w:pPr>
      <w:r w:rsidRPr="00091FD0">
        <w:t xml:space="preserve">Accounting Pathway: Accounting encompasses careers that record, classify, summarize, analyze, and communicate a business's financial information/business transactions for use in </w:t>
      </w:r>
      <w:r w:rsidRPr="00091FD0">
        <w:lastRenderedPageBreak/>
        <w:t>management decision-making. Accounting includes such activities as bookkeeping, systems design, analysis, and interpretation of accounting information.</w:t>
      </w:r>
    </w:p>
    <w:p w14:paraId="6E236804" w14:textId="67894AF8" w:rsidR="003D0331" w:rsidRPr="00091FD0" w:rsidRDefault="003D0331" w:rsidP="00442C8B">
      <w:pPr>
        <w:pStyle w:val="ListParagraph"/>
        <w:numPr>
          <w:ilvl w:val="0"/>
          <w:numId w:val="10"/>
        </w:numPr>
      </w:pPr>
      <w:r w:rsidRPr="00091FD0">
        <w:t>Banking Services Pathway: Primarily concerned with accepting deposits, lending funds, and extending credit, banking services include cash management, short-term investments, mortgages and other loans, credit cards, and bill payment</w:t>
      </w:r>
      <w:r w:rsidR="002415A6">
        <w:t>s</w:t>
      </w:r>
      <w:r w:rsidRPr="00091FD0">
        <w:t xml:space="preserve">. Banking services are delivered via </w:t>
      </w:r>
      <w:r w:rsidR="008F438E">
        <w:t>several</w:t>
      </w:r>
      <w:r w:rsidRPr="00091FD0">
        <w:t xml:space="preserve"> institutions, from commercial banks (the largest group) and other traditional means (savings and loans associations, credit unions, and local banks).</w:t>
      </w:r>
    </w:p>
    <w:p w14:paraId="5F5A43D5" w14:textId="77777777" w:rsidR="003D0331" w:rsidRPr="007442EE" w:rsidRDefault="003D0331" w:rsidP="003D0331">
      <w:pPr>
        <w:shd w:val="clear" w:color="auto" w:fill="FFFFFF"/>
        <w:spacing w:after="0" w:line="240" w:lineRule="auto"/>
        <w:rPr>
          <w:rStyle w:val="Strong"/>
        </w:rPr>
      </w:pPr>
      <w:r w:rsidRPr="007442EE">
        <w:rPr>
          <w:rStyle w:val="Strong"/>
        </w:rPr>
        <w:t>Health Sciences</w:t>
      </w:r>
    </w:p>
    <w:p w14:paraId="24E92F40" w14:textId="77777777" w:rsidR="003D0331" w:rsidRPr="00472B81" w:rsidRDefault="003D0331" w:rsidP="003D0331">
      <w:pPr>
        <w:shd w:val="clear" w:color="auto" w:fill="FFFFFF"/>
        <w:spacing w:after="0" w:line="240" w:lineRule="auto"/>
      </w:pPr>
      <w:r w:rsidRPr="00472B81">
        <w:rPr>
          <w:iCs/>
        </w:rPr>
        <w:t>This Career Cluster is focused on planning, managing, and providing therapeutic services, diagnostic services, health informatics, and biotechnology research and development. </w:t>
      </w:r>
    </w:p>
    <w:p w14:paraId="20C6812B" w14:textId="4A7C2DF9" w:rsidR="003D0331" w:rsidRPr="00091FD0" w:rsidRDefault="003D0331" w:rsidP="00442C8B">
      <w:pPr>
        <w:pStyle w:val="ListParagraph"/>
        <w:numPr>
          <w:ilvl w:val="0"/>
          <w:numId w:val="11"/>
        </w:numPr>
      </w:pPr>
      <w:r w:rsidRPr="00091FD0">
        <w:t xml:space="preserve">Therapeutic Services Pathway: Careers in the Therapeutic Services pathway are focused primarily on changing the </w:t>
      </w:r>
      <w:r w:rsidR="008F438E">
        <w:t>patient's health status</w:t>
      </w:r>
      <w:r w:rsidRPr="00091FD0">
        <w:t xml:space="preserve"> over time. Health professionals in this pathway work directly with patients; they may provide care, treatment, counseling, and health education information.</w:t>
      </w:r>
    </w:p>
    <w:p w14:paraId="7A561D11" w14:textId="6BA43B1C" w:rsidR="003D0331" w:rsidRPr="00091FD0" w:rsidRDefault="003D0331" w:rsidP="00442C8B">
      <w:pPr>
        <w:pStyle w:val="ListParagraph"/>
        <w:numPr>
          <w:ilvl w:val="0"/>
          <w:numId w:val="11"/>
        </w:numPr>
      </w:pPr>
      <w:r w:rsidRPr="00091FD0">
        <w:t>Diagnostic Services Pathway: Careers in the Diagnostic Services pathway use tests and evaluations that aid in the detection, diagnosis</w:t>
      </w:r>
      <w:r w:rsidR="002415A6">
        <w:t>,</w:t>
      </w:r>
      <w:r w:rsidRPr="00091FD0">
        <w:t xml:space="preserve"> and treatment of diseases, injuries, or other physical conditions.</w:t>
      </w:r>
    </w:p>
    <w:p w14:paraId="54A61C32" w14:textId="1FEAF27C" w:rsidR="003D0331" w:rsidRPr="00091FD0" w:rsidRDefault="003D0331" w:rsidP="00442C8B">
      <w:pPr>
        <w:pStyle w:val="ListParagraph"/>
        <w:numPr>
          <w:ilvl w:val="0"/>
          <w:numId w:val="11"/>
        </w:numPr>
      </w:pPr>
      <w:r w:rsidRPr="00091FD0">
        <w:t xml:space="preserve">Biotechnology Research &amp; Development Pathway: Careers in the Biotechnology Research and Development pathway involve bioscience research and development as it applies to human health. </w:t>
      </w:r>
      <w:proofErr w:type="gramStart"/>
      <w:r w:rsidRPr="00091FD0">
        <w:t>These scientists</w:t>
      </w:r>
      <w:proofErr w:type="gramEnd"/>
      <w:r w:rsidRPr="00091FD0">
        <w:t xml:space="preserve"> may study diseases to discover new treatments or invent medical devices </w:t>
      </w:r>
      <w:r w:rsidR="002E64C3">
        <w:t>to directly assist patients or improve diagnostic test accuracy</w:t>
      </w:r>
      <w:r w:rsidRPr="00091FD0">
        <w:t>.</w:t>
      </w:r>
    </w:p>
    <w:p w14:paraId="0394904C" w14:textId="77777777" w:rsidR="003D0331" w:rsidRPr="007442EE" w:rsidRDefault="003D0331" w:rsidP="003D0331">
      <w:pPr>
        <w:shd w:val="clear" w:color="auto" w:fill="FFFFFF"/>
        <w:spacing w:after="0" w:line="240" w:lineRule="auto"/>
        <w:rPr>
          <w:rStyle w:val="Strong"/>
        </w:rPr>
      </w:pPr>
      <w:r w:rsidRPr="007442EE">
        <w:rPr>
          <w:rStyle w:val="Strong"/>
        </w:rPr>
        <w:t>Information Technology</w:t>
      </w:r>
    </w:p>
    <w:p w14:paraId="757056D3" w14:textId="3074C0A2" w:rsidR="003D0331" w:rsidRPr="00E963EF" w:rsidRDefault="003D0331" w:rsidP="003D0331">
      <w:pPr>
        <w:spacing w:after="0"/>
      </w:pPr>
      <w:r w:rsidRPr="00E963EF">
        <w:rPr>
          <w:iCs/>
        </w:rPr>
        <w:t xml:space="preserve">This Career Cluster is focused on building linkages in information technology occupations for careers </w:t>
      </w:r>
      <w:r w:rsidR="002E64C3">
        <w:rPr>
          <w:iCs/>
        </w:rPr>
        <w:t>in</w:t>
      </w:r>
      <w:r w:rsidRPr="00E963EF">
        <w:rPr>
          <w:iCs/>
        </w:rPr>
        <w:t xml:space="preserve"> the design, development</w:t>
      </w:r>
      <w:r w:rsidR="002415A6">
        <w:rPr>
          <w:iCs/>
        </w:rPr>
        <w:t>,</w:t>
      </w:r>
      <w:r w:rsidRPr="00E963EF">
        <w:rPr>
          <w:iCs/>
        </w:rPr>
        <w:t xml:space="preserve"> and management of hardware, software, multimedia, and systems integration services.</w:t>
      </w:r>
    </w:p>
    <w:p w14:paraId="71BFC4BA" w14:textId="1EE6DA60" w:rsidR="003D0331" w:rsidRPr="00091FD0" w:rsidRDefault="003D0331" w:rsidP="00442C8B">
      <w:pPr>
        <w:pStyle w:val="ListParagraph"/>
        <w:numPr>
          <w:ilvl w:val="0"/>
          <w:numId w:val="12"/>
        </w:numPr>
      </w:pPr>
      <w:r w:rsidRPr="00895EA6">
        <w:t>Network Systems Pathway</w:t>
      </w:r>
      <w:r>
        <w:t>:</w:t>
      </w:r>
      <w:r w:rsidRPr="007120FF">
        <w:t xml:space="preserve"> </w:t>
      </w:r>
      <w:r w:rsidRPr="00091FD0">
        <w:t>Careers in Network Systems involve network analysis, planning and implementation, including design, installation, maintenance, and management of network systems. Successful establishment and maintenance of information technology infrastructure is critical to the success of almost every 21st</w:t>
      </w:r>
      <w:r w:rsidR="002415A6">
        <w:t>-</w:t>
      </w:r>
      <w:r w:rsidRPr="00091FD0">
        <w:t>century organization.</w:t>
      </w:r>
    </w:p>
    <w:p w14:paraId="64EAF8F2" w14:textId="26C3E2FA" w:rsidR="003D0331" w:rsidRPr="00895EA6" w:rsidRDefault="003D0331" w:rsidP="00442C8B">
      <w:pPr>
        <w:pStyle w:val="ListParagraph"/>
        <w:numPr>
          <w:ilvl w:val="0"/>
          <w:numId w:val="12"/>
        </w:numPr>
      </w:pPr>
      <w:r w:rsidRPr="00091FD0">
        <w:t xml:space="preserve">Web &amp; Digital Communications Pathway: Careers in Web and Digital Communications involve creating, designing, and producing interactive multimedia products and services, including </w:t>
      </w:r>
      <w:r w:rsidR="002E64C3">
        <w:t>developing</w:t>
      </w:r>
      <w:r w:rsidRPr="00091FD0">
        <w:t xml:space="preserve"> digitally generated or computer-enhanced media </w:t>
      </w:r>
      <w:r w:rsidR="00C7797E">
        <w:t>for</w:t>
      </w:r>
      <w:r w:rsidRPr="00091FD0">
        <w:t xml:space="preserve"> business, training, entertainment, communications, and marketing. Organizations of all types and sizes use digital media to communicate with existing and potential customers, track transactions, and collaborate with colleagues.</w:t>
      </w:r>
    </w:p>
    <w:p w14:paraId="255D52FA" w14:textId="66A5B1BC" w:rsidR="003D0331" w:rsidRPr="00BF0E6A" w:rsidRDefault="003D0331" w:rsidP="00442C8B">
      <w:pPr>
        <w:pStyle w:val="ListParagraph"/>
        <w:numPr>
          <w:ilvl w:val="0"/>
          <w:numId w:val="12"/>
        </w:numPr>
        <w:rPr>
          <w:i/>
        </w:rPr>
      </w:pPr>
      <w:r w:rsidRPr="00895EA6">
        <w:t>Programming &amp; Software Development Pathw</w:t>
      </w:r>
      <w:r w:rsidRPr="00091FD0">
        <w:t>ay: Careers in Programming and Software Development involve the design</w:t>
      </w:r>
      <w:r w:rsidR="00B331B0">
        <w:t>,</w:t>
      </w:r>
      <w:r w:rsidRPr="00091FD0">
        <w:t xml:space="preserve"> development</w:t>
      </w:r>
      <w:r w:rsidR="00B331B0">
        <w:t>,</w:t>
      </w:r>
      <w:r w:rsidRPr="00091FD0">
        <w:t xml:space="preserve"> implementation</w:t>
      </w:r>
      <w:r w:rsidR="00B331B0">
        <w:t>,</w:t>
      </w:r>
      <w:r w:rsidRPr="00091FD0">
        <w:t xml:space="preserve"> and maintenance of computer systems and software, requiring knowledge of computer operating systems, programming languages</w:t>
      </w:r>
      <w:r w:rsidR="00B331B0">
        <w:t>,</w:t>
      </w:r>
      <w:r w:rsidRPr="00091FD0">
        <w:t xml:space="preserve"> and software development.</w:t>
      </w:r>
    </w:p>
    <w:p w14:paraId="08450C5A" w14:textId="77777777" w:rsidR="003D0331" w:rsidRPr="007442EE" w:rsidRDefault="003D0331" w:rsidP="003D0331">
      <w:pPr>
        <w:spacing w:after="0"/>
        <w:rPr>
          <w:rStyle w:val="Strong"/>
        </w:rPr>
      </w:pPr>
      <w:r w:rsidRPr="007442EE">
        <w:rPr>
          <w:rStyle w:val="Strong"/>
        </w:rPr>
        <w:t>Manufacturing</w:t>
      </w:r>
    </w:p>
    <w:p w14:paraId="5BF78FC4" w14:textId="0D4898DF" w:rsidR="003D0331" w:rsidRPr="007120FF" w:rsidRDefault="003D0331" w:rsidP="003D0331">
      <w:pPr>
        <w:spacing w:after="0"/>
      </w:pPr>
      <w:r w:rsidRPr="007120FF">
        <w:rPr>
          <w:iCs/>
        </w:rPr>
        <w:t>This Career Cluster is focused on planning, managing, and p</w:t>
      </w:r>
      <w:r w:rsidR="00B331B0">
        <w:rPr>
          <w:iCs/>
        </w:rPr>
        <w:t>rocessing</w:t>
      </w:r>
      <w:r w:rsidRPr="007120FF">
        <w:rPr>
          <w:iCs/>
        </w:rPr>
        <w:t xml:space="preserve"> materials into intermediate or final products and related professional and technical support activities such as production planning and control, maintenance and manufacturing, and process engineering. </w:t>
      </w:r>
    </w:p>
    <w:p w14:paraId="43533F73" w14:textId="265D4EFA" w:rsidR="003D0331" w:rsidRPr="00203517" w:rsidRDefault="003D0331" w:rsidP="00442C8B">
      <w:pPr>
        <w:pStyle w:val="ListParagraph"/>
        <w:numPr>
          <w:ilvl w:val="0"/>
          <w:numId w:val="13"/>
        </w:numPr>
      </w:pPr>
      <w:r w:rsidRPr="00203517">
        <w:lastRenderedPageBreak/>
        <w:t>Production Pathway: People with careers in production work on the shop floor</w:t>
      </w:r>
      <w:r w:rsidR="00B331B0">
        <w:t>,</w:t>
      </w:r>
      <w:r w:rsidRPr="00203517">
        <w:t xml:space="preserve"> making </w:t>
      </w:r>
      <w:r w:rsidR="00C7797E">
        <w:t>or assembling parts</w:t>
      </w:r>
      <w:r w:rsidRPr="00203517">
        <w:t xml:space="preserve">. They work with machines, making or assembling electronic parts, constructing or assembling them, assembling modular housing, performing welding jobs, or printing various materials, </w:t>
      </w:r>
      <w:r w:rsidR="00F11433">
        <w:t xml:space="preserve">and </w:t>
      </w:r>
      <w:r>
        <w:t xml:space="preserve">providing </w:t>
      </w:r>
      <w:r w:rsidRPr="00203517">
        <w:t xml:space="preserve">access </w:t>
      </w:r>
      <w:r>
        <w:t>to</w:t>
      </w:r>
      <w:r w:rsidRPr="00203517">
        <w:t xml:space="preserve"> technologies </w:t>
      </w:r>
      <w:r>
        <w:t xml:space="preserve">that support the </w:t>
      </w:r>
      <w:r w:rsidRPr="00203517">
        <w:t>development of wind</w:t>
      </w:r>
      <w:r>
        <w:t>,</w:t>
      </w:r>
      <w:r w:rsidRPr="00203517">
        <w:t xml:space="preserve"> solar</w:t>
      </w:r>
      <w:r>
        <w:t>, and other</w:t>
      </w:r>
      <w:r w:rsidRPr="00203517">
        <w:t xml:space="preserve"> renewable energy</w:t>
      </w:r>
      <w:r>
        <w:t>.</w:t>
      </w:r>
    </w:p>
    <w:p w14:paraId="6BB5F22C" w14:textId="77777777" w:rsidR="003D0331" w:rsidRPr="00D22860" w:rsidRDefault="003D0331" w:rsidP="00442C8B">
      <w:pPr>
        <w:pStyle w:val="ListParagraph"/>
        <w:numPr>
          <w:ilvl w:val="0"/>
          <w:numId w:val="13"/>
        </w:numPr>
      </w:pPr>
      <w:r w:rsidRPr="00D22860">
        <w:t xml:space="preserve">Manufacturing Production </w:t>
      </w:r>
      <w:r w:rsidRPr="002F7D43">
        <w:t xml:space="preserve">Process Development Pathway: Employees in Manufacturing Production Process Development are responsible for product design and design of the manufacturing process. They work with customers to ensure the manufacturing process produces a product that meets or exceeds customer expectations. They also monitor the manufacturing </w:t>
      </w:r>
      <w:proofErr w:type="gramStart"/>
      <w:r w:rsidRPr="002F7D43">
        <w:t>process</w:t>
      </w:r>
      <w:proofErr w:type="gramEnd"/>
      <w:r w:rsidRPr="002F7D43">
        <w:t xml:space="preserve"> and the materials used to manufacture the product</w:t>
      </w:r>
      <w:r w:rsidRPr="007120FF">
        <w:rPr>
          <w:i/>
        </w:rPr>
        <w:t>.</w:t>
      </w:r>
    </w:p>
    <w:p w14:paraId="3E186231" w14:textId="77777777" w:rsidR="003D0331" w:rsidRPr="007442EE" w:rsidRDefault="003D0331" w:rsidP="003D0331">
      <w:pPr>
        <w:spacing w:after="0"/>
        <w:rPr>
          <w:rStyle w:val="Strong"/>
        </w:rPr>
      </w:pPr>
      <w:r w:rsidRPr="007442EE">
        <w:rPr>
          <w:rStyle w:val="Strong"/>
        </w:rPr>
        <w:t>Science, Technology, Engineering, and Mathematics (STEM)</w:t>
      </w:r>
    </w:p>
    <w:p w14:paraId="487BD455" w14:textId="576A676A" w:rsidR="003D0331" w:rsidRPr="009E46D9" w:rsidRDefault="003D0331" w:rsidP="003D0331">
      <w:pPr>
        <w:spacing w:after="0"/>
        <w:rPr>
          <w:rFonts w:cstheme="minorHAnsi"/>
        </w:rPr>
      </w:pPr>
      <w:r w:rsidRPr="00BF0E6A">
        <w:rPr>
          <w:iCs/>
        </w:rPr>
        <w:t>This Career Cluster is focused on planning, managing, and providing scientific research and professional and technical services (e.g., physical science, social science, engineering)</w:t>
      </w:r>
      <w:r w:rsidR="00F11433">
        <w:rPr>
          <w:iCs/>
        </w:rPr>
        <w:t>,</w:t>
      </w:r>
      <w:r w:rsidRPr="00BF0E6A">
        <w:rPr>
          <w:iCs/>
        </w:rPr>
        <w:t xml:space="preserve"> including laboratory and testing services, research and development services</w:t>
      </w:r>
      <w:r>
        <w:rPr>
          <w:iCs/>
        </w:rPr>
        <w:t xml:space="preserve">, and </w:t>
      </w:r>
      <w:r>
        <w:t>geothermal generation technologies</w:t>
      </w:r>
      <w:r w:rsidRPr="009E46D9">
        <w:rPr>
          <w:rFonts w:cstheme="minorHAnsi"/>
          <w:i/>
          <w:iCs/>
        </w:rPr>
        <w:t xml:space="preserve">. </w:t>
      </w:r>
      <w:r w:rsidRPr="0015626A">
        <w:rPr>
          <w:rFonts w:cstheme="minorHAnsi"/>
          <w:shd w:val="clear" w:color="auto" w:fill="FFFFFF"/>
        </w:rPr>
        <w:t>The Science, Technology, Engineering</w:t>
      </w:r>
      <w:r w:rsidR="00F11433">
        <w:rPr>
          <w:rFonts w:cstheme="minorHAnsi"/>
          <w:shd w:val="clear" w:color="auto" w:fill="FFFFFF"/>
        </w:rPr>
        <w:t>,</w:t>
      </w:r>
      <w:r w:rsidRPr="0015626A">
        <w:rPr>
          <w:rFonts w:cstheme="minorHAnsi"/>
          <w:shd w:val="clear" w:color="auto" w:fill="FFFFFF"/>
        </w:rPr>
        <w:t xml:space="preserve"> and Mathematics cluster prepares </w:t>
      </w:r>
      <w:r>
        <w:rPr>
          <w:rFonts w:cstheme="minorHAnsi"/>
          <w:shd w:val="clear" w:color="auto" w:fill="FFFFFF"/>
        </w:rPr>
        <w:t xml:space="preserve">students </w:t>
      </w:r>
      <w:r w:rsidRPr="0015626A">
        <w:rPr>
          <w:rFonts w:cstheme="minorHAnsi"/>
          <w:shd w:val="clear" w:color="auto" w:fill="FFFFFF"/>
        </w:rPr>
        <w:t xml:space="preserve">for careers using </w:t>
      </w:r>
      <w:r>
        <w:rPr>
          <w:rFonts w:cstheme="minorHAnsi"/>
          <w:shd w:val="clear" w:color="auto" w:fill="FFFFFF"/>
        </w:rPr>
        <w:t xml:space="preserve">problem-solving and </w:t>
      </w:r>
      <w:r w:rsidRPr="0015626A">
        <w:rPr>
          <w:rFonts w:cstheme="minorHAnsi"/>
          <w:shd w:val="clear" w:color="auto" w:fill="FFFFFF"/>
        </w:rPr>
        <w:t xml:space="preserve">science, technology, engineering, and math (STEM) skills. </w:t>
      </w:r>
    </w:p>
    <w:p w14:paraId="518D953F" w14:textId="77777777" w:rsidR="003D0331" w:rsidRPr="004A2003" w:rsidRDefault="003D0331" w:rsidP="00442C8B">
      <w:pPr>
        <w:pStyle w:val="ListParagraph"/>
        <w:numPr>
          <w:ilvl w:val="0"/>
          <w:numId w:val="14"/>
        </w:numPr>
      </w:pPr>
      <w:r w:rsidRPr="00D22860">
        <w:t>Engineering &amp; Technology Pathway</w:t>
      </w:r>
      <w:r>
        <w:t xml:space="preserve">: </w:t>
      </w:r>
      <w:r w:rsidRPr="002F7D43">
        <w:t xml:space="preserve">Careers aligned with the engineering and technology pathway involve </w:t>
      </w:r>
      <w:r w:rsidRPr="002F7D43">
        <w:rPr>
          <w:color w:val="262D34"/>
          <w:shd w:val="clear" w:color="auto" w:fill="FFFFFF"/>
        </w:rPr>
        <w:t xml:space="preserve">studying and applying principles from advanced mathematics, science disciplines, and technology. </w:t>
      </w:r>
      <w:r w:rsidRPr="002F7D43">
        <w:t>All engineers and technologists apply key science concepts and processes to design solutions to identified problems.</w:t>
      </w:r>
      <w:r w:rsidRPr="004A2003">
        <w:rPr>
          <w:i/>
        </w:rPr>
        <w:t xml:space="preserve"> </w:t>
      </w:r>
    </w:p>
    <w:p w14:paraId="3FA37FF5" w14:textId="77777777" w:rsidR="003D0331" w:rsidRPr="007442EE" w:rsidRDefault="003D0331" w:rsidP="003D0331">
      <w:pPr>
        <w:spacing w:after="0"/>
        <w:rPr>
          <w:rStyle w:val="Strong"/>
        </w:rPr>
      </w:pPr>
      <w:r w:rsidRPr="007442EE">
        <w:rPr>
          <w:rStyle w:val="Strong"/>
        </w:rPr>
        <w:t>Transportation, Distribution and Logistics</w:t>
      </w:r>
    </w:p>
    <w:p w14:paraId="7E70AD52" w14:textId="280E301D" w:rsidR="003D0331" w:rsidRPr="00BF0E6A" w:rsidRDefault="003D0331" w:rsidP="003D0331">
      <w:pPr>
        <w:spacing w:after="0"/>
      </w:pPr>
      <w:r w:rsidRPr="00BF0E6A">
        <w:rPr>
          <w:iCs/>
        </w:rPr>
        <w:t>This Career Cluster is focused on planning, management, and movement of people, materials, and goods by road, pipeline, air, rail</w:t>
      </w:r>
      <w:r w:rsidR="00F11433">
        <w:rPr>
          <w:iCs/>
        </w:rPr>
        <w:t>,</w:t>
      </w:r>
      <w:r w:rsidRPr="00BF0E6A">
        <w:rPr>
          <w:iCs/>
        </w:rPr>
        <w:t xml:space="preserve"> and water and related professional support services such as transportation infrastructure planning and management,</w:t>
      </w:r>
      <w:r>
        <w:rPr>
          <w:iCs/>
        </w:rPr>
        <w:t xml:space="preserve"> </w:t>
      </w:r>
      <w:r w:rsidRPr="00BF0E6A">
        <w:rPr>
          <w:iCs/>
        </w:rPr>
        <w:t>logistics services, mobile equipment, and facility maintenance.</w:t>
      </w:r>
    </w:p>
    <w:p w14:paraId="43B62264" w14:textId="00DD5261" w:rsidR="003D0331" w:rsidRPr="00091FD0" w:rsidRDefault="003D0331" w:rsidP="00442C8B">
      <w:pPr>
        <w:pStyle w:val="ListParagraph"/>
        <w:numPr>
          <w:ilvl w:val="0"/>
          <w:numId w:val="14"/>
        </w:numPr>
      </w:pPr>
      <w:r w:rsidRPr="00D22860">
        <w:t>Logistics Planning &amp; Management Services Pathway</w:t>
      </w:r>
      <w:r>
        <w:t>:</w:t>
      </w:r>
      <w:r w:rsidRPr="00BF0E6A">
        <w:rPr>
          <w:i/>
        </w:rPr>
        <w:t xml:space="preserve"> </w:t>
      </w:r>
      <w:r w:rsidRPr="00091FD0">
        <w:t>Careers in the Logistics Planning and Management Services pathway involve planning, manag</w:t>
      </w:r>
      <w:r w:rsidR="00C7797E">
        <w:t>ing, and controlling</w:t>
      </w:r>
      <w:r w:rsidRPr="00091FD0">
        <w:t xml:space="preserve"> the distribution of materials, products, and people. Often, more than one mode of transportation is used as distribution efforts can be complex, even national or global. These people are responsible for the plans </w:t>
      </w:r>
      <w:r w:rsidR="00D62302">
        <w:t>t</w:t>
      </w:r>
      <w:r w:rsidR="00565EC4">
        <w:t>o</w:t>
      </w:r>
      <w:r w:rsidRPr="00091FD0">
        <w:t xml:space="preserve"> ensure that cargo arrives at the right location, on time, and in the safest, most economical manner.</w:t>
      </w:r>
    </w:p>
    <w:p w14:paraId="3D523D0E" w14:textId="45AE04D7" w:rsidR="003D0331" w:rsidRPr="00091FD0" w:rsidRDefault="003D0331" w:rsidP="00442C8B">
      <w:pPr>
        <w:pStyle w:val="ListParagraph"/>
        <w:numPr>
          <w:ilvl w:val="0"/>
          <w:numId w:val="14"/>
        </w:numPr>
      </w:pPr>
      <w:r w:rsidRPr="00091FD0">
        <w:t xml:space="preserve">Facility and Mobile Equipment Maintenance Pathway: Careers in the Facility and Mobile Equipment pathway include the maintenance, repair, and servicing of vehicles and transportation facilities. All transportation relies on equipment </w:t>
      </w:r>
      <w:r w:rsidR="00D62302">
        <w:t>that</w:t>
      </w:r>
      <w:r w:rsidRPr="00091FD0">
        <w:t xml:space="preserve"> must function as designed whenever needed. The people in this pathway keep the equipment and machinery running while looking for more efficient, safe, and cost-effective ways.</w:t>
      </w:r>
    </w:p>
    <w:p w14:paraId="16FD1D0D" w14:textId="77777777" w:rsidR="003D0331" w:rsidRDefault="003D0331" w:rsidP="003D0331">
      <w:pPr>
        <w:shd w:val="clear" w:color="auto" w:fill="FFFFFF"/>
        <w:spacing w:after="0" w:line="240" w:lineRule="auto"/>
        <w:jc w:val="center"/>
        <w:rPr>
          <w:b/>
          <w:bCs/>
          <w:color w:val="auto"/>
        </w:rPr>
      </w:pPr>
    </w:p>
    <w:p w14:paraId="075042D5" w14:textId="77777777" w:rsidR="003D0331" w:rsidRPr="00A543D5" w:rsidRDefault="003D0331" w:rsidP="003D0331">
      <w:pPr>
        <w:spacing w:after="0" w:line="254" w:lineRule="auto"/>
        <w:rPr>
          <w:rStyle w:val="Strong"/>
        </w:rPr>
      </w:pPr>
      <w:r w:rsidRPr="00A543D5">
        <w:rPr>
          <w:rStyle w:val="Strong"/>
        </w:rPr>
        <w:t>Marketing </w:t>
      </w:r>
    </w:p>
    <w:p w14:paraId="2D20A751" w14:textId="77777777" w:rsidR="003D0331" w:rsidRPr="00A543D5" w:rsidRDefault="003D0331" w:rsidP="003D0331">
      <w:pPr>
        <w:spacing w:line="254" w:lineRule="auto"/>
        <w:rPr>
          <w:iCs/>
        </w:rPr>
      </w:pPr>
      <w:r>
        <w:rPr>
          <w:iCs/>
        </w:rPr>
        <w:t>This Career Cluster® is focused on planning, managing, and performing marketing activities to reach organizational objectives.</w:t>
      </w:r>
      <w:r w:rsidRPr="00A543D5">
        <w:rPr>
          <w:iCs/>
        </w:rPr>
        <w:t xml:space="preserve"> </w:t>
      </w:r>
    </w:p>
    <w:p w14:paraId="58BFA245" w14:textId="35ACEBF6" w:rsidR="003D0331" w:rsidRPr="00091FD0" w:rsidRDefault="003D0331" w:rsidP="00442C8B">
      <w:pPr>
        <w:pStyle w:val="ListParagraph"/>
        <w:numPr>
          <w:ilvl w:val="0"/>
          <w:numId w:val="16"/>
        </w:numPr>
      </w:pPr>
      <w:r>
        <w:t xml:space="preserve">Marketing Management: </w:t>
      </w:r>
      <w:r w:rsidRPr="00091FD0">
        <w:t xml:space="preserve">People with careers in marketing management formulate policies and direct the operations of businesses and corporations, nonprofit institutions, and other organizations. </w:t>
      </w:r>
      <w:r w:rsidR="00D52D7D">
        <w:t xml:space="preserve">The owner or chief executive officer may assume all advertising, promotions, </w:t>
      </w:r>
      <w:r w:rsidR="00D52D7D">
        <w:lastRenderedPageBreak/>
        <w:t>marketing, sales, and public relations responsibilities in small firm</w:t>
      </w:r>
      <w:r w:rsidRPr="00091FD0">
        <w:t>s. In large firms, which may offer numerous products and services nationally or even worldwide, an executive vice president directs overall advertising, promotions, marketing, sales, and public relations policies. </w:t>
      </w:r>
    </w:p>
    <w:p w14:paraId="4AC114B8" w14:textId="77777777" w:rsidR="003D0331" w:rsidRPr="00091FD0" w:rsidRDefault="003D0331" w:rsidP="00442C8B">
      <w:pPr>
        <w:pStyle w:val="ListParagraph"/>
        <w:numPr>
          <w:ilvl w:val="0"/>
          <w:numId w:val="16"/>
        </w:numPr>
      </w:pPr>
      <w:r w:rsidRPr="00091FD0">
        <w:t>Merchandising: Employees in buying and merchandising positions get the product into the hands of the customer. This process includes forecasting, planning, buying, displaying, selling, and providing customer service. </w:t>
      </w:r>
    </w:p>
    <w:p w14:paraId="6C44C702" w14:textId="01525844" w:rsidR="003D0331" w:rsidRPr="00091FD0" w:rsidRDefault="003D0331" w:rsidP="00442C8B">
      <w:pPr>
        <w:pStyle w:val="ListParagraph"/>
        <w:numPr>
          <w:ilvl w:val="0"/>
          <w:numId w:val="16"/>
        </w:numPr>
        <w:rPr>
          <w:sz w:val="24"/>
          <w:szCs w:val="24"/>
        </w:rPr>
      </w:pPr>
      <w:r w:rsidRPr="00091FD0">
        <w:rPr>
          <w:shd w:val="clear" w:color="auto" w:fill="FFFFFF"/>
        </w:rPr>
        <w:t xml:space="preserve">Marketing Communications: </w:t>
      </w:r>
      <w:r w:rsidR="00D62302">
        <w:t>In marketing communications, employees plan, coordinate, and implement marketing strategies, advertising, promotion,</w:t>
      </w:r>
      <w:r w:rsidRPr="00091FD0">
        <w:t xml:space="preserve"> and public relations activities. Because of the</w:t>
      </w:r>
      <w:r w:rsidR="00D52D7D">
        <w:t>ir jobs' importance and high visibility</w:t>
      </w:r>
      <w:r w:rsidRPr="00091FD0">
        <w:t>, these individuals often are prime candidates for advancement. </w:t>
      </w:r>
    </w:p>
    <w:p w14:paraId="259394B5" w14:textId="4F10D429" w:rsidR="003D0331" w:rsidRPr="00091FD0" w:rsidRDefault="003D0331" w:rsidP="00442C8B">
      <w:pPr>
        <w:pStyle w:val="ListParagraph"/>
        <w:numPr>
          <w:ilvl w:val="0"/>
          <w:numId w:val="16"/>
        </w:numPr>
      </w:pPr>
      <w:r w:rsidRPr="00091FD0">
        <w:t>Marketing Research: Employees in marketing research are concerned with understanding people and organizations. They collect and analyze many different types of information to design new products, predict future sales</w:t>
      </w:r>
      <w:r w:rsidR="00D62302">
        <w:t>,</w:t>
      </w:r>
      <w:r w:rsidRPr="00091FD0">
        <w:t xml:space="preserve"> and position their company</w:t>
      </w:r>
      <w:r w:rsidR="000D5A24">
        <w:t>'</w:t>
      </w:r>
      <w:r w:rsidRPr="00091FD0">
        <w:t>s strategies against those of its competitors. </w:t>
      </w:r>
    </w:p>
    <w:p w14:paraId="29BCBCB2" w14:textId="77777777" w:rsidR="003D0331" w:rsidRPr="003928EE" w:rsidRDefault="003D0331" w:rsidP="003D0331">
      <w:pPr>
        <w:spacing w:after="0" w:line="254" w:lineRule="auto"/>
        <w:rPr>
          <w:rStyle w:val="Strong"/>
        </w:rPr>
      </w:pPr>
      <w:r w:rsidRPr="003928EE">
        <w:rPr>
          <w:rStyle w:val="Strong"/>
        </w:rPr>
        <w:t>Hospitality and Tourism </w:t>
      </w:r>
    </w:p>
    <w:p w14:paraId="489FC371" w14:textId="77AC65E2" w:rsidR="003D0331" w:rsidRDefault="003D0331" w:rsidP="003D0331">
      <w:pPr>
        <w:spacing w:line="254" w:lineRule="auto"/>
      </w:pPr>
      <w:r>
        <w:rPr>
          <w:iCs/>
        </w:rPr>
        <w:t xml:space="preserve">This Career Cluster® is focused on </w:t>
      </w:r>
      <w:r w:rsidR="00D62302">
        <w:rPr>
          <w:iCs/>
        </w:rPr>
        <w:t xml:space="preserve">the </w:t>
      </w:r>
      <w:r>
        <w:rPr>
          <w:iCs/>
        </w:rPr>
        <w:t>management, marketing</w:t>
      </w:r>
      <w:r w:rsidR="00D62302">
        <w:rPr>
          <w:iCs/>
        </w:rPr>
        <w:t>,</w:t>
      </w:r>
      <w:r>
        <w:rPr>
          <w:iCs/>
        </w:rPr>
        <w:t xml:space="preserve"> and operations of restaurants and other food services, lodging, attractions, recreation events</w:t>
      </w:r>
      <w:r w:rsidR="00D62302">
        <w:rPr>
          <w:iCs/>
        </w:rPr>
        <w:t>,</w:t>
      </w:r>
      <w:r>
        <w:rPr>
          <w:iCs/>
        </w:rPr>
        <w:t xml:space="preserve"> and travel</w:t>
      </w:r>
      <w:r w:rsidR="00D62302">
        <w:rPr>
          <w:iCs/>
        </w:rPr>
        <w:t>-</w:t>
      </w:r>
      <w:r>
        <w:rPr>
          <w:iCs/>
        </w:rPr>
        <w:t>related services.</w:t>
      </w:r>
      <w:r>
        <w:t> </w:t>
      </w:r>
    </w:p>
    <w:p w14:paraId="3419AA88" w14:textId="71832C27" w:rsidR="003D0331" w:rsidRPr="00091FD0" w:rsidRDefault="003D0331" w:rsidP="00442C8B">
      <w:pPr>
        <w:pStyle w:val="ListParagraph"/>
        <w:numPr>
          <w:ilvl w:val="0"/>
          <w:numId w:val="17"/>
        </w:numPr>
      </w:pPr>
      <w:r>
        <w:t xml:space="preserve">Restaurant and Food/Beverage Services: </w:t>
      </w:r>
      <w:r w:rsidRPr="00091FD0">
        <w:t xml:space="preserve">Employees working in the Restaurant and Food/Beverage Services pathway perform </w:t>
      </w:r>
      <w:r w:rsidR="00D52D7D">
        <w:t>various</w:t>
      </w:r>
      <w:r w:rsidRPr="00091FD0">
        <w:t xml:space="preserve"> tasks to maintain operations and promote guest services in eating and drinking establishments. </w:t>
      </w:r>
    </w:p>
    <w:p w14:paraId="57AFED22" w14:textId="77777777" w:rsidR="003D0331" w:rsidRPr="00091FD0" w:rsidRDefault="003D0331" w:rsidP="00442C8B">
      <w:pPr>
        <w:pStyle w:val="ListParagraph"/>
        <w:numPr>
          <w:ilvl w:val="0"/>
          <w:numId w:val="17"/>
        </w:numPr>
      </w:pPr>
      <w:r w:rsidRPr="00091FD0">
        <w:t>Lodging Pathway: Employees working in the Lodging pathway perform tasks related to the operation of lodging facilities and the care of guests who use these facilities, either through direct guest contact or the provision of background services that enhance the guest experience. </w:t>
      </w:r>
    </w:p>
    <w:p w14:paraId="1329275E" w14:textId="2BCD8EEE" w:rsidR="003D0331" w:rsidRDefault="003D0331" w:rsidP="00442C8B">
      <w:pPr>
        <w:pStyle w:val="ListParagraph"/>
        <w:numPr>
          <w:ilvl w:val="0"/>
          <w:numId w:val="14"/>
        </w:numPr>
      </w:pPr>
      <w:r>
        <w:t>Travel and Tourism Pathway: Employees in the Travel and Tourism pathway focus on the development, research, packaging, promotion</w:t>
      </w:r>
      <w:r w:rsidR="00D62302">
        <w:t>,</w:t>
      </w:r>
      <w:r>
        <w:t xml:space="preserve"> and delivery of a traveler's experiences. There is a broad range of jobs in this pathway. Employees may be involved in developing a heritage area for the enjoyment and education of visitors, creating guidebooks, planning trips and events, managing a customer</w:t>
      </w:r>
      <w:r w:rsidR="000D5A24">
        <w:t>'</w:t>
      </w:r>
      <w:r>
        <w:t>s travel plans</w:t>
      </w:r>
      <w:r w:rsidR="00D62302">
        <w:t>,</w:t>
      </w:r>
      <w:r>
        <w:t xml:space="preserve"> or overseeing a huge urban convention center. </w:t>
      </w:r>
    </w:p>
    <w:sectPr w:rsidR="003D0331" w:rsidSect="00283387">
      <w:headerReference w:type="default" r:id="rId30"/>
      <w:pgSz w:w="12240" w:h="15840"/>
      <w:pgMar w:top="1170" w:right="1440" w:bottom="117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4CFA4" w14:textId="77777777" w:rsidR="00311D40" w:rsidRDefault="00311D40" w:rsidP="003D0331">
      <w:pPr>
        <w:spacing w:after="0" w:line="240" w:lineRule="auto"/>
      </w:pPr>
      <w:r>
        <w:separator/>
      </w:r>
    </w:p>
  </w:endnote>
  <w:endnote w:type="continuationSeparator" w:id="0">
    <w:p w14:paraId="2E3AB829" w14:textId="77777777" w:rsidR="00311D40" w:rsidRDefault="00311D40" w:rsidP="003D0331">
      <w:pPr>
        <w:spacing w:after="0" w:line="240" w:lineRule="auto"/>
      </w:pPr>
      <w:r>
        <w:continuationSeparator/>
      </w:r>
    </w:p>
  </w:endnote>
  <w:endnote w:type="continuationNotice" w:id="1">
    <w:p w14:paraId="2E5A1721" w14:textId="77777777" w:rsidR="00311D40" w:rsidRDefault="00311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71579597"/>
      <w:docPartObj>
        <w:docPartGallery w:val="Page Numbers (Bottom of Page)"/>
        <w:docPartUnique/>
      </w:docPartObj>
    </w:sdtPr>
    <w:sdtEndPr/>
    <w:sdtContent>
      <w:sdt>
        <w:sdtPr>
          <w:rPr>
            <w:sz w:val="20"/>
            <w:szCs w:val="20"/>
          </w:rPr>
          <w:id w:val="1286471721"/>
          <w:docPartObj>
            <w:docPartGallery w:val="Page Numbers (Top of Page)"/>
            <w:docPartUnique/>
          </w:docPartObj>
        </w:sdtPr>
        <w:sdtEndPr/>
        <w:sdtContent>
          <w:p w14:paraId="387C5D9E" w14:textId="77777777" w:rsidR="003D0331" w:rsidRPr="00051DEC" w:rsidRDefault="003D0331">
            <w:pPr>
              <w:pStyle w:val="Footer"/>
              <w:jc w:val="center"/>
              <w:rPr>
                <w:sz w:val="20"/>
                <w:szCs w:val="20"/>
              </w:rPr>
            </w:pPr>
            <w:r w:rsidRPr="00051DEC">
              <w:rPr>
                <w:sz w:val="20"/>
                <w:szCs w:val="20"/>
              </w:rPr>
              <w:t xml:space="preserve">Page </w:t>
            </w:r>
            <w:r w:rsidRPr="00051DEC">
              <w:rPr>
                <w:b/>
                <w:bCs/>
                <w:color w:val="2B579A"/>
                <w:sz w:val="20"/>
                <w:szCs w:val="20"/>
                <w:shd w:val="clear" w:color="auto" w:fill="E6E6E6"/>
              </w:rPr>
              <w:fldChar w:fldCharType="begin"/>
            </w:r>
            <w:r w:rsidRPr="00051DEC">
              <w:rPr>
                <w:b/>
                <w:bCs/>
                <w:sz w:val="20"/>
                <w:szCs w:val="20"/>
              </w:rPr>
              <w:instrText xml:space="preserve"> PAGE </w:instrText>
            </w:r>
            <w:r w:rsidRPr="00051DEC">
              <w:rPr>
                <w:b/>
                <w:bCs/>
                <w:color w:val="2B579A"/>
                <w:sz w:val="20"/>
                <w:szCs w:val="20"/>
                <w:shd w:val="clear" w:color="auto" w:fill="E6E6E6"/>
              </w:rPr>
              <w:fldChar w:fldCharType="separate"/>
            </w:r>
            <w:r>
              <w:rPr>
                <w:b/>
                <w:bCs/>
                <w:noProof/>
                <w:sz w:val="20"/>
                <w:szCs w:val="20"/>
              </w:rPr>
              <w:t>5</w:t>
            </w:r>
            <w:r w:rsidRPr="00051DEC">
              <w:rPr>
                <w:b/>
                <w:bCs/>
                <w:color w:val="2B579A"/>
                <w:sz w:val="20"/>
                <w:szCs w:val="20"/>
                <w:shd w:val="clear" w:color="auto" w:fill="E6E6E6"/>
              </w:rPr>
              <w:fldChar w:fldCharType="end"/>
            </w:r>
            <w:r w:rsidRPr="00051DEC">
              <w:rPr>
                <w:sz w:val="20"/>
                <w:szCs w:val="20"/>
              </w:rPr>
              <w:t xml:space="preserve"> of </w:t>
            </w:r>
            <w:r w:rsidRPr="00051DEC">
              <w:rPr>
                <w:b/>
                <w:bCs/>
                <w:color w:val="2B579A"/>
                <w:sz w:val="20"/>
                <w:szCs w:val="20"/>
                <w:shd w:val="clear" w:color="auto" w:fill="E6E6E6"/>
              </w:rPr>
              <w:fldChar w:fldCharType="begin"/>
            </w:r>
            <w:r w:rsidRPr="00051DEC">
              <w:rPr>
                <w:b/>
                <w:bCs/>
                <w:sz w:val="20"/>
                <w:szCs w:val="20"/>
              </w:rPr>
              <w:instrText xml:space="preserve"> NUMPAGES  </w:instrText>
            </w:r>
            <w:r w:rsidRPr="00051DEC">
              <w:rPr>
                <w:b/>
                <w:bCs/>
                <w:color w:val="2B579A"/>
                <w:sz w:val="20"/>
                <w:szCs w:val="20"/>
                <w:shd w:val="clear" w:color="auto" w:fill="E6E6E6"/>
              </w:rPr>
              <w:fldChar w:fldCharType="separate"/>
            </w:r>
            <w:r>
              <w:rPr>
                <w:b/>
                <w:bCs/>
                <w:noProof/>
                <w:sz w:val="20"/>
                <w:szCs w:val="20"/>
              </w:rPr>
              <w:t>25</w:t>
            </w:r>
            <w:r w:rsidRPr="00051DEC">
              <w:rPr>
                <w:b/>
                <w:bCs/>
                <w:color w:val="2B579A"/>
                <w:sz w:val="20"/>
                <w:szCs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3CEEB" w14:textId="77777777" w:rsidR="00311D40" w:rsidRDefault="00311D40" w:rsidP="003D0331">
      <w:pPr>
        <w:spacing w:after="0" w:line="240" w:lineRule="auto"/>
      </w:pPr>
      <w:r>
        <w:separator/>
      </w:r>
    </w:p>
  </w:footnote>
  <w:footnote w:type="continuationSeparator" w:id="0">
    <w:p w14:paraId="59456461" w14:textId="77777777" w:rsidR="00311D40" w:rsidRDefault="00311D40" w:rsidP="003D0331">
      <w:pPr>
        <w:spacing w:after="0" w:line="240" w:lineRule="auto"/>
      </w:pPr>
      <w:r>
        <w:continuationSeparator/>
      </w:r>
    </w:p>
  </w:footnote>
  <w:footnote w:type="continuationNotice" w:id="1">
    <w:p w14:paraId="77797898" w14:textId="77777777" w:rsidR="00311D40" w:rsidRDefault="00311D40">
      <w:pPr>
        <w:spacing w:after="0" w:line="240" w:lineRule="auto"/>
      </w:pPr>
    </w:p>
  </w:footnote>
  <w:footnote w:id="2">
    <w:p w14:paraId="42E3366A" w14:textId="77777777" w:rsidR="003D0331" w:rsidRPr="0034147D" w:rsidRDefault="003D0331" w:rsidP="003D0331">
      <w:pPr>
        <w:pStyle w:val="NormalWeb"/>
        <w:spacing w:before="0" w:beforeAutospacing="0" w:after="0" w:afterAutospacing="0"/>
        <w:rPr>
          <w:sz w:val="20"/>
        </w:rPr>
      </w:pPr>
      <w:r>
        <w:rPr>
          <w:rStyle w:val="FootnoteReference"/>
        </w:rPr>
        <w:footnoteRef/>
      </w:r>
      <w:r>
        <w:t xml:space="preserve"> </w:t>
      </w:r>
      <w:r w:rsidRPr="0034147D">
        <w:rPr>
          <w:sz w:val="20"/>
        </w:rPr>
        <w:t>New Jersey Department of Labor and Workforce Development, Key Industry</w:t>
      </w:r>
    </w:p>
    <w:p w14:paraId="21AB5FBE" w14:textId="77777777" w:rsidR="003D0331" w:rsidRDefault="00D534DE" w:rsidP="003D0331">
      <w:pPr>
        <w:pStyle w:val="FootnoteText"/>
      </w:pPr>
      <w:hyperlink r:id="rId1" w:history="1">
        <w:r w:rsidR="003D0331" w:rsidRPr="00C44D17">
          <w:rPr>
            <w:rStyle w:val="Hyperlink"/>
            <w:rFonts w:eastAsia="SimSun"/>
          </w:rPr>
          <w:t>https://www.nj.gov/education/cte/perkins/Final%20PerkinsVStatePlan_April2020.pdf</w:t>
        </w:r>
      </w:hyperlink>
      <w:r w:rsidR="003D033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5EBE" w14:textId="77777777" w:rsidR="00054339" w:rsidRPr="009F5EDC" w:rsidRDefault="00054339" w:rsidP="009F5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1F7"/>
    <w:multiLevelType w:val="hybridMultilevel"/>
    <w:tmpl w:val="E6A8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42308"/>
    <w:multiLevelType w:val="hybridMultilevel"/>
    <w:tmpl w:val="38B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BE323C"/>
    <w:multiLevelType w:val="hybridMultilevel"/>
    <w:tmpl w:val="BD68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7032B"/>
    <w:multiLevelType w:val="hybridMultilevel"/>
    <w:tmpl w:val="7B24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41733"/>
    <w:multiLevelType w:val="hybridMultilevel"/>
    <w:tmpl w:val="25FC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3F66E3"/>
    <w:multiLevelType w:val="hybridMultilevel"/>
    <w:tmpl w:val="9E12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42C77"/>
    <w:multiLevelType w:val="hybridMultilevel"/>
    <w:tmpl w:val="141864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265A6802"/>
    <w:multiLevelType w:val="hybridMultilevel"/>
    <w:tmpl w:val="6A2A5880"/>
    <w:lvl w:ilvl="0" w:tplc="B09CBC8E">
      <w:start w:val="1"/>
      <w:numFmt w:val="bullet"/>
      <w:lvlText w:val=""/>
      <w:lvlJc w:val="left"/>
      <w:pPr>
        <w:ind w:left="720" w:hanging="360"/>
      </w:pPr>
      <w:rPr>
        <w:rFonts w:ascii="Symbol" w:hAnsi="Symbol" w:hint="default"/>
      </w:rPr>
    </w:lvl>
    <w:lvl w:ilvl="1" w:tplc="052CAA6E">
      <w:start w:val="1"/>
      <w:numFmt w:val="bullet"/>
      <w:lvlText w:val="o"/>
      <w:lvlJc w:val="left"/>
      <w:pPr>
        <w:ind w:left="1440" w:hanging="360"/>
      </w:pPr>
      <w:rPr>
        <w:rFonts w:ascii="Courier New" w:hAnsi="Courier New" w:hint="default"/>
      </w:rPr>
    </w:lvl>
    <w:lvl w:ilvl="2" w:tplc="DDDE33F2">
      <w:start w:val="1"/>
      <w:numFmt w:val="bullet"/>
      <w:lvlText w:val=""/>
      <w:lvlJc w:val="left"/>
      <w:pPr>
        <w:ind w:left="2160" w:hanging="360"/>
      </w:pPr>
      <w:rPr>
        <w:rFonts w:ascii="Wingdings" w:hAnsi="Wingdings" w:hint="default"/>
      </w:rPr>
    </w:lvl>
    <w:lvl w:ilvl="3" w:tplc="293C3AA0">
      <w:start w:val="1"/>
      <w:numFmt w:val="bullet"/>
      <w:lvlText w:val=""/>
      <w:lvlJc w:val="left"/>
      <w:pPr>
        <w:ind w:left="2880" w:hanging="360"/>
      </w:pPr>
      <w:rPr>
        <w:rFonts w:ascii="Symbol" w:hAnsi="Symbol" w:hint="default"/>
      </w:rPr>
    </w:lvl>
    <w:lvl w:ilvl="4" w:tplc="76680558">
      <w:start w:val="1"/>
      <w:numFmt w:val="bullet"/>
      <w:lvlText w:val="o"/>
      <w:lvlJc w:val="left"/>
      <w:pPr>
        <w:ind w:left="3600" w:hanging="360"/>
      </w:pPr>
      <w:rPr>
        <w:rFonts w:ascii="Courier New" w:hAnsi="Courier New" w:hint="default"/>
      </w:rPr>
    </w:lvl>
    <w:lvl w:ilvl="5" w:tplc="679AFB88">
      <w:start w:val="1"/>
      <w:numFmt w:val="bullet"/>
      <w:lvlText w:val=""/>
      <w:lvlJc w:val="left"/>
      <w:pPr>
        <w:ind w:left="4320" w:hanging="360"/>
      </w:pPr>
      <w:rPr>
        <w:rFonts w:ascii="Wingdings" w:hAnsi="Wingdings" w:hint="default"/>
      </w:rPr>
    </w:lvl>
    <w:lvl w:ilvl="6" w:tplc="57D4D98A">
      <w:start w:val="1"/>
      <w:numFmt w:val="bullet"/>
      <w:lvlText w:val=""/>
      <w:lvlJc w:val="left"/>
      <w:pPr>
        <w:ind w:left="5040" w:hanging="360"/>
      </w:pPr>
      <w:rPr>
        <w:rFonts w:ascii="Symbol" w:hAnsi="Symbol" w:hint="default"/>
      </w:rPr>
    </w:lvl>
    <w:lvl w:ilvl="7" w:tplc="04A21D3A">
      <w:start w:val="1"/>
      <w:numFmt w:val="bullet"/>
      <w:lvlText w:val="o"/>
      <w:lvlJc w:val="left"/>
      <w:pPr>
        <w:ind w:left="5760" w:hanging="360"/>
      </w:pPr>
      <w:rPr>
        <w:rFonts w:ascii="Courier New" w:hAnsi="Courier New" w:hint="default"/>
      </w:rPr>
    </w:lvl>
    <w:lvl w:ilvl="8" w:tplc="A2EEF484">
      <w:start w:val="1"/>
      <w:numFmt w:val="bullet"/>
      <w:lvlText w:val=""/>
      <w:lvlJc w:val="left"/>
      <w:pPr>
        <w:ind w:left="6480" w:hanging="360"/>
      </w:pPr>
      <w:rPr>
        <w:rFonts w:ascii="Wingdings" w:hAnsi="Wingdings" w:hint="default"/>
      </w:rPr>
    </w:lvl>
  </w:abstractNum>
  <w:abstractNum w:abstractNumId="11"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15D1D"/>
    <w:multiLevelType w:val="hybridMultilevel"/>
    <w:tmpl w:val="ADEC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73D6D"/>
    <w:multiLevelType w:val="hybridMultilevel"/>
    <w:tmpl w:val="597A3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A4DE8"/>
    <w:multiLevelType w:val="hybridMultilevel"/>
    <w:tmpl w:val="E92CED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3B214A"/>
    <w:multiLevelType w:val="hybridMultilevel"/>
    <w:tmpl w:val="ACC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A0AB9"/>
    <w:multiLevelType w:val="hybridMultilevel"/>
    <w:tmpl w:val="2B62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B71C5"/>
    <w:multiLevelType w:val="hybridMultilevel"/>
    <w:tmpl w:val="D7EADFA2"/>
    <w:lvl w:ilvl="0" w:tplc="FFFFFFFF">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F360C"/>
    <w:multiLevelType w:val="hybridMultilevel"/>
    <w:tmpl w:val="5DBED6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0752A"/>
    <w:multiLevelType w:val="hybridMultilevel"/>
    <w:tmpl w:val="2892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C3467"/>
    <w:multiLevelType w:val="hybridMultilevel"/>
    <w:tmpl w:val="2660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41E6D"/>
    <w:multiLevelType w:val="hybridMultilevel"/>
    <w:tmpl w:val="069E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3" w15:restartNumberingAfterBreak="0">
    <w:nsid w:val="6DAE7F2D"/>
    <w:multiLevelType w:val="hybridMultilevel"/>
    <w:tmpl w:val="5BDA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D50EF"/>
    <w:multiLevelType w:val="hybridMultilevel"/>
    <w:tmpl w:val="5A60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8234E"/>
    <w:multiLevelType w:val="hybridMultilevel"/>
    <w:tmpl w:val="5662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002787">
    <w:abstractNumId w:val="10"/>
  </w:num>
  <w:num w:numId="2" w16cid:durableId="1712266594">
    <w:abstractNumId w:val="2"/>
  </w:num>
  <w:num w:numId="3" w16cid:durableId="260722956">
    <w:abstractNumId w:val="6"/>
  </w:num>
  <w:num w:numId="4" w16cid:durableId="139999040">
    <w:abstractNumId w:val="11"/>
  </w:num>
  <w:num w:numId="5" w16cid:durableId="1284309417">
    <w:abstractNumId w:val="22"/>
  </w:num>
  <w:num w:numId="6" w16cid:durableId="1290361674">
    <w:abstractNumId w:val="7"/>
  </w:num>
  <w:num w:numId="7" w16cid:durableId="1587105822">
    <w:abstractNumId w:val="3"/>
  </w:num>
  <w:num w:numId="8" w16cid:durableId="412165103">
    <w:abstractNumId w:val="23"/>
  </w:num>
  <w:num w:numId="9" w16cid:durableId="1033729610">
    <w:abstractNumId w:val="0"/>
  </w:num>
  <w:num w:numId="10" w16cid:durableId="1461731591">
    <w:abstractNumId w:val="16"/>
  </w:num>
  <w:num w:numId="11" w16cid:durableId="1712535605">
    <w:abstractNumId w:val="25"/>
  </w:num>
  <w:num w:numId="12" w16cid:durableId="44448527">
    <w:abstractNumId w:val="1"/>
  </w:num>
  <w:num w:numId="13" w16cid:durableId="1683317668">
    <w:abstractNumId w:val="4"/>
  </w:num>
  <w:num w:numId="14" w16cid:durableId="1248657455">
    <w:abstractNumId w:val="12"/>
  </w:num>
  <w:num w:numId="15" w16cid:durableId="760831232">
    <w:abstractNumId w:val="24"/>
  </w:num>
  <w:num w:numId="16" w16cid:durableId="2002659184">
    <w:abstractNumId w:val="20"/>
  </w:num>
  <w:num w:numId="17" w16cid:durableId="774787518">
    <w:abstractNumId w:val="21"/>
  </w:num>
  <w:num w:numId="18" w16cid:durableId="629476798">
    <w:abstractNumId w:val="8"/>
  </w:num>
  <w:num w:numId="19" w16cid:durableId="1990015166">
    <w:abstractNumId w:val="5"/>
  </w:num>
  <w:num w:numId="20" w16cid:durableId="545338851">
    <w:abstractNumId w:val="15"/>
  </w:num>
  <w:num w:numId="21" w16cid:durableId="63374886">
    <w:abstractNumId w:val="19"/>
  </w:num>
  <w:num w:numId="22" w16cid:durableId="511997935">
    <w:abstractNumId w:val="13"/>
  </w:num>
  <w:num w:numId="23" w16cid:durableId="1793943085">
    <w:abstractNumId w:val="18"/>
  </w:num>
  <w:num w:numId="24" w16cid:durableId="389698344">
    <w:abstractNumId w:val="9"/>
  </w:num>
  <w:num w:numId="25" w16cid:durableId="400521613">
    <w:abstractNumId w:val="14"/>
  </w:num>
  <w:num w:numId="26" w16cid:durableId="186574521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MjUwsrA0sDQzMDJV0lEKTi0uzszPAykwqQUAdcthlCwAAAA="/>
  </w:docVars>
  <w:rsids>
    <w:rsidRoot w:val="003D0331"/>
    <w:rsid w:val="000227A3"/>
    <w:rsid w:val="00024615"/>
    <w:rsid w:val="000340F3"/>
    <w:rsid w:val="00054339"/>
    <w:rsid w:val="00063CDE"/>
    <w:rsid w:val="00065BFF"/>
    <w:rsid w:val="00072B4B"/>
    <w:rsid w:val="000916AB"/>
    <w:rsid w:val="00094370"/>
    <w:rsid w:val="000C53C1"/>
    <w:rsid w:val="000D5A24"/>
    <w:rsid w:val="00111268"/>
    <w:rsid w:val="0011390C"/>
    <w:rsid w:val="00115B71"/>
    <w:rsid w:val="0011659F"/>
    <w:rsid w:val="0012114C"/>
    <w:rsid w:val="0018480D"/>
    <w:rsid w:val="001A1F4A"/>
    <w:rsid w:val="001C1A2C"/>
    <w:rsid w:val="001C3E44"/>
    <w:rsid w:val="001D335F"/>
    <w:rsid w:val="0021415E"/>
    <w:rsid w:val="0022501E"/>
    <w:rsid w:val="002415A6"/>
    <w:rsid w:val="00256AF3"/>
    <w:rsid w:val="00264C45"/>
    <w:rsid w:val="00276E8C"/>
    <w:rsid w:val="00283387"/>
    <w:rsid w:val="002A6958"/>
    <w:rsid w:val="002B4EEE"/>
    <w:rsid w:val="002C43F2"/>
    <w:rsid w:val="002E64C3"/>
    <w:rsid w:val="00311D40"/>
    <w:rsid w:val="00327C5E"/>
    <w:rsid w:val="00327DFE"/>
    <w:rsid w:val="00352154"/>
    <w:rsid w:val="003643F2"/>
    <w:rsid w:val="00397B05"/>
    <w:rsid w:val="003A2234"/>
    <w:rsid w:val="003D0331"/>
    <w:rsid w:val="0041409A"/>
    <w:rsid w:val="00422C20"/>
    <w:rsid w:val="00442C8B"/>
    <w:rsid w:val="0045171D"/>
    <w:rsid w:val="004E074C"/>
    <w:rsid w:val="004F5832"/>
    <w:rsid w:val="00516532"/>
    <w:rsid w:val="00533156"/>
    <w:rsid w:val="00534C04"/>
    <w:rsid w:val="00565EC4"/>
    <w:rsid w:val="005957FC"/>
    <w:rsid w:val="005C4095"/>
    <w:rsid w:val="005E6E0E"/>
    <w:rsid w:val="0060542B"/>
    <w:rsid w:val="006168E0"/>
    <w:rsid w:val="00623ACB"/>
    <w:rsid w:val="00662F5A"/>
    <w:rsid w:val="006676E7"/>
    <w:rsid w:val="006874B7"/>
    <w:rsid w:val="006A5931"/>
    <w:rsid w:val="006A7D4B"/>
    <w:rsid w:val="006C1850"/>
    <w:rsid w:val="006C6AD2"/>
    <w:rsid w:val="006E01F0"/>
    <w:rsid w:val="006F75F4"/>
    <w:rsid w:val="00703F85"/>
    <w:rsid w:val="007104E1"/>
    <w:rsid w:val="007106A5"/>
    <w:rsid w:val="0073105B"/>
    <w:rsid w:val="007B3154"/>
    <w:rsid w:val="007E5964"/>
    <w:rsid w:val="007F56CA"/>
    <w:rsid w:val="008422D8"/>
    <w:rsid w:val="0084254E"/>
    <w:rsid w:val="008444A7"/>
    <w:rsid w:val="008618B0"/>
    <w:rsid w:val="00883AB6"/>
    <w:rsid w:val="00887A72"/>
    <w:rsid w:val="00897B80"/>
    <w:rsid w:val="008A05B4"/>
    <w:rsid w:val="008A3D3F"/>
    <w:rsid w:val="008B2061"/>
    <w:rsid w:val="008F438E"/>
    <w:rsid w:val="00947E2E"/>
    <w:rsid w:val="00951D19"/>
    <w:rsid w:val="0095332A"/>
    <w:rsid w:val="009A1753"/>
    <w:rsid w:val="009A40C0"/>
    <w:rsid w:val="009D0924"/>
    <w:rsid w:val="009D79EA"/>
    <w:rsid w:val="00A04342"/>
    <w:rsid w:val="00A053FB"/>
    <w:rsid w:val="00A325D1"/>
    <w:rsid w:val="00A547C1"/>
    <w:rsid w:val="00A734B3"/>
    <w:rsid w:val="00A75DEB"/>
    <w:rsid w:val="00A85940"/>
    <w:rsid w:val="00AA42FE"/>
    <w:rsid w:val="00B02F97"/>
    <w:rsid w:val="00B07703"/>
    <w:rsid w:val="00B14969"/>
    <w:rsid w:val="00B331B0"/>
    <w:rsid w:val="00B611C9"/>
    <w:rsid w:val="00B66D73"/>
    <w:rsid w:val="00BB6111"/>
    <w:rsid w:val="00BD4ED4"/>
    <w:rsid w:val="00C24D52"/>
    <w:rsid w:val="00C34CEF"/>
    <w:rsid w:val="00C52421"/>
    <w:rsid w:val="00C61A89"/>
    <w:rsid w:val="00C61C15"/>
    <w:rsid w:val="00C71706"/>
    <w:rsid w:val="00C7797E"/>
    <w:rsid w:val="00C874C4"/>
    <w:rsid w:val="00C97F14"/>
    <w:rsid w:val="00CA4BDF"/>
    <w:rsid w:val="00CC5155"/>
    <w:rsid w:val="00CE5408"/>
    <w:rsid w:val="00D00547"/>
    <w:rsid w:val="00D00F97"/>
    <w:rsid w:val="00D111F7"/>
    <w:rsid w:val="00D52D7D"/>
    <w:rsid w:val="00D534DE"/>
    <w:rsid w:val="00D62302"/>
    <w:rsid w:val="00D9717A"/>
    <w:rsid w:val="00DA4574"/>
    <w:rsid w:val="00DB1BC9"/>
    <w:rsid w:val="00DC22FF"/>
    <w:rsid w:val="00E20E3C"/>
    <w:rsid w:val="00E46435"/>
    <w:rsid w:val="00E5003A"/>
    <w:rsid w:val="00E9269F"/>
    <w:rsid w:val="00EA4AB7"/>
    <w:rsid w:val="00EA6B05"/>
    <w:rsid w:val="00EB6764"/>
    <w:rsid w:val="00F11433"/>
    <w:rsid w:val="00F15F43"/>
    <w:rsid w:val="00F3373B"/>
    <w:rsid w:val="00F84553"/>
    <w:rsid w:val="00FB1D12"/>
    <w:rsid w:val="00FE7C98"/>
    <w:rsid w:val="01979029"/>
    <w:rsid w:val="03635723"/>
    <w:rsid w:val="04F1ECEB"/>
    <w:rsid w:val="0905C341"/>
    <w:rsid w:val="0985A4E0"/>
    <w:rsid w:val="0C351F94"/>
    <w:rsid w:val="0C3A4A08"/>
    <w:rsid w:val="0E874641"/>
    <w:rsid w:val="1119DF1A"/>
    <w:rsid w:val="11B5EECD"/>
    <w:rsid w:val="11D310CF"/>
    <w:rsid w:val="12417042"/>
    <w:rsid w:val="1398240B"/>
    <w:rsid w:val="1571C81E"/>
    <w:rsid w:val="16BDE556"/>
    <w:rsid w:val="178FBD36"/>
    <w:rsid w:val="17FE85E0"/>
    <w:rsid w:val="1859B5B7"/>
    <w:rsid w:val="18F62FC0"/>
    <w:rsid w:val="1A9196EB"/>
    <w:rsid w:val="1AE24D0C"/>
    <w:rsid w:val="1C305FBF"/>
    <w:rsid w:val="1C8EAC51"/>
    <w:rsid w:val="1E78A163"/>
    <w:rsid w:val="1F6F9062"/>
    <w:rsid w:val="1F92BA52"/>
    <w:rsid w:val="1FA98C51"/>
    <w:rsid w:val="1FCBF891"/>
    <w:rsid w:val="205D7EB6"/>
    <w:rsid w:val="212172D2"/>
    <w:rsid w:val="217F3B3B"/>
    <w:rsid w:val="24211A57"/>
    <w:rsid w:val="25F10B98"/>
    <w:rsid w:val="28A9E029"/>
    <w:rsid w:val="29370399"/>
    <w:rsid w:val="29A02D3A"/>
    <w:rsid w:val="2B0B1806"/>
    <w:rsid w:val="2CEDE8EF"/>
    <w:rsid w:val="2D784EEA"/>
    <w:rsid w:val="2FCD50F1"/>
    <w:rsid w:val="3321AAA3"/>
    <w:rsid w:val="33961635"/>
    <w:rsid w:val="3780C218"/>
    <w:rsid w:val="395734D5"/>
    <w:rsid w:val="39EA911F"/>
    <w:rsid w:val="3AF51F5C"/>
    <w:rsid w:val="3C90EFBD"/>
    <w:rsid w:val="3E0D113E"/>
    <w:rsid w:val="402ADDC3"/>
    <w:rsid w:val="40326927"/>
    <w:rsid w:val="43EF7580"/>
    <w:rsid w:val="456A74A0"/>
    <w:rsid w:val="4AB90917"/>
    <w:rsid w:val="4ED6CC4D"/>
    <w:rsid w:val="52368C98"/>
    <w:rsid w:val="54BA12F2"/>
    <w:rsid w:val="56C8B5D5"/>
    <w:rsid w:val="57034169"/>
    <w:rsid w:val="5CCA7149"/>
    <w:rsid w:val="5EED2B78"/>
    <w:rsid w:val="6099923F"/>
    <w:rsid w:val="6201094E"/>
    <w:rsid w:val="627F27E2"/>
    <w:rsid w:val="637F9304"/>
    <w:rsid w:val="64A8CF43"/>
    <w:rsid w:val="672FA56E"/>
    <w:rsid w:val="6A7466AF"/>
    <w:rsid w:val="6B8299B6"/>
    <w:rsid w:val="6BE9530B"/>
    <w:rsid w:val="6D0EB6BD"/>
    <w:rsid w:val="6D5608A9"/>
    <w:rsid w:val="71BBF6F7"/>
    <w:rsid w:val="7399C66C"/>
    <w:rsid w:val="73BC4EB7"/>
    <w:rsid w:val="7498F5AA"/>
    <w:rsid w:val="79493BF5"/>
    <w:rsid w:val="794DBFC8"/>
    <w:rsid w:val="7E5FE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C6BD"/>
  <w15:chartTrackingRefBased/>
  <w15:docId w15:val="{BABCF0E3-59D9-4C21-AF57-0E85363A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31"/>
    <w:pPr>
      <w:spacing w:line="264" w:lineRule="auto"/>
    </w:pPr>
    <w:rPr>
      <w:rFonts w:ascii="Calibri" w:eastAsia="Times New Roman" w:hAnsi="Calibri" w:cs="Times New Roman"/>
      <w:color w:val="000000"/>
      <w:szCs w:val="21"/>
    </w:rPr>
  </w:style>
  <w:style w:type="paragraph" w:styleId="Heading1">
    <w:name w:val="heading 1"/>
    <w:basedOn w:val="Normal"/>
    <w:next w:val="Normal"/>
    <w:link w:val="Heading1Char"/>
    <w:uiPriority w:val="9"/>
    <w:qFormat/>
    <w:rsid w:val="003D0331"/>
    <w:pPr>
      <w:keepNext/>
      <w:keepLines/>
      <w:pBdr>
        <w:bottom w:val="single" w:sz="4" w:space="1" w:color="5B9BD5"/>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3D0331"/>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3D0331"/>
    <w:pPr>
      <w:keepNext/>
      <w:keepLines/>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3D0331"/>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3D0331"/>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3D0331"/>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3D0331"/>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3D0331"/>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3D0331"/>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331"/>
    <w:rPr>
      <w:rFonts w:ascii="Calibri" w:eastAsia="SimSun" w:hAnsi="Calibri" w:cs="Times New Roman"/>
      <w:b/>
      <w:color w:val="2E74B5"/>
      <w:sz w:val="36"/>
      <w:szCs w:val="36"/>
    </w:rPr>
  </w:style>
  <w:style w:type="character" w:customStyle="1" w:styleId="Heading2Char">
    <w:name w:val="Heading 2 Char"/>
    <w:basedOn w:val="DefaultParagraphFont"/>
    <w:link w:val="Heading2"/>
    <w:uiPriority w:val="9"/>
    <w:rsid w:val="003D0331"/>
    <w:rPr>
      <w:rFonts w:ascii="Calibri" w:eastAsia="SimSun" w:hAnsi="Calibri" w:cs="Times New Roman"/>
      <w:b/>
      <w:color w:val="2E74B5"/>
      <w:sz w:val="24"/>
      <w:szCs w:val="28"/>
    </w:rPr>
  </w:style>
  <w:style w:type="character" w:customStyle="1" w:styleId="Heading3Char">
    <w:name w:val="Heading 3 Char"/>
    <w:basedOn w:val="DefaultParagraphFont"/>
    <w:link w:val="Heading3"/>
    <w:uiPriority w:val="9"/>
    <w:rsid w:val="003D0331"/>
    <w:rPr>
      <w:rFonts w:ascii="Calibri" w:eastAsia="SimSun" w:hAnsi="Calibri" w:cs="Times New Roman"/>
      <w:b/>
      <w:i/>
      <w:color w:val="000000"/>
      <w:sz w:val="24"/>
      <w:szCs w:val="26"/>
    </w:rPr>
  </w:style>
  <w:style w:type="character" w:customStyle="1" w:styleId="Heading4Char">
    <w:name w:val="Heading 4 Char"/>
    <w:basedOn w:val="DefaultParagraphFont"/>
    <w:link w:val="Heading4"/>
    <w:uiPriority w:val="4"/>
    <w:rsid w:val="003D0331"/>
    <w:rPr>
      <w:rFonts w:ascii="Calibri" w:eastAsia="SimSun" w:hAnsi="Calibri" w:cs="Times New Roman"/>
      <w:b/>
      <w:color w:val="000000"/>
      <w:szCs w:val="24"/>
    </w:rPr>
  </w:style>
  <w:style w:type="character" w:customStyle="1" w:styleId="Heading5Char">
    <w:name w:val="Heading 5 Char"/>
    <w:basedOn w:val="DefaultParagraphFont"/>
    <w:link w:val="Heading5"/>
    <w:uiPriority w:val="9"/>
    <w:rsid w:val="003D0331"/>
    <w:rPr>
      <w:rFonts w:ascii="Calibri Light" w:eastAsia="SimSun" w:hAnsi="Calibri Light" w:cs="Times New Roman"/>
      <w:b/>
      <w:i/>
      <w:iCs/>
      <w:color w:val="000000"/>
    </w:rPr>
  </w:style>
  <w:style w:type="character" w:customStyle="1" w:styleId="Heading6Char">
    <w:name w:val="Heading 6 Char"/>
    <w:basedOn w:val="DefaultParagraphFont"/>
    <w:link w:val="Heading6"/>
    <w:uiPriority w:val="9"/>
    <w:semiHidden/>
    <w:rsid w:val="003D0331"/>
    <w:rPr>
      <w:rFonts w:ascii="Calibri Light" w:eastAsia="SimSun" w:hAnsi="Calibri Light" w:cs="Times New Roman"/>
      <w:color w:val="595959"/>
      <w:szCs w:val="21"/>
    </w:rPr>
  </w:style>
  <w:style w:type="character" w:customStyle="1" w:styleId="Heading7Char">
    <w:name w:val="Heading 7 Char"/>
    <w:basedOn w:val="DefaultParagraphFont"/>
    <w:link w:val="Heading7"/>
    <w:uiPriority w:val="9"/>
    <w:rsid w:val="003D0331"/>
    <w:rPr>
      <w:rFonts w:ascii="Calibri Light" w:eastAsia="SimSun" w:hAnsi="Calibri Light" w:cs="Times New Roman"/>
      <w:iCs/>
      <w:color w:val="000000"/>
      <w:szCs w:val="21"/>
    </w:rPr>
  </w:style>
  <w:style w:type="character" w:customStyle="1" w:styleId="Heading8Char">
    <w:name w:val="Heading 8 Char"/>
    <w:basedOn w:val="DefaultParagraphFont"/>
    <w:link w:val="Heading8"/>
    <w:uiPriority w:val="9"/>
    <w:semiHidden/>
    <w:rsid w:val="003D0331"/>
    <w:rPr>
      <w:rFonts w:ascii="Calibri Light" w:eastAsia="SimSun" w:hAnsi="Calibri Light" w:cs="Times New Roman"/>
      <w:smallCaps/>
      <w:color w:val="595959"/>
      <w:szCs w:val="21"/>
    </w:rPr>
  </w:style>
  <w:style w:type="character" w:customStyle="1" w:styleId="Heading9Char">
    <w:name w:val="Heading 9 Char"/>
    <w:basedOn w:val="DefaultParagraphFont"/>
    <w:link w:val="Heading9"/>
    <w:uiPriority w:val="9"/>
    <w:semiHidden/>
    <w:rsid w:val="003D0331"/>
    <w:rPr>
      <w:rFonts w:ascii="Calibri Light" w:eastAsia="SimSun" w:hAnsi="Calibri Light" w:cs="Times New Roman"/>
      <w:i/>
      <w:iCs/>
      <w:smallCaps/>
      <w:color w:val="595959"/>
      <w:szCs w:val="21"/>
    </w:rPr>
  </w:style>
  <w:style w:type="paragraph" w:customStyle="1" w:styleId="a">
    <w:name w:val="_"/>
    <w:basedOn w:val="Normal"/>
    <w:rsid w:val="003D0331"/>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3D0331"/>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3D0331"/>
    <w:rPr>
      <w:rFonts w:ascii="Calibri" w:eastAsia="Times New Roman" w:hAnsi="Calibri" w:cs="Times New Roman"/>
      <w:snapToGrid w:val="0"/>
      <w:color w:val="000000"/>
      <w:szCs w:val="21"/>
    </w:rPr>
  </w:style>
  <w:style w:type="paragraph" w:styleId="Header">
    <w:name w:val="header"/>
    <w:basedOn w:val="Normal"/>
    <w:link w:val="HeaderChar"/>
    <w:rsid w:val="003D0331"/>
    <w:pPr>
      <w:tabs>
        <w:tab w:val="center" w:pos="4320"/>
        <w:tab w:val="right" w:pos="8640"/>
      </w:tabs>
    </w:pPr>
  </w:style>
  <w:style w:type="character" w:customStyle="1" w:styleId="HeaderChar">
    <w:name w:val="Header Char"/>
    <w:basedOn w:val="DefaultParagraphFont"/>
    <w:link w:val="Header"/>
    <w:rsid w:val="003D0331"/>
    <w:rPr>
      <w:rFonts w:ascii="Calibri" w:eastAsia="Times New Roman" w:hAnsi="Calibri" w:cs="Times New Roman"/>
      <w:color w:val="000000"/>
      <w:szCs w:val="21"/>
    </w:rPr>
  </w:style>
  <w:style w:type="paragraph" w:styleId="Footer">
    <w:name w:val="footer"/>
    <w:basedOn w:val="Normal"/>
    <w:link w:val="FooterChar"/>
    <w:uiPriority w:val="99"/>
    <w:rsid w:val="003D0331"/>
    <w:pPr>
      <w:tabs>
        <w:tab w:val="center" w:pos="4320"/>
        <w:tab w:val="right" w:pos="8640"/>
      </w:tabs>
    </w:pPr>
  </w:style>
  <w:style w:type="character" w:customStyle="1" w:styleId="FooterChar">
    <w:name w:val="Footer Char"/>
    <w:basedOn w:val="DefaultParagraphFont"/>
    <w:link w:val="Footer"/>
    <w:uiPriority w:val="99"/>
    <w:rsid w:val="003D0331"/>
    <w:rPr>
      <w:rFonts w:ascii="Calibri" w:eastAsia="Times New Roman" w:hAnsi="Calibri" w:cs="Times New Roman"/>
      <w:color w:val="000000"/>
      <w:szCs w:val="21"/>
    </w:rPr>
  </w:style>
  <w:style w:type="character" w:styleId="PageNumber">
    <w:name w:val="page number"/>
    <w:basedOn w:val="DefaultParagraphFont"/>
    <w:rsid w:val="003D0331"/>
  </w:style>
  <w:style w:type="paragraph" w:styleId="BodyText">
    <w:name w:val="Body Text"/>
    <w:basedOn w:val="Normal"/>
    <w:link w:val="BodyTextChar"/>
    <w:rsid w:val="003D0331"/>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3D0331"/>
    <w:rPr>
      <w:rFonts w:ascii="Calibri" w:eastAsia="Times New Roman" w:hAnsi="Calibri" w:cs="Times New Roman"/>
      <w:snapToGrid w:val="0"/>
      <w:color w:val="000000"/>
      <w:szCs w:val="21"/>
    </w:rPr>
  </w:style>
  <w:style w:type="paragraph" w:styleId="BodyTextIndent2">
    <w:name w:val="Body Text Indent 2"/>
    <w:basedOn w:val="Normal"/>
    <w:link w:val="BodyTextIndent2Char"/>
    <w:rsid w:val="003D0331"/>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basedOn w:val="DefaultParagraphFont"/>
    <w:link w:val="BodyTextIndent2"/>
    <w:rsid w:val="003D0331"/>
    <w:rPr>
      <w:rFonts w:ascii="Calibri" w:eastAsia="Times New Roman" w:hAnsi="Calibri" w:cs="Times New Roman"/>
      <w:snapToGrid w:val="0"/>
      <w:color w:val="000000"/>
      <w:szCs w:val="21"/>
    </w:rPr>
  </w:style>
  <w:style w:type="character" w:styleId="Hyperlink">
    <w:name w:val="Hyperlink"/>
    <w:uiPriority w:val="99"/>
    <w:rsid w:val="003D0331"/>
    <w:rPr>
      <w:color w:val="0000FF"/>
      <w:u w:val="single"/>
    </w:rPr>
  </w:style>
  <w:style w:type="paragraph" w:styleId="FootnoteText">
    <w:name w:val="footnote text"/>
    <w:basedOn w:val="Normal"/>
    <w:link w:val="FootnoteTextChar"/>
    <w:uiPriority w:val="99"/>
    <w:semiHidden/>
    <w:rsid w:val="003D0331"/>
    <w:rPr>
      <w:sz w:val="20"/>
    </w:rPr>
  </w:style>
  <w:style w:type="character" w:customStyle="1" w:styleId="FootnoteTextChar">
    <w:name w:val="Footnote Text Char"/>
    <w:basedOn w:val="DefaultParagraphFont"/>
    <w:link w:val="FootnoteText"/>
    <w:uiPriority w:val="99"/>
    <w:semiHidden/>
    <w:rsid w:val="003D0331"/>
    <w:rPr>
      <w:rFonts w:ascii="Calibri" w:eastAsia="Times New Roman" w:hAnsi="Calibri" w:cs="Times New Roman"/>
      <w:color w:val="000000"/>
      <w:sz w:val="20"/>
      <w:szCs w:val="21"/>
    </w:rPr>
  </w:style>
  <w:style w:type="character" w:styleId="FootnoteReference">
    <w:name w:val="footnote reference"/>
    <w:uiPriority w:val="99"/>
    <w:semiHidden/>
    <w:rsid w:val="003D0331"/>
    <w:rPr>
      <w:vertAlign w:val="superscript"/>
    </w:rPr>
  </w:style>
  <w:style w:type="paragraph" w:styleId="BodyText3">
    <w:name w:val="Body Text 3"/>
    <w:basedOn w:val="Normal"/>
    <w:link w:val="BodyText3Char"/>
    <w:uiPriority w:val="99"/>
    <w:rsid w:val="003D0331"/>
    <w:pPr>
      <w:tabs>
        <w:tab w:val="left" w:pos="630"/>
        <w:tab w:val="left" w:pos="1080"/>
      </w:tabs>
      <w:jc w:val="both"/>
    </w:pPr>
    <w:rPr>
      <w:b/>
    </w:rPr>
  </w:style>
  <w:style w:type="character" w:customStyle="1" w:styleId="BodyText3Char">
    <w:name w:val="Body Text 3 Char"/>
    <w:basedOn w:val="DefaultParagraphFont"/>
    <w:link w:val="BodyText3"/>
    <w:uiPriority w:val="99"/>
    <w:rsid w:val="003D0331"/>
    <w:rPr>
      <w:rFonts w:ascii="Calibri" w:eastAsia="Times New Roman" w:hAnsi="Calibri" w:cs="Times New Roman"/>
      <w:b/>
      <w:color w:val="000000"/>
      <w:szCs w:val="21"/>
    </w:rPr>
  </w:style>
  <w:style w:type="character" w:styleId="FollowedHyperlink">
    <w:name w:val="FollowedHyperlink"/>
    <w:rsid w:val="003D0331"/>
    <w:rPr>
      <w:color w:val="800080"/>
      <w:u w:val="single"/>
    </w:rPr>
  </w:style>
  <w:style w:type="paragraph" w:styleId="BlockText">
    <w:name w:val="Block Text"/>
    <w:basedOn w:val="Normal"/>
    <w:rsid w:val="003D0331"/>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semiHidden/>
    <w:rsid w:val="003D0331"/>
    <w:rPr>
      <w:rFonts w:ascii="Tahoma" w:hAnsi="Tahoma" w:cs="Tahoma"/>
      <w:sz w:val="16"/>
      <w:szCs w:val="16"/>
    </w:rPr>
  </w:style>
  <w:style w:type="character" w:customStyle="1" w:styleId="BalloonTextChar">
    <w:name w:val="Balloon Text Char"/>
    <w:basedOn w:val="DefaultParagraphFont"/>
    <w:link w:val="BalloonText"/>
    <w:semiHidden/>
    <w:rsid w:val="003D0331"/>
    <w:rPr>
      <w:rFonts w:ascii="Tahoma" w:eastAsia="Times New Roman" w:hAnsi="Tahoma" w:cs="Tahoma"/>
      <w:color w:val="000000"/>
      <w:sz w:val="16"/>
      <w:szCs w:val="16"/>
    </w:rPr>
  </w:style>
  <w:style w:type="table" w:styleId="TableGrid">
    <w:name w:val="Table Grid"/>
    <w:basedOn w:val="TableNormal"/>
    <w:rsid w:val="003D033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D0331"/>
    <w:rPr>
      <w:sz w:val="16"/>
      <w:szCs w:val="16"/>
    </w:rPr>
  </w:style>
  <w:style w:type="paragraph" w:styleId="CommentText">
    <w:name w:val="annotation text"/>
    <w:basedOn w:val="Normal"/>
    <w:link w:val="CommentTextChar"/>
    <w:uiPriority w:val="99"/>
    <w:semiHidden/>
    <w:unhideWhenUsed/>
    <w:rsid w:val="003D0331"/>
    <w:rPr>
      <w:sz w:val="20"/>
    </w:rPr>
  </w:style>
  <w:style w:type="character" w:customStyle="1" w:styleId="CommentTextChar">
    <w:name w:val="Comment Text Char"/>
    <w:basedOn w:val="DefaultParagraphFont"/>
    <w:link w:val="CommentText"/>
    <w:uiPriority w:val="99"/>
    <w:semiHidden/>
    <w:rsid w:val="003D0331"/>
    <w:rPr>
      <w:rFonts w:ascii="Calibri" w:eastAsia="Times New Roman" w:hAnsi="Calibri" w:cs="Times New Roman"/>
      <w:color w:val="000000"/>
      <w:sz w:val="20"/>
      <w:szCs w:val="21"/>
    </w:rPr>
  </w:style>
  <w:style w:type="paragraph" w:styleId="CommentSubject">
    <w:name w:val="annotation subject"/>
    <w:basedOn w:val="CommentText"/>
    <w:next w:val="CommentText"/>
    <w:link w:val="CommentSubjectChar"/>
    <w:uiPriority w:val="99"/>
    <w:semiHidden/>
    <w:unhideWhenUsed/>
    <w:rsid w:val="003D0331"/>
    <w:rPr>
      <w:b/>
      <w:bCs/>
    </w:rPr>
  </w:style>
  <w:style w:type="character" w:customStyle="1" w:styleId="CommentSubjectChar">
    <w:name w:val="Comment Subject Char"/>
    <w:basedOn w:val="CommentTextChar"/>
    <w:link w:val="CommentSubject"/>
    <w:uiPriority w:val="99"/>
    <w:semiHidden/>
    <w:rsid w:val="003D0331"/>
    <w:rPr>
      <w:rFonts w:ascii="Calibri" w:eastAsia="Times New Roman" w:hAnsi="Calibri" w:cs="Times New Roman"/>
      <w:b/>
      <w:bCs/>
      <w:color w:val="000000"/>
      <w:sz w:val="20"/>
      <w:szCs w:val="21"/>
    </w:rPr>
  </w:style>
  <w:style w:type="paragraph" w:styleId="ListParagraph">
    <w:name w:val="List Paragraph"/>
    <w:basedOn w:val="Normal"/>
    <w:autoRedefine/>
    <w:uiPriority w:val="34"/>
    <w:qFormat/>
    <w:rsid w:val="003D0331"/>
    <w:pPr>
      <w:numPr>
        <w:numId w:val="26"/>
      </w:numPr>
      <w:spacing w:after="80"/>
    </w:pPr>
  </w:style>
  <w:style w:type="paragraph" w:styleId="NormalWeb">
    <w:name w:val="Normal (Web)"/>
    <w:basedOn w:val="Normal"/>
    <w:uiPriority w:val="99"/>
    <w:unhideWhenUsed/>
    <w:rsid w:val="003D0331"/>
    <w:pPr>
      <w:spacing w:before="100" w:beforeAutospacing="1" w:after="100" w:afterAutospacing="1"/>
    </w:pPr>
    <w:rPr>
      <w:szCs w:val="24"/>
    </w:rPr>
  </w:style>
  <w:style w:type="paragraph" w:customStyle="1" w:styleId="NonRegBody">
    <w:name w:val="Non Reg Body"/>
    <w:basedOn w:val="Normal"/>
    <w:link w:val="NonRegBodyChar"/>
    <w:rsid w:val="003D0331"/>
    <w:pPr>
      <w:autoSpaceDE w:val="0"/>
      <w:autoSpaceDN w:val="0"/>
      <w:adjustRightInd w:val="0"/>
      <w:ind w:left="1296"/>
    </w:pPr>
    <w:rPr>
      <w:sz w:val="23"/>
      <w:szCs w:val="23"/>
    </w:rPr>
  </w:style>
  <w:style w:type="character" w:customStyle="1" w:styleId="NonRegBodyChar">
    <w:name w:val="Non Reg Body Char"/>
    <w:link w:val="NonRegBody"/>
    <w:rsid w:val="003D0331"/>
    <w:rPr>
      <w:rFonts w:ascii="Calibri" w:eastAsia="Times New Roman" w:hAnsi="Calibri" w:cs="Times New Roman"/>
      <w:color w:val="000000"/>
      <w:sz w:val="23"/>
      <w:szCs w:val="23"/>
    </w:rPr>
  </w:style>
  <w:style w:type="paragraph" w:styleId="Caption">
    <w:name w:val="caption"/>
    <w:basedOn w:val="Normal"/>
    <w:next w:val="Normal"/>
    <w:uiPriority w:val="35"/>
    <w:semiHidden/>
    <w:unhideWhenUsed/>
    <w:qFormat/>
    <w:rsid w:val="003D0331"/>
    <w:pPr>
      <w:spacing w:line="240" w:lineRule="auto"/>
    </w:pPr>
    <w:rPr>
      <w:b/>
      <w:bCs/>
      <w:color w:val="404040"/>
      <w:sz w:val="20"/>
      <w:szCs w:val="20"/>
    </w:rPr>
  </w:style>
  <w:style w:type="paragraph" w:styleId="Title">
    <w:name w:val="Title"/>
    <w:basedOn w:val="Normal"/>
    <w:next w:val="Normal"/>
    <w:link w:val="TitleChar"/>
    <w:uiPriority w:val="10"/>
    <w:qFormat/>
    <w:rsid w:val="003D0331"/>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basedOn w:val="DefaultParagraphFont"/>
    <w:link w:val="Title"/>
    <w:uiPriority w:val="10"/>
    <w:rsid w:val="003D0331"/>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3D0331"/>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3D0331"/>
    <w:rPr>
      <w:rFonts w:ascii="Calibri Light" w:eastAsia="SimSun" w:hAnsi="Calibri Light" w:cs="Times New Roman"/>
      <w:color w:val="404040"/>
      <w:sz w:val="30"/>
      <w:szCs w:val="30"/>
    </w:rPr>
  </w:style>
  <w:style w:type="character" w:styleId="Strong">
    <w:name w:val="Strong"/>
    <w:uiPriority w:val="22"/>
    <w:qFormat/>
    <w:rsid w:val="003D0331"/>
    <w:rPr>
      <w:b/>
      <w:bCs/>
    </w:rPr>
  </w:style>
  <w:style w:type="character" w:styleId="Emphasis">
    <w:name w:val="Emphasis"/>
    <w:uiPriority w:val="20"/>
    <w:qFormat/>
    <w:rsid w:val="003D0331"/>
    <w:rPr>
      <w:i/>
      <w:iCs/>
    </w:rPr>
  </w:style>
  <w:style w:type="paragraph" w:styleId="NoSpacing">
    <w:name w:val="No Spacing"/>
    <w:uiPriority w:val="1"/>
    <w:qFormat/>
    <w:rsid w:val="003D0331"/>
    <w:pPr>
      <w:spacing w:after="0" w:line="240" w:lineRule="auto"/>
    </w:pPr>
    <w:rPr>
      <w:rFonts w:ascii="Calibri" w:eastAsia="Times New Roman" w:hAnsi="Calibri" w:cs="Times New Roman"/>
      <w:sz w:val="21"/>
      <w:szCs w:val="21"/>
    </w:rPr>
  </w:style>
  <w:style w:type="paragraph" w:styleId="Quote">
    <w:name w:val="Quote"/>
    <w:basedOn w:val="Normal"/>
    <w:next w:val="Normal"/>
    <w:link w:val="QuoteChar"/>
    <w:uiPriority w:val="29"/>
    <w:qFormat/>
    <w:rsid w:val="003D033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D0331"/>
    <w:rPr>
      <w:rFonts w:ascii="Calibri" w:eastAsia="Times New Roman" w:hAnsi="Calibri" w:cs="Times New Roman"/>
      <w:i/>
      <w:iCs/>
      <w:color w:val="000000"/>
      <w:szCs w:val="21"/>
    </w:rPr>
  </w:style>
  <w:style w:type="paragraph" w:styleId="IntenseQuote">
    <w:name w:val="Intense Quote"/>
    <w:basedOn w:val="Normal"/>
    <w:next w:val="Normal"/>
    <w:link w:val="IntenseQuoteChar"/>
    <w:uiPriority w:val="30"/>
    <w:qFormat/>
    <w:rsid w:val="003D0331"/>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3D0331"/>
    <w:rPr>
      <w:rFonts w:ascii="Calibri Light" w:eastAsia="SimSun" w:hAnsi="Calibri Light" w:cs="Times New Roman"/>
      <w:color w:val="5B9BD5"/>
      <w:sz w:val="28"/>
      <w:szCs w:val="28"/>
    </w:rPr>
  </w:style>
  <w:style w:type="character" w:styleId="SubtleEmphasis">
    <w:name w:val="Subtle Emphasis"/>
    <w:uiPriority w:val="19"/>
    <w:qFormat/>
    <w:rsid w:val="003D0331"/>
    <w:rPr>
      <w:i/>
      <w:iCs/>
      <w:color w:val="595959"/>
    </w:rPr>
  </w:style>
  <w:style w:type="character" w:styleId="IntenseEmphasis">
    <w:name w:val="Intense Emphasis"/>
    <w:uiPriority w:val="21"/>
    <w:qFormat/>
    <w:rsid w:val="003D0331"/>
    <w:rPr>
      <w:b/>
      <w:bCs/>
      <w:i/>
      <w:iCs/>
    </w:rPr>
  </w:style>
  <w:style w:type="character" w:styleId="SubtleReference">
    <w:name w:val="Subtle Reference"/>
    <w:uiPriority w:val="31"/>
    <w:qFormat/>
    <w:rsid w:val="003D0331"/>
    <w:rPr>
      <w:smallCaps/>
      <w:color w:val="404040"/>
    </w:rPr>
  </w:style>
  <w:style w:type="character" w:styleId="IntenseReference">
    <w:name w:val="Intense Reference"/>
    <w:uiPriority w:val="32"/>
    <w:qFormat/>
    <w:rsid w:val="003D0331"/>
    <w:rPr>
      <w:b/>
      <w:bCs/>
      <w:smallCaps/>
      <w:u w:val="single"/>
    </w:rPr>
  </w:style>
  <w:style w:type="character" w:styleId="BookTitle">
    <w:name w:val="Book Title"/>
    <w:uiPriority w:val="33"/>
    <w:qFormat/>
    <w:rsid w:val="003D0331"/>
    <w:rPr>
      <w:b/>
      <w:bCs/>
      <w:smallCaps/>
    </w:rPr>
  </w:style>
  <w:style w:type="paragraph" w:styleId="TOCHeading">
    <w:name w:val="TOC Heading"/>
    <w:basedOn w:val="Heading1"/>
    <w:next w:val="Normal"/>
    <w:uiPriority w:val="39"/>
    <w:unhideWhenUsed/>
    <w:qFormat/>
    <w:rsid w:val="003D0331"/>
    <w:pPr>
      <w:outlineLvl w:val="9"/>
    </w:pPr>
  </w:style>
  <w:style w:type="paragraph" w:styleId="TOC1">
    <w:name w:val="toc 1"/>
    <w:basedOn w:val="Normal"/>
    <w:next w:val="Normal"/>
    <w:autoRedefine/>
    <w:uiPriority w:val="39"/>
    <w:unhideWhenUsed/>
    <w:rsid w:val="003D0331"/>
    <w:pPr>
      <w:spacing w:after="100"/>
    </w:pPr>
  </w:style>
  <w:style w:type="paragraph" w:styleId="TOC2">
    <w:name w:val="toc 2"/>
    <w:basedOn w:val="Normal"/>
    <w:next w:val="Normal"/>
    <w:autoRedefine/>
    <w:uiPriority w:val="39"/>
    <w:unhideWhenUsed/>
    <w:rsid w:val="003D0331"/>
    <w:pPr>
      <w:spacing w:after="100"/>
      <w:ind w:left="220"/>
    </w:pPr>
  </w:style>
  <w:style w:type="paragraph" w:styleId="TOC3">
    <w:name w:val="toc 3"/>
    <w:basedOn w:val="Normal"/>
    <w:next w:val="Normal"/>
    <w:autoRedefine/>
    <w:uiPriority w:val="39"/>
    <w:unhideWhenUsed/>
    <w:rsid w:val="003D0331"/>
    <w:pPr>
      <w:spacing w:after="100"/>
      <w:ind w:left="440"/>
    </w:pPr>
  </w:style>
  <w:style w:type="paragraph" w:styleId="TOC4">
    <w:name w:val="toc 4"/>
    <w:basedOn w:val="Normal"/>
    <w:next w:val="Normal"/>
    <w:autoRedefine/>
    <w:uiPriority w:val="39"/>
    <w:unhideWhenUsed/>
    <w:rsid w:val="003D0331"/>
    <w:pPr>
      <w:spacing w:after="100"/>
      <w:ind w:left="660"/>
    </w:pPr>
  </w:style>
  <w:style w:type="numbering" w:customStyle="1" w:styleId="Style1">
    <w:name w:val="Style1"/>
    <w:uiPriority w:val="99"/>
    <w:rsid w:val="003D0331"/>
    <w:pPr>
      <w:numPr>
        <w:numId w:val="5"/>
      </w:numPr>
    </w:pPr>
  </w:style>
  <w:style w:type="table" w:customStyle="1" w:styleId="TableGrid1">
    <w:name w:val="Table Grid1"/>
    <w:basedOn w:val="TableNormal"/>
    <w:next w:val="TableGrid"/>
    <w:uiPriority w:val="59"/>
    <w:rsid w:val="003D033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0331"/>
    <w:rPr>
      <w:color w:val="605E5C"/>
      <w:shd w:val="clear" w:color="auto" w:fill="E1DFDD"/>
    </w:rPr>
  </w:style>
  <w:style w:type="character" w:customStyle="1" w:styleId="normaltextrun">
    <w:name w:val="normaltextrun"/>
    <w:basedOn w:val="DefaultParagraphFont"/>
    <w:rsid w:val="003D0331"/>
  </w:style>
  <w:style w:type="character" w:customStyle="1" w:styleId="eop">
    <w:name w:val="eop"/>
    <w:basedOn w:val="DefaultParagraphFont"/>
    <w:rsid w:val="003D0331"/>
  </w:style>
  <w:style w:type="paragraph" w:styleId="Revision">
    <w:name w:val="Revision"/>
    <w:hidden/>
    <w:uiPriority w:val="99"/>
    <w:semiHidden/>
    <w:rsid w:val="003D0331"/>
    <w:pPr>
      <w:spacing w:after="0" w:line="240" w:lineRule="auto"/>
    </w:pPr>
    <w:rPr>
      <w:rFonts w:ascii="Calibri" w:eastAsia="Times New Roman" w:hAnsi="Calibri" w:cs="Times New Roman"/>
      <w:color w:val="000000"/>
      <w:szCs w:val="21"/>
    </w:rPr>
  </w:style>
  <w:style w:type="character" w:customStyle="1" w:styleId="UnresolvedMention2">
    <w:name w:val="Unresolved Mention2"/>
    <w:basedOn w:val="DefaultParagraphFont"/>
    <w:uiPriority w:val="99"/>
    <w:semiHidden/>
    <w:unhideWhenUsed/>
    <w:rsid w:val="003D0331"/>
    <w:rPr>
      <w:color w:val="605E5C"/>
      <w:shd w:val="clear" w:color="auto" w:fill="E1DFDD"/>
    </w:rPr>
  </w:style>
  <w:style w:type="character" w:styleId="UnresolvedMention">
    <w:name w:val="Unresolved Mention"/>
    <w:basedOn w:val="DefaultParagraphFont"/>
    <w:uiPriority w:val="99"/>
    <w:unhideWhenUsed/>
    <w:rsid w:val="003D0331"/>
    <w:rPr>
      <w:color w:val="605E5C"/>
      <w:shd w:val="clear" w:color="auto" w:fill="E1DFDD"/>
    </w:rPr>
  </w:style>
  <w:style w:type="character" w:styleId="Mention">
    <w:name w:val="Mention"/>
    <w:basedOn w:val="DefaultParagraphFont"/>
    <w:uiPriority w:val="99"/>
    <w:unhideWhenUsed/>
    <w:rsid w:val="003D03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room.state.nj.us/" TargetMode="External"/><Relationship Id="rId18" Type="http://schemas.openxmlformats.org/officeDocument/2006/relationships/hyperlink" Target="http://homeroom.state.nj.us" TargetMode="External"/><Relationship Id="rId26" Type="http://schemas.openxmlformats.org/officeDocument/2006/relationships/hyperlink" Target="https://www.nj.gov/education/grants/discretionary/apps/docs/PreAwardManual.pdf" TargetMode="External"/><Relationship Id="rId3" Type="http://schemas.openxmlformats.org/officeDocument/2006/relationships/customXml" Target="../customXml/item3.xml"/><Relationship Id="rId21" Type="http://schemas.openxmlformats.org/officeDocument/2006/relationships/hyperlink" Target="https://www.nj.gov/education/cte/perkins/Final%20PerkinsVStatePlan_April2020.pdf" TargetMode="External"/><Relationship Id="rId7" Type="http://schemas.openxmlformats.org/officeDocument/2006/relationships/webSettings" Target="webSettings.xml"/><Relationship Id="rId12" Type="http://schemas.openxmlformats.org/officeDocument/2006/relationships/hyperlink" Target="http://www.state.nj.us/education" TargetMode="External"/><Relationship Id="rId17" Type="http://schemas.openxmlformats.org/officeDocument/2006/relationships/hyperlink" Target="mailto:genevieve.cross@doe.nj.gov" TargetMode="External"/><Relationship Id="rId25" Type="http://schemas.openxmlformats.org/officeDocument/2006/relationships/hyperlink" Target="https://www.nj.gov/education/cccs/"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www.nj.gov/njded/grants/discretionary/" TargetMode="External"/><Relationship Id="rId20" Type="http://schemas.openxmlformats.org/officeDocument/2006/relationships/hyperlink" Target="mailto:eweghelp@doe.nj.gov" TargetMode="External"/><Relationship Id="rId29" Type="http://schemas.openxmlformats.org/officeDocument/2006/relationships/hyperlink" Target="https://careertech.org/career-clus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nj.gov/education/cte/perkins/NJ_CLNA_Final_02282020.pd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am.gov/SAM/" TargetMode="External"/><Relationship Id="rId23" Type="http://schemas.openxmlformats.org/officeDocument/2006/relationships/hyperlink" Target="https://www.nj.gov/education/cte/perkins/Final%20PerkinsVStatePlan_April2020.pdf" TargetMode="External"/><Relationship Id="rId28" Type="http://schemas.openxmlformats.org/officeDocument/2006/relationships/hyperlink" Target="https://careertech.org/career-clusters" TargetMode="External"/><Relationship Id="rId10" Type="http://schemas.openxmlformats.org/officeDocument/2006/relationships/image" Target="media/image1.jpg"/><Relationship Id="rId19" Type="http://schemas.openxmlformats.org/officeDocument/2006/relationships/hyperlink" Target="mailto:eweghelp@doe.state.nj.us"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j.gov/education/grants/discretionary" TargetMode="External"/><Relationship Id="rId22" Type="http://schemas.openxmlformats.org/officeDocument/2006/relationships/hyperlink" Target="https://www.nj.gov/education/cte/study/approval/CTE-DMSManual.pdf"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header" Target="header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nj.gov/education/cte/perkins/Final%20PerkinsVStatePlan_April2020.pdf" TargetMode="External"/></Relationships>
</file>

<file path=word/documenttasks/documenttasks1.xml><?xml version="1.0" encoding="utf-8"?>
<t:Tasks xmlns:t="http://schemas.microsoft.com/office/tasks/2019/documenttasks" xmlns:oel="http://schemas.microsoft.com/office/2019/extlst">
  <t:Task id="{67CD0B17-6418-444C-83F0-EF2F31EAE11E}">
    <t:Anchor>
      <t:Comment id="681256834"/>
    </t:Anchor>
    <t:History>
      <t:Event id="{0C5DB51C-3459-434A-9BAD-3F55E102072E}" time="2023-09-11T18:42:03.926Z">
        <t:Attribution userId="S::gcross@doe.nj.gov::61f5bb12-5aa7-4228-beb1-2ca89f549312" userProvider="AD" userName="Cross, Genevieve"/>
        <t:Anchor>
          <t:Comment id="780458465"/>
        </t:Anchor>
        <t:Create/>
      </t:Event>
      <t:Event id="{4B30F6A5-91D3-4E80-A225-40636F29C1AC}" time="2023-09-11T18:42:03.926Z">
        <t:Attribution userId="S::gcross@doe.nj.gov::61f5bb12-5aa7-4228-beb1-2ca89f549312" userProvider="AD" userName="Cross, Genevieve"/>
        <t:Anchor>
          <t:Comment id="780458465"/>
        </t:Anchor>
        <t:Assign userId="S::mcasale@doe.nj.gov::1dbced40-f1b9-4e1c-a17b-eb908de5d540" userProvider="AD" userName="Casale, Maria"/>
      </t:Event>
      <t:Event id="{0A73D08D-45AE-4BB5-AFAE-48206F5601F2}" time="2023-09-11T18:42:03.926Z">
        <t:Attribution userId="S::gcross@doe.nj.gov::61f5bb12-5aa7-4228-beb1-2ca89f549312" userProvider="AD" userName="Cross, Genevieve"/>
        <t:Anchor>
          <t:Comment id="780458465"/>
        </t:Anchor>
        <t:SetTitle title="@Casale, Maria changed total amount to reflect 3 distric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dff21c-a7e5-48de-8773-03ce2d9725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13" ma:contentTypeDescription="Create a new document." ma:contentTypeScope="" ma:versionID="c2e5c7cb6c01c05d796cda326331b8cd">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f57f25537c48f2305ccb9dbf4118b3a1"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20F91-166B-4AB0-ADFB-631A9C0F4386}">
  <ds:schemaRefs>
    <ds:schemaRef ds:uri="http://schemas.microsoft.com/office/2006/metadata/properties"/>
    <ds:schemaRef ds:uri="http://schemas.microsoft.com/office/infopath/2007/PartnerControls"/>
    <ds:schemaRef ds:uri="1ddff21c-a7e5-48de-8773-03ce2d972554"/>
  </ds:schemaRefs>
</ds:datastoreItem>
</file>

<file path=customXml/itemProps2.xml><?xml version="1.0" encoding="utf-8"?>
<ds:datastoreItem xmlns:ds="http://schemas.openxmlformats.org/officeDocument/2006/customXml" ds:itemID="{D38BBC67-29A4-40DE-A5CC-F30212F000E0}">
  <ds:schemaRefs>
    <ds:schemaRef ds:uri="http://schemas.microsoft.com/sharepoint/v3/contenttype/forms"/>
  </ds:schemaRefs>
</ds:datastoreItem>
</file>

<file path=customXml/itemProps3.xml><?xml version="1.0" encoding="utf-8"?>
<ds:datastoreItem xmlns:ds="http://schemas.openxmlformats.org/officeDocument/2006/customXml" ds:itemID="{059EF9E5-FA7E-41BC-9A5B-C369DC196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6956</Words>
  <Characters>39654</Characters>
  <Application>Microsoft Office Word</Application>
  <DocSecurity>4</DocSecurity>
  <Lines>330</Lines>
  <Paragraphs>93</Paragraphs>
  <ScaleCrop>false</ScaleCrop>
  <Company>NJ Department of Education</Company>
  <LinksUpToDate>false</LinksUpToDate>
  <CharactersWithSpaces>46517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Genevieve</dc:creator>
  <cp:keywords/>
  <dc:description/>
  <cp:lastModifiedBy>Sinkevicius, Aiste</cp:lastModifiedBy>
  <cp:revision>2</cp:revision>
  <cp:lastPrinted>2023-10-02T15:57:00Z</cp:lastPrinted>
  <dcterms:created xsi:type="dcterms:W3CDTF">2024-09-20T16:50:00Z</dcterms:created>
  <dcterms:modified xsi:type="dcterms:W3CDTF">2024-09-20T16:50:00Z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