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7A93" w14:textId="39C6A5B1" w:rsidR="002D7798" w:rsidRPr="002D7798" w:rsidRDefault="002D7798" w:rsidP="002D7798">
      <w:pPr>
        <w:spacing w:after="220"/>
        <w:jc w:val="right"/>
        <w:rPr>
          <w:rFonts w:asciiTheme="minorHAnsi" w:hAnsiTheme="minorHAnsi" w:cstheme="minorHAnsi"/>
          <w:noProof/>
          <w:color w:val="000000"/>
          <w:lang w:val="en"/>
        </w:rPr>
      </w:pPr>
      <w:r w:rsidRPr="002D7798">
        <w:rPr>
          <w:rFonts w:asciiTheme="minorHAnsi" w:hAnsiTheme="minorHAnsi" w:cstheme="minorHAnsi"/>
          <w:noProof/>
          <w:color w:val="000000"/>
          <w:lang w:val="en"/>
        </w:rPr>
        <w:t>Updated August 202</w:t>
      </w:r>
      <w:r w:rsidR="002E3EC3">
        <w:rPr>
          <w:rFonts w:asciiTheme="minorHAnsi" w:hAnsiTheme="minorHAnsi" w:cstheme="minorHAnsi"/>
          <w:noProof/>
          <w:color w:val="000000"/>
          <w:lang w:val="en"/>
        </w:rPr>
        <w:t>4</w:t>
      </w:r>
    </w:p>
    <w:p w14:paraId="4C3686E5" w14:textId="715787D2" w:rsidR="002A0D6D" w:rsidRDefault="007E4B18" w:rsidP="00C91E5C">
      <w:pPr>
        <w:jc w:val="center"/>
        <w:rPr>
          <w:rFonts w:ascii="Arial" w:hAnsi="Arial" w:cs="Arial"/>
          <w:noProof/>
          <w:color w:val="000000"/>
          <w:lang w:val="en"/>
        </w:rPr>
      </w:pPr>
      <w:r>
        <w:rPr>
          <w:rFonts w:ascii="Arial" w:hAnsi="Arial" w:cs="Arial"/>
          <w:noProof/>
          <w:color w:val="000000"/>
          <w:lang w:val="en"/>
        </w:rPr>
        <w:drawing>
          <wp:inline distT="0" distB="0" distL="0" distR="0" wp14:anchorId="6E1EA365" wp14:editId="4D4FB6B9">
            <wp:extent cx="3193961" cy="563481"/>
            <wp:effectExtent l="0" t="0" r="6985" b="8255"/>
            <wp:docPr id="3" name="Picture 3"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Blue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6380" cy="572729"/>
                    </a:xfrm>
                    <a:prstGeom prst="rect">
                      <a:avLst/>
                    </a:prstGeom>
                  </pic:spPr>
                </pic:pic>
              </a:graphicData>
            </a:graphic>
          </wp:inline>
        </w:drawing>
      </w:r>
    </w:p>
    <w:p w14:paraId="0C9501FD" w14:textId="792500EB" w:rsidR="00DC797C" w:rsidRPr="0097291F" w:rsidRDefault="00F171E9" w:rsidP="0097291F">
      <w:pPr>
        <w:pStyle w:val="Heading1"/>
      </w:pPr>
      <w:r w:rsidRPr="0097291F">
        <w:t xml:space="preserve">Health and Safety Evaluation </w:t>
      </w:r>
      <w:r w:rsidR="007E4B18" w:rsidRPr="0097291F">
        <w:t>o</w:t>
      </w:r>
      <w:r w:rsidRPr="0097291F">
        <w:t xml:space="preserve">f School Buildings Checklist </w:t>
      </w:r>
      <w:r w:rsidR="00BF6153">
        <w:br/>
        <w:t>202</w:t>
      </w:r>
      <w:r w:rsidR="002E3EC3">
        <w:t>4</w:t>
      </w:r>
      <w:r w:rsidR="00BF6153">
        <w:t>-202</w:t>
      </w:r>
      <w:r w:rsidR="002E3EC3">
        <w:t>5</w:t>
      </w:r>
    </w:p>
    <w:p w14:paraId="215C5B94" w14:textId="2757B61F" w:rsidR="00E50985" w:rsidRPr="00AD4BDD" w:rsidRDefault="00C91E5C" w:rsidP="00BF6153">
      <w:pPr>
        <w:pBdr>
          <w:bottom w:val="single" w:sz="4" w:space="1" w:color="auto"/>
        </w:pBdr>
        <w:tabs>
          <w:tab w:val="left" w:pos="4464"/>
        </w:tabs>
        <w:spacing w:after="240"/>
        <w:rPr>
          <w:rFonts w:cs="Calibri"/>
          <w:b/>
          <w:bCs/>
          <w:sz w:val="28"/>
          <w:szCs w:val="28"/>
        </w:rPr>
      </w:pPr>
      <w:r w:rsidRPr="00AD4BDD">
        <w:rPr>
          <w:rFonts w:cs="Calibri"/>
          <w:b/>
          <w:bCs/>
          <w:sz w:val="28"/>
          <w:szCs w:val="28"/>
        </w:rPr>
        <w:t>County</w:t>
      </w:r>
      <w:r w:rsidR="008D7389" w:rsidRPr="00AD4BDD">
        <w:rPr>
          <w:rFonts w:cs="Calibri"/>
          <w:b/>
          <w:bCs/>
          <w:sz w:val="28"/>
          <w:szCs w:val="28"/>
        </w:rPr>
        <w:t>:</w:t>
      </w:r>
      <w:r w:rsidR="009D14A3" w:rsidRPr="00AD4BDD">
        <w:rPr>
          <w:rFonts w:cs="Calibri"/>
          <w:b/>
          <w:bCs/>
          <w:sz w:val="28"/>
          <w:szCs w:val="28"/>
        </w:rPr>
        <w:tab/>
      </w:r>
      <w:r w:rsidRPr="00AD4BDD">
        <w:rPr>
          <w:rFonts w:cs="Calibri"/>
          <w:b/>
          <w:bCs/>
          <w:sz w:val="28"/>
          <w:szCs w:val="28"/>
        </w:rPr>
        <w:t>District</w:t>
      </w:r>
      <w:r w:rsidR="008D7389" w:rsidRPr="00AD4BDD">
        <w:rPr>
          <w:rFonts w:cs="Calibri"/>
          <w:b/>
          <w:bCs/>
          <w:sz w:val="28"/>
          <w:szCs w:val="28"/>
        </w:rPr>
        <w:t>:</w:t>
      </w:r>
    </w:p>
    <w:tbl>
      <w:tblPr>
        <w:tblStyle w:val="TableGrid"/>
        <w:tblW w:w="0" w:type="auto"/>
        <w:tblInd w:w="-14" w:type="dxa"/>
        <w:tblLook w:val="0420" w:firstRow="1" w:lastRow="0" w:firstColumn="0" w:lastColumn="0" w:noHBand="0" w:noVBand="1"/>
      </w:tblPr>
      <w:tblGrid>
        <w:gridCol w:w="1359"/>
        <w:gridCol w:w="1980"/>
      </w:tblGrid>
      <w:tr w:rsidR="00BF6153" w14:paraId="7D70EE87" w14:textId="77777777" w:rsidTr="00BF6153">
        <w:trPr>
          <w:tblHeader/>
        </w:trPr>
        <w:tc>
          <w:tcPr>
            <w:tcW w:w="1359" w:type="dxa"/>
            <w:shd w:val="clear" w:color="auto" w:fill="F2F2F2" w:themeFill="background1" w:themeFillShade="F2"/>
          </w:tcPr>
          <w:p w14:paraId="6F907669" w14:textId="50696003" w:rsidR="00BF6153" w:rsidRDefault="00BF6153" w:rsidP="00BF6153">
            <w:pPr>
              <w:tabs>
                <w:tab w:val="left" w:pos="1440"/>
                <w:tab w:val="left" w:pos="2700"/>
                <w:tab w:val="left" w:pos="4500"/>
              </w:tabs>
              <w:rPr>
                <w:rFonts w:cs="Calibri"/>
                <w:b/>
                <w:bCs/>
                <w:szCs w:val="24"/>
              </w:rPr>
            </w:pPr>
            <w:r>
              <w:rPr>
                <w:rFonts w:cs="Calibri"/>
                <w:b/>
                <w:bCs/>
                <w:szCs w:val="24"/>
              </w:rPr>
              <w:t>Building</w:t>
            </w:r>
          </w:p>
        </w:tc>
        <w:tc>
          <w:tcPr>
            <w:tcW w:w="1980" w:type="dxa"/>
            <w:shd w:val="clear" w:color="auto" w:fill="F2F2F2" w:themeFill="background1" w:themeFillShade="F2"/>
          </w:tcPr>
          <w:p w14:paraId="141B7C01" w14:textId="351689B2" w:rsidR="00BF6153" w:rsidRDefault="00BF6153" w:rsidP="00BF6153">
            <w:pPr>
              <w:tabs>
                <w:tab w:val="left" w:pos="1440"/>
                <w:tab w:val="left" w:pos="2700"/>
                <w:tab w:val="left" w:pos="4500"/>
              </w:tabs>
              <w:rPr>
                <w:rFonts w:cs="Calibri"/>
                <w:b/>
                <w:bCs/>
                <w:szCs w:val="24"/>
              </w:rPr>
            </w:pPr>
            <w:r>
              <w:rPr>
                <w:rFonts w:cs="Calibri"/>
                <w:b/>
                <w:bCs/>
                <w:szCs w:val="24"/>
              </w:rPr>
              <w:t>Check One (</w:t>
            </w:r>
            <w:r>
              <w:rPr>
                <w:rFonts w:ascii="Segoe UI Symbol" w:hAnsi="Segoe UI Symbol" w:cs="Segoe UI Symbol"/>
                <w:b/>
                <w:bCs/>
                <w:szCs w:val="24"/>
              </w:rPr>
              <w:t>✓</w:t>
            </w:r>
            <w:r>
              <w:rPr>
                <w:rFonts w:cs="Calibri"/>
                <w:b/>
                <w:bCs/>
                <w:szCs w:val="24"/>
              </w:rPr>
              <w:t xml:space="preserve"> or X)</w:t>
            </w:r>
          </w:p>
        </w:tc>
      </w:tr>
      <w:tr w:rsidR="00BF6153" w14:paraId="7FC0C822" w14:textId="77777777" w:rsidTr="00BF6153">
        <w:tc>
          <w:tcPr>
            <w:tcW w:w="1359" w:type="dxa"/>
          </w:tcPr>
          <w:p w14:paraId="707BABC6" w14:textId="37307717" w:rsidR="00BF6153" w:rsidRPr="00BF6153" w:rsidRDefault="00BF6153" w:rsidP="00BF6153">
            <w:pPr>
              <w:tabs>
                <w:tab w:val="left" w:pos="1440"/>
                <w:tab w:val="left" w:pos="2700"/>
                <w:tab w:val="left" w:pos="4500"/>
              </w:tabs>
              <w:rPr>
                <w:rFonts w:cs="Calibri"/>
                <w:szCs w:val="24"/>
              </w:rPr>
            </w:pPr>
            <w:r w:rsidRPr="00BF6153">
              <w:rPr>
                <w:rFonts w:cs="Calibri"/>
                <w:szCs w:val="24"/>
              </w:rPr>
              <w:t>Leased</w:t>
            </w:r>
          </w:p>
        </w:tc>
        <w:tc>
          <w:tcPr>
            <w:tcW w:w="1980" w:type="dxa"/>
          </w:tcPr>
          <w:p w14:paraId="5379B926" w14:textId="77777777" w:rsidR="00BF6153" w:rsidRDefault="00BF6153" w:rsidP="00BF6153">
            <w:pPr>
              <w:tabs>
                <w:tab w:val="left" w:pos="1440"/>
                <w:tab w:val="left" w:pos="2700"/>
                <w:tab w:val="left" w:pos="4500"/>
              </w:tabs>
              <w:rPr>
                <w:rFonts w:cs="Calibri"/>
                <w:b/>
                <w:bCs/>
                <w:szCs w:val="24"/>
              </w:rPr>
            </w:pPr>
          </w:p>
        </w:tc>
      </w:tr>
      <w:tr w:rsidR="00BF6153" w14:paraId="3945FAD7" w14:textId="77777777" w:rsidTr="00BF6153">
        <w:trPr>
          <w:trHeight w:val="51"/>
        </w:trPr>
        <w:tc>
          <w:tcPr>
            <w:tcW w:w="1359" w:type="dxa"/>
          </w:tcPr>
          <w:p w14:paraId="21CABEAF" w14:textId="33BC190D" w:rsidR="00BF6153" w:rsidRPr="00BF6153" w:rsidRDefault="00BF6153" w:rsidP="00BF6153">
            <w:pPr>
              <w:tabs>
                <w:tab w:val="left" w:pos="1440"/>
                <w:tab w:val="left" w:pos="2700"/>
                <w:tab w:val="left" w:pos="4500"/>
              </w:tabs>
              <w:rPr>
                <w:rFonts w:cs="Calibri"/>
                <w:szCs w:val="24"/>
              </w:rPr>
            </w:pPr>
            <w:r w:rsidRPr="00BF6153">
              <w:rPr>
                <w:rFonts w:cs="Calibri"/>
                <w:szCs w:val="24"/>
              </w:rPr>
              <w:t>Owned</w:t>
            </w:r>
          </w:p>
        </w:tc>
        <w:tc>
          <w:tcPr>
            <w:tcW w:w="1980" w:type="dxa"/>
          </w:tcPr>
          <w:p w14:paraId="7A01FCA3" w14:textId="77777777" w:rsidR="00BF6153" w:rsidRDefault="00BF6153" w:rsidP="00BF6153">
            <w:pPr>
              <w:tabs>
                <w:tab w:val="left" w:pos="1440"/>
                <w:tab w:val="left" w:pos="2700"/>
                <w:tab w:val="left" w:pos="4500"/>
              </w:tabs>
              <w:rPr>
                <w:rFonts w:cs="Calibri"/>
                <w:b/>
                <w:bCs/>
                <w:szCs w:val="24"/>
              </w:rPr>
            </w:pPr>
          </w:p>
        </w:tc>
      </w:tr>
    </w:tbl>
    <w:p w14:paraId="6F32073E" w14:textId="0D6E8B95" w:rsidR="008D7389" w:rsidRPr="00AD4BDD" w:rsidRDefault="00C91E5C" w:rsidP="00BF6153">
      <w:pPr>
        <w:pBdr>
          <w:bottom w:val="single" w:sz="4" w:space="1" w:color="auto"/>
        </w:pBdr>
        <w:tabs>
          <w:tab w:val="left" w:pos="1440"/>
          <w:tab w:val="left" w:pos="2700"/>
          <w:tab w:val="left" w:pos="4500"/>
        </w:tabs>
        <w:spacing w:before="240" w:after="240"/>
        <w:ind w:left="-14"/>
        <w:rPr>
          <w:rFonts w:cs="Calibri"/>
          <w:b/>
          <w:bCs/>
          <w:sz w:val="28"/>
          <w:szCs w:val="28"/>
        </w:rPr>
      </w:pPr>
      <w:r w:rsidRPr="00AD4BDD">
        <w:rPr>
          <w:rFonts w:cs="Calibri"/>
          <w:b/>
          <w:bCs/>
          <w:sz w:val="28"/>
          <w:szCs w:val="28"/>
        </w:rPr>
        <w:t>School Building</w:t>
      </w:r>
      <w:r w:rsidR="008D7389" w:rsidRPr="00AD4BDD">
        <w:rPr>
          <w:rFonts w:cs="Calibri"/>
          <w:b/>
          <w:bCs/>
          <w:sz w:val="28"/>
          <w:szCs w:val="28"/>
        </w:rPr>
        <w:t>:</w:t>
      </w:r>
    </w:p>
    <w:p w14:paraId="65786B01" w14:textId="1300A341" w:rsidR="008D7389" w:rsidRPr="00AD4BDD" w:rsidRDefault="00C91E5C" w:rsidP="00BF6153">
      <w:pPr>
        <w:pBdr>
          <w:bottom w:val="single" w:sz="4" w:space="1" w:color="auto"/>
        </w:pBdr>
        <w:tabs>
          <w:tab w:val="left" w:pos="7920"/>
        </w:tabs>
        <w:spacing w:after="120"/>
        <w:rPr>
          <w:rFonts w:cs="Calibri"/>
          <w:b/>
          <w:bCs/>
          <w:sz w:val="28"/>
          <w:szCs w:val="28"/>
        </w:rPr>
      </w:pPr>
      <w:r w:rsidRPr="00AD4BDD">
        <w:rPr>
          <w:rFonts w:cs="Calibri"/>
          <w:b/>
          <w:bCs/>
          <w:sz w:val="28"/>
          <w:szCs w:val="28"/>
        </w:rPr>
        <w:t>Completed By</w:t>
      </w:r>
      <w:r w:rsidR="008D7389" w:rsidRPr="00AD4BDD">
        <w:rPr>
          <w:rFonts w:cs="Calibri"/>
          <w:b/>
          <w:bCs/>
          <w:sz w:val="28"/>
          <w:szCs w:val="28"/>
        </w:rPr>
        <w:t>:</w:t>
      </w:r>
      <w:r w:rsidR="006B5ADE" w:rsidRPr="00AD4BDD">
        <w:rPr>
          <w:rFonts w:cs="Calibri"/>
          <w:b/>
          <w:bCs/>
          <w:sz w:val="28"/>
          <w:szCs w:val="28"/>
        </w:rPr>
        <w:t xml:space="preserve"> </w:t>
      </w:r>
      <w:r w:rsidR="00AA38B9" w:rsidRPr="00AD4BDD">
        <w:rPr>
          <w:rFonts w:cs="Calibri"/>
          <w:b/>
          <w:bCs/>
          <w:sz w:val="28"/>
          <w:szCs w:val="28"/>
        </w:rPr>
        <w:tab/>
      </w:r>
      <w:r w:rsidRPr="00AD4BDD">
        <w:rPr>
          <w:rFonts w:cs="Calibri"/>
          <w:b/>
          <w:bCs/>
          <w:sz w:val="28"/>
          <w:szCs w:val="28"/>
        </w:rPr>
        <w:t>Date</w:t>
      </w:r>
      <w:r w:rsidR="008D7389" w:rsidRPr="00AD4BDD">
        <w:rPr>
          <w:rFonts w:cs="Calibri"/>
          <w:b/>
          <w:bCs/>
          <w:sz w:val="28"/>
          <w:szCs w:val="28"/>
        </w:rPr>
        <w:t>:</w:t>
      </w:r>
    </w:p>
    <w:p w14:paraId="661294BC" w14:textId="32008872" w:rsidR="00BF6153" w:rsidRPr="00FE7FEA" w:rsidRDefault="00BF6153" w:rsidP="00BF6153">
      <w:pPr>
        <w:spacing w:after="220"/>
        <w:rPr>
          <w:rFonts w:eastAsia="Calibri" w:cs="Calibri"/>
          <w:szCs w:val="22"/>
        </w:rPr>
      </w:pPr>
      <w:r w:rsidRPr="00FE7FEA">
        <w:rPr>
          <w:rFonts w:eastAsia="Calibri" w:cs="Calibri"/>
          <w:szCs w:val="22"/>
        </w:rPr>
        <w:t xml:space="preserve">This form shall be used for the evaluation of school buildings (pursuant to </w:t>
      </w:r>
      <w:hyperlink r:id="rId9">
        <w:r w:rsidR="00625A20">
          <w:rPr>
            <w:rStyle w:val="Hyperlink"/>
            <w:rFonts w:eastAsia="Calibri" w:cs="Calibri"/>
            <w:szCs w:val="22"/>
          </w:rPr>
          <w:t>N.J.A.C.</w:t>
        </w:r>
        <w:r w:rsidR="00BA2426">
          <w:rPr>
            <w:rStyle w:val="Hyperlink"/>
            <w:rFonts w:eastAsia="Calibri" w:cs="Calibri"/>
            <w:szCs w:val="22"/>
          </w:rPr>
          <w:t xml:space="preserve"> 6A:26</w:t>
        </w:r>
      </w:hyperlink>
      <w:r w:rsidR="00BA2426" w:rsidRPr="00BA2426">
        <w:rPr>
          <w:rFonts w:eastAsia="Calibri"/>
        </w:rPr>
        <w:t>-6.1</w:t>
      </w:r>
      <w:r w:rsidR="00BA2426">
        <w:rPr>
          <w:rFonts w:eastAsia="Calibri"/>
        </w:rPr>
        <w:t xml:space="preserve"> </w:t>
      </w:r>
      <w:r w:rsidRPr="00FE7FEA">
        <w:rPr>
          <w:rFonts w:eastAsia="Calibri" w:cs="Calibri"/>
          <w:szCs w:val="22"/>
        </w:rPr>
        <w:t xml:space="preserve">and </w:t>
      </w:r>
      <w:r w:rsidR="00625A20">
        <w:rPr>
          <w:rFonts w:eastAsia="Calibri" w:cs="Calibri"/>
          <w:szCs w:val="22"/>
        </w:rPr>
        <w:t>N.J.A.C.</w:t>
      </w:r>
      <w:r w:rsidRPr="00BA2426">
        <w:rPr>
          <w:rFonts w:eastAsia="Calibri" w:cs="Calibri"/>
          <w:szCs w:val="22"/>
        </w:rPr>
        <w:t xml:space="preserve"> 6A:26-8.1</w:t>
      </w:r>
      <w:r w:rsidRPr="00FE7FEA">
        <w:rPr>
          <w:rFonts w:eastAsia="Calibri" w:cs="Calibri"/>
          <w:szCs w:val="22"/>
        </w:rPr>
        <w:t xml:space="preserve">) Traditional Public School Districts (owned or leased), Approved Private Schools for Students with Disabilities (APSSD), Charter Schools, Renaissance School Projects and any other setting used for instruction. </w:t>
      </w:r>
    </w:p>
    <w:p w14:paraId="71E0CB08" w14:textId="77777777" w:rsidR="00BF6153" w:rsidRPr="00FE7FEA" w:rsidRDefault="00BF6153" w:rsidP="00BF6153">
      <w:pPr>
        <w:spacing w:after="220"/>
        <w:rPr>
          <w:rFonts w:eastAsia="Calibri" w:cs="Calibri"/>
          <w:szCs w:val="22"/>
        </w:rPr>
      </w:pPr>
      <w:r w:rsidRPr="00FE7FEA">
        <w:rPr>
          <w:rFonts w:eastAsia="Calibri" w:cs="Calibri"/>
          <w:szCs w:val="22"/>
        </w:rPr>
        <w:t>This evaluation checklist shall be completed annually by appropriate district personnel and kept on file for inspection or other legal issues. These indicators cover regulations issued by NJDOE, NJDCA, NJUCC, POSHA, NFPA.</w:t>
      </w:r>
    </w:p>
    <w:p w14:paraId="5FEB6F1D" w14:textId="75E7290E" w:rsidR="00BF6153" w:rsidRDefault="00BF6153" w:rsidP="00BF6153">
      <w:pPr>
        <w:spacing w:after="220"/>
        <w:rPr>
          <w:rFonts w:cs="Calibri"/>
          <w:szCs w:val="22"/>
        </w:rPr>
      </w:pPr>
      <w:r w:rsidRPr="00FE7FEA">
        <w:rPr>
          <w:rFonts w:cs="Calibri"/>
          <w:szCs w:val="22"/>
        </w:rPr>
        <w:t xml:space="preserve">The emphasis of this evaluation checklist is </w:t>
      </w:r>
      <w:r w:rsidR="00966B0C">
        <w:rPr>
          <w:rFonts w:cs="Calibri"/>
          <w:szCs w:val="22"/>
        </w:rPr>
        <w:t xml:space="preserve">on </w:t>
      </w:r>
      <w:r w:rsidRPr="00FE7FEA">
        <w:rPr>
          <w:rFonts w:cs="Calibri"/>
          <w:szCs w:val="22"/>
        </w:rPr>
        <w:t xml:space="preserve">the health and safety of students and staff, even in the absence of a specific Statute or Code. The items listed are not mutually exclusive of other findings a monitor/inspector may cite. See “Health and Safety Evaluation of School Buildings Facilities Checklist Instructions &amp; Guidance 2023-2024” document for additional detailed information. </w:t>
      </w:r>
    </w:p>
    <w:p w14:paraId="029F63DE" w14:textId="7C4DFEE4" w:rsidR="00BF6153" w:rsidRDefault="00BF6153" w:rsidP="00BF6153">
      <w:pPr>
        <w:spacing w:after="220"/>
        <w:rPr>
          <w:rFonts w:cs="Calibri"/>
          <w:szCs w:val="22"/>
        </w:rPr>
      </w:pPr>
      <w:r w:rsidRPr="00BF6153">
        <w:rPr>
          <w:rStyle w:val="Strong"/>
        </w:rPr>
        <w:t>Note</w:t>
      </w:r>
      <w:r>
        <w:rPr>
          <w:rFonts w:cs="Calibri"/>
          <w:szCs w:val="22"/>
        </w:rPr>
        <w:t xml:space="preserve">: </w:t>
      </w:r>
      <w:r w:rsidRPr="00BF6153">
        <w:rPr>
          <w:rFonts w:cs="Calibri"/>
          <w:szCs w:val="22"/>
        </w:rPr>
        <w:t xml:space="preserve">Items denoted with a 6A:26-8.1 reference, cover </w:t>
      </w:r>
      <w:r w:rsidR="005D5411" w:rsidRPr="005D5411">
        <w:rPr>
          <w:rStyle w:val="Strong"/>
        </w:rPr>
        <w:t>all</w:t>
      </w:r>
      <w:r w:rsidRPr="00BF6153">
        <w:rPr>
          <w:rFonts w:cs="Calibri"/>
          <w:szCs w:val="22"/>
        </w:rPr>
        <w:t xml:space="preserve"> school buildings but are also included in the Temporary Facilities Code.</w:t>
      </w:r>
    </w:p>
    <w:p w14:paraId="6C83D34B" w14:textId="1728F12A" w:rsidR="00BF6153" w:rsidRDefault="00BF6153" w:rsidP="00BF6153">
      <w:pPr>
        <w:spacing w:after="220"/>
        <w:rPr>
          <w:rFonts w:cs="Calibri"/>
          <w:b/>
          <w:bCs/>
          <w:szCs w:val="22"/>
        </w:rPr>
      </w:pPr>
      <w:r w:rsidRPr="00BF6153">
        <w:rPr>
          <w:rFonts w:cs="Calibri"/>
          <w:b/>
          <w:bCs/>
          <w:szCs w:val="22"/>
        </w:rPr>
        <w:t>References:</w:t>
      </w:r>
    </w:p>
    <w:p w14:paraId="4B9003D9" w14:textId="507D582D" w:rsidR="00BF6153" w:rsidRPr="00BF6153" w:rsidRDefault="00BF6153" w:rsidP="00BF6153">
      <w:pPr>
        <w:pStyle w:val="ListParagraph"/>
        <w:numPr>
          <w:ilvl w:val="0"/>
          <w:numId w:val="34"/>
        </w:numPr>
        <w:spacing w:after="220"/>
        <w:rPr>
          <w:rFonts w:cs="Calibri"/>
          <w:b/>
          <w:bCs/>
          <w:szCs w:val="22"/>
        </w:rPr>
      </w:pPr>
      <w:r w:rsidRPr="00BF6153">
        <w:rPr>
          <w:rFonts w:eastAsia="Calibri" w:cs="Calibri"/>
          <w:b/>
          <w:bCs/>
        </w:rPr>
        <w:t>NFPA</w:t>
      </w:r>
      <w:r>
        <w:rPr>
          <w:rFonts w:eastAsia="Calibri" w:cs="Calibri"/>
        </w:rPr>
        <w:t>: National Fire Protection Association</w:t>
      </w:r>
    </w:p>
    <w:p w14:paraId="18B896C0" w14:textId="304E7752" w:rsidR="00BF6153" w:rsidRPr="00BA2426" w:rsidRDefault="00BF6153" w:rsidP="00BF6153">
      <w:pPr>
        <w:pStyle w:val="ListParagraph"/>
        <w:numPr>
          <w:ilvl w:val="0"/>
          <w:numId w:val="34"/>
        </w:numPr>
        <w:spacing w:after="220"/>
        <w:rPr>
          <w:rFonts w:cs="Calibri"/>
          <w:b/>
          <w:bCs/>
          <w:szCs w:val="22"/>
        </w:rPr>
      </w:pPr>
      <w:r w:rsidRPr="00BF6153">
        <w:rPr>
          <w:rFonts w:eastAsia="Calibri" w:cs="Calibri"/>
          <w:b/>
          <w:bCs/>
        </w:rPr>
        <w:t>NJDCA</w:t>
      </w:r>
      <w:r>
        <w:rPr>
          <w:rFonts w:eastAsia="Calibri" w:cs="Calibri"/>
        </w:rPr>
        <w:t>: Dep</w:t>
      </w:r>
      <w:r w:rsidR="002D7798">
        <w:rPr>
          <w:rFonts w:eastAsia="Calibri" w:cs="Calibri"/>
        </w:rPr>
        <w:t>artment</w:t>
      </w:r>
      <w:r>
        <w:rPr>
          <w:rFonts w:eastAsia="Calibri" w:cs="Calibri"/>
        </w:rPr>
        <w:t xml:space="preserve"> of Community Affairs</w:t>
      </w:r>
    </w:p>
    <w:p w14:paraId="0BE0866D" w14:textId="02E4A594" w:rsidR="00BA2426" w:rsidRPr="00BF6153" w:rsidRDefault="00625A20" w:rsidP="00BF6153">
      <w:pPr>
        <w:pStyle w:val="ListParagraph"/>
        <w:numPr>
          <w:ilvl w:val="0"/>
          <w:numId w:val="34"/>
        </w:numPr>
        <w:spacing w:after="220"/>
        <w:rPr>
          <w:rFonts w:cs="Calibri"/>
          <w:b/>
          <w:bCs/>
          <w:szCs w:val="22"/>
        </w:rPr>
      </w:pPr>
      <w:r>
        <w:rPr>
          <w:rFonts w:eastAsia="Calibri" w:cs="Calibri"/>
          <w:b/>
          <w:bCs/>
        </w:rPr>
        <w:t>N.J.A.C.</w:t>
      </w:r>
      <w:r w:rsidR="00BA2426" w:rsidRPr="00BA2426">
        <w:rPr>
          <w:rFonts w:cs="Calibri"/>
          <w:b/>
          <w:bCs/>
          <w:szCs w:val="22"/>
        </w:rPr>
        <w:t>:</w:t>
      </w:r>
      <w:r w:rsidR="00BA2426">
        <w:rPr>
          <w:rFonts w:cs="Calibri"/>
          <w:b/>
          <w:bCs/>
          <w:szCs w:val="22"/>
        </w:rPr>
        <w:t xml:space="preserve"> </w:t>
      </w:r>
      <w:r w:rsidR="00BA2426">
        <w:rPr>
          <w:rFonts w:cs="Calibri"/>
          <w:szCs w:val="22"/>
        </w:rPr>
        <w:t>New Jerse</w:t>
      </w:r>
      <w:r w:rsidR="004172C1">
        <w:rPr>
          <w:rFonts w:cs="Calibri"/>
          <w:szCs w:val="22"/>
        </w:rPr>
        <w:t>y</w:t>
      </w:r>
      <w:r w:rsidR="00BA2426">
        <w:rPr>
          <w:rFonts w:cs="Calibri"/>
          <w:szCs w:val="22"/>
        </w:rPr>
        <w:t xml:space="preserve"> Administrative Code</w:t>
      </w:r>
    </w:p>
    <w:p w14:paraId="6DFF056F" w14:textId="602384D8" w:rsidR="00BF6153" w:rsidRPr="00BF6153" w:rsidRDefault="00625A20" w:rsidP="00BF6153">
      <w:pPr>
        <w:pStyle w:val="ListParagraph"/>
        <w:numPr>
          <w:ilvl w:val="0"/>
          <w:numId w:val="34"/>
        </w:numPr>
        <w:spacing w:after="220"/>
        <w:rPr>
          <w:rFonts w:cs="Calibri"/>
          <w:b/>
          <w:bCs/>
          <w:szCs w:val="22"/>
        </w:rPr>
      </w:pPr>
      <w:r>
        <w:rPr>
          <w:rFonts w:eastAsia="Calibri" w:cs="Calibri"/>
          <w:b/>
          <w:bCs/>
        </w:rPr>
        <w:t>N.J.S.A.</w:t>
      </w:r>
      <w:r w:rsidR="00BF6153" w:rsidRPr="00BF6153">
        <w:rPr>
          <w:rFonts w:eastAsia="Calibri" w:cs="Calibri"/>
        </w:rPr>
        <w:t xml:space="preserve">: New Jersey Statutes </w:t>
      </w:r>
    </w:p>
    <w:p w14:paraId="5DA028C5" w14:textId="4C83A4D6" w:rsidR="00BF6153" w:rsidRPr="00BF6153" w:rsidRDefault="00BF6153" w:rsidP="00BF6153">
      <w:pPr>
        <w:pStyle w:val="ListParagraph"/>
        <w:numPr>
          <w:ilvl w:val="0"/>
          <w:numId w:val="34"/>
        </w:numPr>
        <w:spacing w:after="220"/>
        <w:rPr>
          <w:rFonts w:cs="Calibri"/>
          <w:b/>
          <w:bCs/>
          <w:szCs w:val="22"/>
        </w:rPr>
      </w:pPr>
      <w:r w:rsidRPr="00BF6153">
        <w:rPr>
          <w:rFonts w:eastAsia="Calibri" w:cs="Calibri"/>
          <w:b/>
          <w:bCs/>
        </w:rPr>
        <w:t>PEOSH</w:t>
      </w:r>
      <w:r>
        <w:rPr>
          <w:rFonts w:eastAsia="Calibri" w:cs="Calibri"/>
        </w:rPr>
        <w:t xml:space="preserve">: Public Employees Occupational Safety </w:t>
      </w:r>
      <w:r w:rsidR="002D7798">
        <w:rPr>
          <w:rFonts w:eastAsia="Calibri" w:cs="Calibri"/>
        </w:rPr>
        <w:t>and</w:t>
      </w:r>
      <w:r>
        <w:rPr>
          <w:rFonts w:eastAsia="Calibri" w:cs="Calibri"/>
        </w:rPr>
        <w:t xml:space="preserve"> Health Act.</w:t>
      </w:r>
    </w:p>
    <w:p w14:paraId="34791CD2" w14:textId="2FC6DED2" w:rsidR="00D85920" w:rsidRPr="00BA2426" w:rsidRDefault="00BF6153" w:rsidP="00BA2426">
      <w:pPr>
        <w:pStyle w:val="ListParagraph"/>
        <w:numPr>
          <w:ilvl w:val="0"/>
          <w:numId w:val="34"/>
        </w:numPr>
        <w:spacing w:after="220"/>
        <w:rPr>
          <w:rFonts w:eastAsia="Calibri" w:cs="Calibri"/>
        </w:rPr>
      </w:pPr>
      <w:r w:rsidRPr="00BF6153">
        <w:rPr>
          <w:rFonts w:eastAsia="Calibri" w:cs="Calibri"/>
          <w:b/>
          <w:bCs/>
        </w:rPr>
        <w:t>UCC:</w:t>
      </w:r>
      <w:r>
        <w:rPr>
          <w:rFonts w:eastAsia="Calibri" w:cs="Calibri"/>
        </w:rPr>
        <w:t xml:space="preserve"> Uniform Construction Code</w:t>
      </w:r>
    </w:p>
    <w:p w14:paraId="44E46D70" w14:textId="5C45351B" w:rsidR="00BA2426" w:rsidRPr="00BA2426" w:rsidRDefault="00BA2426" w:rsidP="00BA2426">
      <w:pPr>
        <w:spacing w:after="220"/>
        <w:rPr>
          <w:rFonts w:eastAsia="Calibri" w:cs="Calibri"/>
        </w:rPr>
        <w:sectPr w:rsidR="00BA2426" w:rsidRPr="00BA2426" w:rsidSect="002E3EC3">
          <w:footerReference w:type="default" r:id="rId10"/>
          <w:pgSz w:w="12240" w:h="15840" w:code="1"/>
          <w:pgMar w:top="720" w:right="720" w:bottom="720" w:left="720" w:header="720" w:footer="288" w:gutter="0"/>
          <w:cols w:space="720"/>
          <w:titlePg/>
          <w:docGrid w:linePitch="299"/>
        </w:sectPr>
      </w:pPr>
      <w:r w:rsidRPr="00BA2426">
        <w:rPr>
          <w:rFonts w:eastAsia="Calibri" w:cs="Calibri"/>
        </w:rPr>
        <w:t>Supported b</w:t>
      </w:r>
      <w:r>
        <w:rPr>
          <w:rFonts w:eastAsia="Calibri" w:cs="Calibri"/>
        </w:rPr>
        <w:t xml:space="preserve">y: </w:t>
      </w:r>
      <w:r w:rsidRPr="00BA2426">
        <w:rPr>
          <w:rFonts w:eastAsia="Calibri" w:cs="Calibri"/>
        </w:rPr>
        <w:t>N.J.A.C</w:t>
      </w:r>
      <w:r w:rsidR="00151CB7">
        <w:rPr>
          <w:rFonts w:eastAsia="Calibri" w:cs="Calibri"/>
        </w:rPr>
        <w:t>.</w:t>
      </w:r>
      <w:r w:rsidRPr="00BA2426">
        <w:rPr>
          <w:rFonts w:eastAsia="Calibri" w:cs="Calibri"/>
        </w:rPr>
        <w:t xml:space="preserve"> 6A:26-6.1, 6.2, 6.3, 12 &amp; 6A:19-6 and NJQSAC Fiscal Indicator 9a, 9b, 9c</w:t>
      </w:r>
    </w:p>
    <w:p w14:paraId="76EB754A" w14:textId="15D9CF1E" w:rsidR="008838DC" w:rsidRPr="0097291F" w:rsidRDefault="00C91E5C" w:rsidP="0097291F">
      <w:pPr>
        <w:pStyle w:val="Heading2"/>
      </w:pPr>
      <w:r w:rsidRPr="0097291F">
        <w:lastRenderedPageBreak/>
        <w:t>Section</w:t>
      </w:r>
      <w:r w:rsidR="001D700A" w:rsidRPr="0097291F">
        <w:t xml:space="preserve"> A: 100% Items</w:t>
      </w:r>
    </w:p>
    <w:p w14:paraId="41FF7E29" w14:textId="6C5FBB4E" w:rsidR="00E50985" w:rsidRDefault="00EE1B0A" w:rsidP="00E50985">
      <w:pPr>
        <w:rPr>
          <w:rFonts w:cs="Calibri"/>
          <w:sz w:val="28"/>
          <w:szCs w:val="28"/>
        </w:rPr>
      </w:pPr>
      <w:r w:rsidRPr="00C91E5C">
        <w:rPr>
          <w:rFonts w:cs="Calibri"/>
          <w:sz w:val="28"/>
          <w:szCs w:val="28"/>
        </w:rPr>
        <w:t>(</w:t>
      </w:r>
      <w:r w:rsidR="004F5B93">
        <w:rPr>
          <w:rFonts w:cs="Calibri"/>
          <w:sz w:val="28"/>
          <w:szCs w:val="28"/>
        </w:rPr>
        <w:t>T</w:t>
      </w:r>
      <w:r w:rsidRPr="00366B29">
        <w:rPr>
          <w:rFonts w:cs="Calibri"/>
          <w:sz w:val="28"/>
          <w:szCs w:val="28"/>
        </w:rPr>
        <w:t xml:space="preserve">his section must have full compliance with </w:t>
      </w:r>
      <w:r w:rsidR="008C592D">
        <w:rPr>
          <w:rFonts w:cs="Calibri"/>
          <w:sz w:val="28"/>
          <w:szCs w:val="28"/>
        </w:rPr>
        <w:t xml:space="preserve">all </w:t>
      </w:r>
      <w:r w:rsidRPr="00366B29">
        <w:rPr>
          <w:rFonts w:cs="Calibri"/>
          <w:sz w:val="28"/>
          <w:szCs w:val="28"/>
        </w:rPr>
        <w:t>items</w:t>
      </w:r>
      <w:r w:rsidR="004F5B93">
        <w:rPr>
          <w:rFonts w:cs="Calibri"/>
          <w:sz w:val="28"/>
          <w:szCs w:val="28"/>
        </w:rPr>
        <w:t>.</w:t>
      </w:r>
      <w:r w:rsidRPr="00366B29">
        <w:rPr>
          <w:rFonts w:cs="Calibri"/>
          <w:sz w:val="28"/>
          <w:szCs w:val="28"/>
        </w:rPr>
        <w:t>)</w:t>
      </w:r>
    </w:p>
    <w:p w14:paraId="0197C27D" w14:textId="77777777" w:rsidR="008838DC" w:rsidRPr="008838DC" w:rsidRDefault="008838DC" w:rsidP="00FC0F7F">
      <w:pPr>
        <w:pStyle w:val="Heading3"/>
        <w:ind w:left="0" w:right="-180"/>
      </w:pPr>
      <w:r w:rsidRPr="008838DC">
        <w:t>100% Compliance</w:t>
      </w:r>
    </w:p>
    <w:tbl>
      <w:tblPr>
        <w:tblStyle w:val="TableGrid"/>
        <w:tblW w:w="0" w:type="auto"/>
        <w:tblLayout w:type="fixed"/>
        <w:tblLook w:val="0020" w:firstRow="1" w:lastRow="0" w:firstColumn="0" w:lastColumn="0" w:noHBand="0" w:noVBand="0"/>
      </w:tblPr>
      <w:tblGrid>
        <w:gridCol w:w="6228"/>
        <w:gridCol w:w="720"/>
        <w:gridCol w:w="630"/>
        <w:gridCol w:w="630"/>
        <w:gridCol w:w="2807"/>
      </w:tblGrid>
      <w:tr w:rsidR="003A58E9" w:rsidRPr="00366B29" w14:paraId="355768FF" w14:textId="77777777" w:rsidTr="003D5E76">
        <w:trPr>
          <w:tblHeader/>
        </w:trPr>
        <w:tc>
          <w:tcPr>
            <w:tcW w:w="6228" w:type="dxa"/>
            <w:shd w:val="clear" w:color="auto" w:fill="F2F2F2" w:themeFill="background1" w:themeFillShade="F2"/>
          </w:tcPr>
          <w:p w14:paraId="360CF5D9" w14:textId="375A895E" w:rsidR="003A58E9" w:rsidRPr="00366B29" w:rsidRDefault="00C91E5C" w:rsidP="000357A3">
            <w:pPr>
              <w:rPr>
                <w:rFonts w:cs="Calibri"/>
                <w:b/>
                <w:szCs w:val="22"/>
              </w:rPr>
            </w:pPr>
            <w:r w:rsidRPr="00366B29">
              <w:rPr>
                <w:rFonts w:cs="Calibri"/>
                <w:b/>
                <w:szCs w:val="22"/>
              </w:rPr>
              <w:t xml:space="preserve">Current Licenses </w:t>
            </w:r>
            <w:r w:rsidR="00565482">
              <w:rPr>
                <w:rFonts w:cs="Calibri"/>
                <w:b/>
                <w:szCs w:val="22"/>
              </w:rPr>
              <w:t>a</w:t>
            </w:r>
            <w:r w:rsidRPr="00366B29">
              <w:rPr>
                <w:rFonts w:cs="Calibri"/>
                <w:b/>
                <w:szCs w:val="22"/>
              </w:rPr>
              <w:t xml:space="preserve">nd Certificates </w:t>
            </w:r>
            <w:r w:rsidR="00D95275" w:rsidRPr="00366B29">
              <w:rPr>
                <w:rFonts w:cs="Calibri"/>
                <w:b/>
                <w:szCs w:val="22"/>
              </w:rPr>
              <w:t>#1</w:t>
            </w:r>
            <w:r w:rsidR="002A0550" w:rsidRPr="00366B29">
              <w:rPr>
                <w:rFonts w:cs="Calibri"/>
                <w:b/>
                <w:szCs w:val="22"/>
              </w:rPr>
              <w:t xml:space="preserve"> </w:t>
            </w:r>
            <w:r w:rsidR="008838DC">
              <w:rPr>
                <w:rFonts w:cs="Calibri"/>
                <w:b/>
                <w:szCs w:val="22"/>
              </w:rPr>
              <w:t>to</w:t>
            </w:r>
            <w:r w:rsidR="002A0550" w:rsidRPr="00366B29">
              <w:rPr>
                <w:rFonts w:cs="Calibri"/>
                <w:b/>
                <w:szCs w:val="22"/>
              </w:rPr>
              <w:t xml:space="preserve"> #</w:t>
            </w:r>
            <w:r w:rsidR="00D95275" w:rsidRPr="00366B29">
              <w:rPr>
                <w:rFonts w:cs="Calibri"/>
                <w:b/>
                <w:szCs w:val="22"/>
              </w:rPr>
              <w:t>10</w:t>
            </w:r>
          </w:p>
        </w:tc>
        <w:tc>
          <w:tcPr>
            <w:tcW w:w="720" w:type="dxa"/>
          </w:tcPr>
          <w:p w14:paraId="2A4067C4" w14:textId="77777777" w:rsidR="003A58E9" w:rsidRPr="00366B29" w:rsidRDefault="004D52D1" w:rsidP="001C0767">
            <w:pPr>
              <w:jc w:val="center"/>
              <w:rPr>
                <w:rFonts w:cs="Calibri"/>
                <w:b/>
                <w:szCs w:val="22"/>
              </w:rPr>
            </w:pPr>
            <w:r w:rsidRPr="004D52D1">
              <w:rPr>
                <w:rFonts w:cs="Calibri"/>
                <w:b/>
                <w:szCs w:val="22"/>
              </w:rPr>
              <w:t>Yes</w:t>
            </w:r>
          </w:p>
        </w:tc>
        <w:tc>
          <w:tcPr>
            <w:tcW w:w="630" w:type="dxa"/>
          </w:tcPr>
          <w:p w14:paraId="03D998A8" w14:textId="77777777" w:rsidR="003A58E9" w:rsidRPr="00366B29" w:rsidRDefault="004D52D1" w:rsidP="001C0767">
            <w:pPr>
              <w:jc w:val="center"/>
              <w:rPr>
                <w:rFonts w:cs="Calibri"/>
                <w:b/>
                <w:szCs w:val="22"/>
              </w:rPr>
            </w:pPr>
            <w:r w:rsidRPr="004D52D1">
              <w:rPr>
                <w:rFonts w:cs="Calibri"/>
                <w:b/>
                <w:szCs w:val="22"/>
              </w:rPr>
              <w:t>No</w:t>
            </w:r>
          </w:p>
        </w:tc>
        <w:tc>
          <w:tcPr>
            <w:tcW w:w="630" w:type="dxa"/>
          </w:tcPr>
          <w:p w14:paraId="4DC21F53" w14:textId="77777777" w:rsidR="003A58E9" w:rsidRPr="00366B29" w:rsidRDefault="003A58E9" w:rsidP="001C0767">
            <w:pPr>
              <w:jc w:val="center"/>
              <w:rPr>
                <w:rFonts w:cs="Calibri"/>
                <w:b/>
                <w:szCs w:val="22"/>
              </w:rPr>
            </w:pPr>
            <w:r w:rsidRPr="00366B29">
              <w:rPr>
                <w:rFonts w:cs="Calibri"/>
                <w:b/>
                <w:szCs w:val="22"/>
              </w:rPr>
              <w:t>N/A</w:t>
            </w:r>
          </w:p>
        </w:tc>
        <w:tc>
          <w:tcPr>
            <w:tcW w:w="2807" w:type="dxa"/>
          </w:tcPr>
          <w:p w14:paraId="2B389922" w14:textId="77777777" w:rsidR="003A58E9" w:rsidRPr="00366B29" w:rsidRDefault="00C91E5C" w:rsidP="00AE3090">
            <w:pPr>
              <w:rPr>
                <w:rFonts w:cs="Calibri"/>
                <w:b/>
                <w:szCs w:val="22"/>
              </w:rPr>
            </w:pPr>
            <w:r w:rsidRPr="00366B29">
              <w:rPr>
                <w:rFonts w:cs="Calibri"/>
                <w:b/>
                <w:szCs w:val="22"/>
              </w:rPr>
              <w:t xml:space="preserve">Violation Location </w:t>
            </w:r>
          </w:p>
        </w:tc>
      </w:tr>
      <w:tr w:rsidR="003A58E9" w:rsidRPr="00366B29" w14:paraId="79BFE787" w14:textId="77777777" w:rsidTr="003D5E76">
        <w:tc>
          <w:tcPr>
            <w:tcW w:w="6228" w:type="dxa"/>
          </w:tcPr>
          <w:p w14:paraId="4AC1E5FE" w14:textId="34884E2D" w:rsidR="00776629" w:rsidRPr="00942696" w:rsidRDefault="00EE63B1" w:rsidP="00EE63B1">
            <w:pPr>
              <w:spacing w:after="120"/>
              <w:ind w:left="331" w:hanging="216"/>
              <w:rPr>
                <w:rFonts w:cs="Calibri"/>
                <w:szCs w:val="22"/>
              </w:rPr>
            </w:pPr>
            <w:r w:rsidRPr="00EE63B1">
              <w:rPr>
                <w:rFonts w:cs="Calibri"/>
                <w:b/>
                <w:bCs/>
                <w:szCs w:val="22"/>
              </w:rPr>
              <w:t>1.</w:t>
            </w:r>
            <w:r>
              <w:rPr>
                <w:rFonts w:cs="Calibri"/>
                <w:szCs w:val="22"/>
              </w:rPr>
              <w:t xml:space="preserve"> </w:t>
            </w:r>
            <w:r w:rsidR="003A58E9" w:rsidRPr="00366B29">
              <w:rPr>
                <w:rFonts w:cs="Calibri"/>
                <w:szCs w:val="22"/>
              </w:rPr>
              <w:t xml:space="preserve">A </w:t>
            </w:r>
            <w:r w:rsidR="008331B6" w:rsidRPr="00366B29">
              <w:rPr>
                <w:rFonts w:cs="Calibri"/>
                <w:szCs w:val="22"/>
              </w:rPr>
              <w:t xml:space="preserve">current </w:t>
            </w:r>
            <w:r w:rsidR="003A58E9" w:rsidRPr="00366B29">
              <w:rPr>
                <w:rFonts w:cs="Calibri"/>
                <w:szCs w:val="22"/>
              </w:rPr>
              <w:t xml:space="preserve">certificate of compliance with the Uniform Fire Code has been issued by the local or </w:t>
            </w:r>
            <w:r w:rsidR="007E2376" w:rsidRPr="00366B29">
              <w:rPr>
                <w:rFonts w:cs="Calibri"/>
                <w:szCs w:val="22"/>
              </w:rPr>
              <w:t>S</w:t>
            </w:r>
            <w:r w:rsidR="003A58E9" w:rsidRPr="00366B29">
              <w:rPr>
                <w:rFonts w:cs="Calibri"/>
                <w:szCs w:val="22"/>
              </w:rPr>
              <w:t>tate fire official/inspector within the year</w:t>
            </w:r>
            <w:r w:rsidR="001D00AA" w:rsidRPr="00366B29">
              <w:rPr>
                <w:rFonts w:cs="Calibri"/>
                <w:szCs w:val="22"/>
              </w:rPr>
              <w:t xml:space="preserve"> and posted in a conspicuous location</w:t>
            </w:r>
            <w:r w:rsidR="008838DC">
              <w:rPr>
                <w:rFonts w:cs="Calibri"/>
                <w:szCs w:val="22"/>
              </w:rPr>
              <w:t xml:space="preserve"> </w:t>
            </w:r>
            <w:r w:rsidR="00062A1F" w:rsidRPr="00942696">
              <w:rPr>
                <w:rFonts w:cs="Calibri"/>
                <w:szCs w:val="22"/>
              </w:rPr>
              <w:t>(or current abatement</w:t>
            </w:r>
            <w:r w:rsidR="008D7389" w:rsidRPr="00942696">
              <w:rPr>
                <w:rFonts w:cs="Calibri"/>
                <w:szCs w:val="22"/>
              </w:rPr>
              <w:t xml:space="preserve"> inspection is available)</w:t>
            </w:r>
            <w:r w:rsidR="00DF067B">
              <w:rPr>
                <w:rFonts w:cs="Calibri"/>
                <w:szCs w:val="22"/>
              </w:rPr>
              <w:t>.</w:t>
            </w:r>
          </w:p>
        </w:tc>
        <w:tc>
          <w:tcPr>
            <w:tcW w:w="720" w:type="dxa"/>
          </w:tcPr>
          <w:p w14:paraId="0BA11ABE" w14:textId="77777777" w:rsidR="003A58E9" w:rsidRPr="00366B29" w:rsidRDefault="003A58E9">
            <w:pPr>
              <w:jc w:val="center"/>
              <w:rPr>
                <w:rFonts w:cs="Calibri"/>
                <w:szCs w:val="22"/>
              </w:rPr>
            </w:pPr>
          </w:p>
        </w:tc>
        <w:tc>
          <w:tcPr>
            <w:tcW w:w="630" w:type="dxa"/>
          </w:tcPr>
          <w:p w14:paraId="3E8B99DB" w14:textId="77777777" w:rsidR="003A58E9" w:rsidRPr="00366B29" w:rsidRDefault="003A58E9">
            <w:pPr>
              <w:jc w:val="center"/>
              <w:rPr>
                <w:rFonts w:cs="Calibri"/>
                <w:szCs w:val="22"/>
              </w:rPr>
            </w:pPr>
          </w:p>
        </w:tc>
        <w:tc>
          <w:tcPr>
            <w:tcW w:w="630" w:type="dxa"/>
          </w:tcPr>
          <w:p w14:paraId="0C9A2E32" w14:textId="77777777" w:rsidR="003A58E9" w:rsidRPr="00366B29" w:rsidRDefault="003A58E9">
            <w:pPr>
              <w:jc w:val="center"/>
              <w:rPr>
                <w:rFonts w:cs="Calibri"/>
                <w:szCs w:val="22"/>
              </w:rPr>
            </w:pPr>
          </w:p>
        </w:tc>
        <w:tc>
          <w:tcPr>
            <w:tcW w:w="2807" w:type="dxa"/>
          </w:tcPr>
          <w:p w14:paraId="11EADA28" w14:textId="77777777" w:rsidR="003A58E9" w:rsidRPr="00366B29" w:rsidRDefault="003A58E9">
            <w:pPr>
              <w:spacing w:before="60"/>
              <w:rPr>
                <w:rFonts w:cs="Calibri"/>
                <w:szCs w:val="22"/>
              </w:rPr>
            </w:pPr>
          </w:p>
        </w:tc>
      </w:tr>
      <w:tr w:rsidR="003A58E9" w:rsidRPr="00366B29" w14:paraId="715181DC" w14:textId="77777777" w:rsidTr="003D5E76">
        <w:tc>
          <w:tcPr>
            <w:tcW w:w="6228" w:type="dxa"/>
          </w:tcPr>
          <w:p w14:paraId="7F3F7D60" w14:textId="374C53D6" w:rsidR="00776629" w:rsidRPr="00600A0D" w:rsidRDefault="00EE63B1" w:rsidP="00EE63B1">
            <w:pPr>
              <w:spacing w:after="120"/>
              <w:ind w:left="331" w:hanging="216"/>
              <w:rPr>
                <w:rFonts w:cs="Calibri"/>
                <w:szCs w:val="22"/>
              </w:rPr>
            </w:pPr>
            <w:r w:rsidRPr="00EE63B1">
              <w:rPr>
                <w:rFonts w:cs="Calibri"/>
                <w:b/>
                <w:bCs/>
                <w:szCs w:val="22"/>
              </w:rPr>
              <w:t>2</w:t>
            </w:r>
            <w:r>
              <w:rPr>
                <w:rFonts w:cs="Calibri"/>
                <w:szCs w:val="22"/>
              </w:rPr>
              <w:t xml:space="preserve">. </w:t>
            </w:r>
            <w:r w:rsidR="003A58E9" w:rsidRPr="00366B29">
              <w:rPr>
                <w:rFonts w:cs="Calibri"/>
                <w:szCs w:val="22"/>
              </w:rPr>
              <w:t xml:space="preserve">A current inspection report of the local health official (kitchen, cafeteria, pool, etc.) is available. </w:t>
            </w:r>
          </w:p>
        </w:tc>
        <w:tc>
          <w:tcPr>
            <w:tcW w:w="720" w:type="dxa"/>
          </w:tcPr>
          <w:p w14:paraId="41B9D90A" w14:textId="77777777" w:rsidR="003A58E9" w:rsidRPr="00366B29" w:rsidRDefault="003A58E9">
            <w:pPr>
              <w:jc w:val="center"/>
              <w:rPr>
                <w:rFonts w:cs="Calibri"/>
                <w:szCs w:val="22"/>
              </w:rPr>
            </w:pPr>
          </w:p>
        </w:tc>
        <w:tc>
          <w:tcPr>
            <w:tcW w:w="630" w:type="dxa"/>
          </w:tcPr>
          <w:p w14:paraId="11C83691" w14:textId="77777777" w:rsidR="003A58E9" w:rsidRPr="00366B29" w:rsidRDefault="003A58E9">
            <w:pPr>
              <w:jc w:val="center"/>
              <w:rPr>
                <w:rFonts w:cs="Calibri"/>
                <w:szCs w:val="22"/>
              </w:rPr>
            </w:pPr>
          </w:p>
        </w:tc>
        <w:tc>
          <w:tcPr>
            <w:tcW w:w="630" w:type="dxa"/>
          </w:tcPr>
          <w:p w14:paraId="48E21BA9" w14:textId="77777777" w:rsidR="003A58E9" w:rsidRPr="00366B29" w:rsidRDefault="003A58E9">
            <w:pPr>
              <w:jc w:val="center"/>
              <w:rPr>
                <w:rFonts w:cs="Calibri"/>
                <w:szCs w:val="22"/>
              </w:rPr>
            </w:pPr>
          </w:p>
        </w:tc>
        <w:tc>
          <w:tcPr>
            <w:tcW w:w="2807" w:type="dxa"/>
          </w:tcPr>
          <w:p w14:paraId="254C0B12" w14:textId="77777777" w:rsidR="003A58E9" w:rsidRPr="00366B29" w:rsidRDefault="003A58E9">
            <w:pPr>
              <w:spacing w:before="60"/>
              <w:rPr>
                <w:rFonts w:cs="Calibri"/>
                <w:szCs w:val="22"/>
              </w:rPr>
            </w:pPr>
          </w:p>
        </w:tc>
      </w:tr>
      <w:tr w:rsidR="003A58E9" w:rsidRPr="00366B29" w14:paraId="14C3050A" w14:textId="77777777" w:rsidTr="003D5E76">
        <w:tc>
          <w:tcPr>
            <w:tcW w:w="6228" w:type="dxa"/>
          </w:tcPr>
          <w:p w14:paraId="303210FF" w14:textId="753C5DE2" w:rsidR="00776629" w:rsidRPr="00600A0D" w:rsidRDefault="00EE63B1" w:rsidP="00EE63B1">
            <w:pPr>
              <w:spacing w:after="120"/>
              <w:ind w:left="331" w:hanging="216"/>
              <w:rPr>
                <w:rFonts w:cs="Calibri"/>
                <w:szCs w:val="22"/>
              </w:rPr>
            </w:pPr>
            <w:r w:rsidRPr="00EE63B1">
              <w:rPr>
                <w:rFonts w:cs="Calibri"/>
                <w:b/>
                <w:bCs/>
                <w:szCs w:val="22"/>
              </w:rPr>
              <w:t>3.</w:t>
            </w:r>
            <w:r>
              <w:rPr>
                <w:rFonts w:cs="Calibri"/>
                <w:szCs w:val="22"/>
              </w:rPr>
              <w:t xml:space="preserve"> </w:t>
            </w:r>
            <w:r w:rsidR="003A58E9" w:rsidRPr="00366B29">
              <w:rPr>
                <w:rFonts w:cs="Calibri"/>
                <w:szCs w:val="22"/>
              </w:rPr>
              <w:t>A</w:t>
            </w:r>
            <w:r w:rsidR="00557B3E" w:rsidRPr="00366B29">
              <w:rPr>
                <w:rFonts w:cs="Calibri"/>
                <w:szCs w:val="22"/>
              </w:rPr>
              <w:t xml:space="preserve"> </w:t>
            </w:r>
            <w:r w:rsidR="00F52CC3" w:rsidRPr="00366B29">
              <w:rPr>
                <w:rFonts w:cs="Calibri"/>
                <w:szCs w:val="22"/>
              </w:rPr>
              <w:t>3</w:t>
            </w:r>
            <w:r w:rsidR="007E4B18">
              <w:rPr>
                <w:rFonts w:cs="Calibri"/>
                <w:szCs w:val="22"/>
              </w:rPr>
              <w:t>-</w:t>
            </w:r>
            <w:r w:rsidR="00F52CC3" w:rsidRPr="00366B29">
              <w:rPr>
                <w:rFonts w:cs="Calibri"/>
                <w:szCs w:val="22"/>
              </w:rPr>
              <w:t xml:space="preserve">year </w:t>
            </w:r>
            <w:r w:rsidR="00557B3E" w:rsidRPr="00366B29">
              <w:rPr>
                <w:rFonts w:cs="Calibri"/>
                <w:szCs w:val="22"/>
              </w:rPr>
              <w:t xml:space="preserve">asbestos </w:t>
            </w:r>
            <w:r w:rsidR="003A58E9" w:rsidRPr="00366B29">
              <w:rPr>
                <w:rFonts w:cs="Calibri"/>
                <w:szCs w:val="22"/>
              </w:rPr>
              <w:t>management plan, as required by A.H.E.R.A., is available</w:t>
            </w:r>
            <w:r w:rsidR="00557B3E" w:rsidRPr="00366B29">
              <w:rPr>
                <w:rFonts w:cs="Calibri"/>
                <w:szCs w:val="22"/>
              </w:rPr>
              <w:t xml:space="preserve"> including current </w:t>
            </w:r>
            <w:r w:rsidR="002636D4">
              <w:rPr>
                <w:rFonts w:cs="Calibri"/>
                <w:szCs w:val="22"/>
              </w:rPr>
              <w:t>six</w:t>
            </w:r>
            <w:r w:rsidR="007E4B18">
              <w:rPr>
                <w:rFonts w:cs="Calibri"/>
                <w:szCs w:val="22"/>
              </w:rPr>
              <w:t>-</w:t>
            </w:r>
            <w:r w:rsidR="00557B3E" w:rsidRPr="00366B29">
              <w:rPr>
                <w:rFonts w:cs="Calibri"/>
                <w:szCs w:val="22"/>
              </w:rPr>
              <w:t xml:space="preserve">month surveillance </w:t>
            </w:r>
            <w:r w:rsidR="00FC29FB">
              <w:rPr>
                <w:rFonts w:cs="Calibri"/>
                <w:szCs w:val="22"/>
              </w:rPr>
              <w:t>update reports</w:t>
            </w:r>
            <w:r w:rsidR="008838DC">
              <w:rPr>
                <w:rFonts w:cs="Calibri"/>
                <w:szCs w:val="22"/>
              </w:rPr>
              <w:t xml:space="preserve">. </w:t>
            </w:r>
            <w:r w:rsidR="003A58E9" w:rsidRPr="00366B29">
              <w:rPr>
                <w:rFonts w:cs="Calibri"/>
                <w:szCs w:val="22"/>
              </w:rPr>
              <w:t>If constructed without asbestos, a letter of certification from the architect is available.</w:t>
            </w:r>
          </w:p>
        </w:tc>
        <w:tc>
          <w:tcPr>
            <w:tcW w:w="720" w:type="dxa"/>
          </w:tcPr>
          <w:p w14:paraId="0BC2D29E" w14:textId="77777777" w:rsidR="003A58E9" w:rsidRPr="00366B29" w:rsidRDefault="003A58E9">
            <w:pPr>
              <w:jc w:val="center"/>
              <w:rPr>
                <w:rFonts w:cs="Calibri"/>
                <w:szCs w:val="22"/>
              </w:rPr>
            </w:pPr>
          </w:p>
        </w:tc>
        <w:tc>
          <w:tcPr>
            <w:tcW w:w="630" w:type="dxa"/>
          </w:tcPr>
          <w:p w14:paraId="4C16B1EB" w14:textId="77777777" w:rsidR="003A58E9" w:rsidRPr="00366B29" w:rsidRDefault="003A58E9">
            <w:pPr>
              <w:jc w:val="center"/>
              <w:rPr>
                <w:rFonts w:cs="Calibri"/>
                <w:szCs w:val="22"/>
              </w:rPr>
            </w:pPr>
          </w:p>
        </w:tc>
        <w:tc>
          <w:tcPr>
            <w:tcW w:w="630" w:type="dxa"/>
          </w:tcPr>
          <w:p w14:paraId="1DB458E5" w14:textId="77777777" w:rsidR="003A58E9" w:rsidRPr="00366B29" w:rsidRDefault="003A58E9">
            <w:pPr>
              <w:jc w:val="center"/>
              <w:rPr>
                <w:rFonts w:cs="Calibri"/>
                <w:szCs w:val="22"/>
              </w:rPr>
            </w:pPr>
          </w:p>
        </w:tc>
        <w:tc>
          <w:tcPr>
            <w:tcW w:w="2807" w:type="dxa"/>
          </w:tcPr>
          <w:p w14:paraId="2AC2F879" w14:textId="77777777" w:rsidR="003A58E9" w:rsidRPr="00366B29" w:rsidRDefault="003A58E9">
            <w:pPr>
              <w:spacing w:before="60"/>
              <w:rPr>
                <w:rFonts w:cs="Calibri"/>
                <w:szCs w:val="22"/>
              </w:rPr>
            </w:pPr>
          </w:p>
        </w:tc>
      </w:tr>
      <w:tr w:rsidR="003A58E9" w:rsidRPr="00366B29" w14:paraId="6C8C62F0" w14:textId="77777777" w:rsidTr="003D5E76">
        <w:tc>
          <w:tcPr>
            <w:tcW w:w="6228" w:type="dxa"/>
          </w:tcPr>
          <w:p w14:paraId="0DA13797" w14:textId="7C45CA13" w:rsidR="00776629" w:rsidRPr="00600A0D" w:rsidRDefault="00EE63B1" w:rsidP="00EE63B1">
            <w:pPr>
              <w:spacing w:after="120"/>
              <w:ind w:left="331" w:hanging="216"/>
              <w:rPr>
                <w:rFonts w:cs="Calibri"/>
                <w:szCs w:val="22"/>
              </w:rPr>
            </w:pPr>
            <w:r w:rsidRPr="00EE63B1">
              <w:rPr>
                <w:rFonts w:cs="Calibri"/>
                <w:b/>
                <w:bCs/>
                <w:szCs w:val="22"/>
              </w:rPr>
              <w:t>4.</w:t>
            </w:r>
            <w:r>
              <w:rPr>
                <w:rFonts w:cs="Calibri"/>
                <w:szCs w:val="22"/>
              </w:rPr>
              <w:t xml:space="preserve"> </w:t>
            </w:r>
            <w:r w:rsidR="003A58E9" w:rsidRPr="00366B29">
              <w:rPr>
                <w:rFonts w:cs="Calibri"/>
                <w:szCs w:val="22"/>
              </w:rPr>
              <w:t>An annual inspection report of the Department of Environmental Protection for the operation of a sewage treatment plant, where applicable, is available.</w:t>
            </w:r>
          </w:p>
        </w:tc>
        <w:tc>
          <w:tcPr>
            <w:tcW w:w="720" w:type="dxa"/>
          </w:tcPr>
          <w:p w14:paraId="7CDE46A3" w14:textId="77777777" w:rsidR="003A58E9" w:rsidRPr="00366B29" w:rsidRDefault="003A58E9">
            <w:pPr>
              <w:jc w:val="center"/>
              <w:rPr>
                <w:rFonts w:cs="Calibri"/>
                <w:szCs w:val="22"/>
              </w:rPr>
            </w:pPr>
          </w:p>
        </w:tc>
        <w:tc>
          <w:tcPr>
            <w:tcW w:w="630" w:type="dxa"/>
          </w:tcPr>
          <w:p w14:paraId="7648D08D" w14:textId="77777777" w:rsidR="003A58E9" w:rsidRPr="00366B29" w:rsidRDefault="003A58E9">
            <w:pPr>
              <w:jc w:val="center"/>
              <w:rPr>
                <w:rFonts w:cs="Calibri"/>
                <w:szCs w:val="22"/>
              </w:rPr>
            </w:pPr>
          </w:p>
        </w:tc>
        <w:tc>
          <w:tcPr>
            <w:tcW w:w="630" w:type="dxa"/>
          </w:tcPr>
          <w:p w14:paraId="62759C71" w14:textId="77777777" w:rsidR="003A58E9" w:rsidRPr="00366B29" w:rsidRDefault="003A58E9">
            <w:pPr>
              <w:jc w:val="center"/>
              <w:rPr>
                <w:rFonts w:cs="Calibri"/>
                <w:szCs w:val="22"/>
              </w:rPr>
            </w:pPr>
          </w:p>
        </w:tc>
        <w:tc>
          <w:tcPr>
            <w:tcW w:w="2807" w:type="dxa"/>
          </w:tcPr>
          <w:p w14:paraId="54FF988E" w14:textId="77777777" w:rsidR="003A58E9" w:rsidRPr="00366B29" w:rsidRDefault="003A58E9">
            <w:pPr>
              <w:spacing w:before="60"/>
              <w:rPr>
                <w:rFonts w:cs="Calibri"/>
                <w:szCs w:val="22"/>
              </w:rPr>
            </w:pPr>
          </w:p>
        </w:tc>
      </w:tr>
      <w:tr w:rsidR="003A58E9" w:rsidRPr="00366B29" w14:paraId="35BD7EE0" w14:textId="77777777" w:rsidTr="003D5E76">
        <w:tc>
          <w:tcPr>
            <w:tcW w:w="6228" w:type="dxa"/>
          </w:tcPr>
          <w:p w14:paraId="60BC8BD8" w14:textId="080A580C" w:rsidR="003A58E9" w:rsidRPr="00366B29" w:rsidRDefault="00EE63B1" w:rsidP="00EE63B1">
            <w:pPr>
              <w:spacing w:after="120"/>
              <w:ind w:left="331" w:hanging="216"/>
              <w:rPr>
                <w:rFonts w:cs="Calibri"/>
                <w:szCs w:val="22"/>
              </w:rPr>
            </w:pPr>
            <w:r w:rsidRPr="00EE63B1">
              <w:rPr>
                <w:rFonts w:cs="Calibri"/>
                <w:b/>
                <w:bCs/>
                <w:szCs w:val="22"/>
              </w:rPr>
              <w:t>5.</w:t>
            </w:r>
            <w:r>
              <w:rPr>
                <w:rFonts w:cs="Calibri"/>
                <w:szCs w:val="22"/>
              </w:rPr>
              <w:t xml:space="preserve"> </w:t>
            </w:r>
            <w:r w:rsidR="00557B3E" w:rsidRPr="00366B29">
              <w:rPr>
                <w:rFonts w:cs="Calibri"/>
                <w:szCs w:val="22"/>
              </w:rPr>
              <w:t>Current boiler inspection certificate</w:t>
            </w:r>
            <w:r w:rsidR="008331B6" w:rsidRPr="00366B29">
              <w:rPr>
                <w:rFonts w:cs="Calibri"/>
                <w:szCs w:val="22"/>
              </w:rPr>
              <w:t>(s)</w:t>
            </w:r>
            <w:r w:rsidR="00557B3E" w:rsidRPr="00366B29">
              <w:rPr>
                <w:rFonts w:cs="Calibri"/>
                <w:szCs w:val="22"/>
              </w:rPr>
              <w:t xml:space="preserve"> posted at site of boiler</w:t>
            </w:r>
            <w:r w:rsidR="00FC29FB">
              <w:rPr>
                <w:rFonts w:cs="Calibri"/>
                <w:szCs w:val="22"/>
              </w:rPr>
              <w:t>(s)</w:t>
            </w:r>
            <w:r w:rsidR="00600A0D">
              <w:rPr>
                <w:rFonts w:cs="Calibri"/>
                <w:szCs w:val="22"/>
              </w:rPr>
              <w:t>.</w:t>
            </w:r>
          </w:p>
        </w:tc>
        <w:tc>
          <w:tcPr>
            <w:tcW w:w="720" w:type="dxa"/>
          </w:tcPr>
          <w:p w14:paraId="3C4DC4A5" w14:textId="77777777" w:rsidR="003A58E9" w:rsidRPr="00366B29" w:rsidRDefault="003A58E9">
            <w:pPr>
              <w:jc w:val="center"/>
              <w:rPr>
                <w:rFonts w:cs="Calibri"/>
                <w:szCs w:val="22"/>
              </w:rPr>
            </w:pPr>
          </w:p>
        </w:tc>
        <w:tc>
          <w:tcPr>
            <w:tcW w:w="630" w:type="dxa"/>
          </w:tcPr>
          <w:p w14:paraId="0E7DCC5B" w14:textId="77777777" w:rsidR="003A58E9" w:rsidRPr="00366B29" w:rsidRDefault="003A58E9">
            <w:pPr>
              <w:jc w:val="center"/>
              <w:rPr>
                <w:rFonts w:cs="Calibri"/>
                <w:szCs w:val="22"/>
              </w:rPr>
            </w:pPr>
          </w:p>
        </w:tc>
        <w:tc>
          <w:tcPr>
            <w:tcW w:w="630" w:type="dxa"/>
          </w:tcPr>
          <w:p w14:paraId="0B156D71" w14:textId="77777777" w:rsidR="003A58E9" w:rsidRPr="00366B29" w:rsidRDefault="003A58E9">
            <w:pPr>
              <w:jc w:val="center"/>
              <w:rPr>
                <w:rFonts w:cs="Calibri"/>
                <w:szCs w:val="22"/>
              </w:rPr>
            </w:pPr>
          </w:p>
        </w:tc>
        <w:tc>
          <w:tcPr>
            <w:tcW w:w="2807" w:type="dxa"/>
          </w:tcPr>
          <w:p w14:paraId="50144C3C" w14:textId="77777777" w:rsidR="003A58E9" w:rsidRPr="00366B29" w:rsidRDefault="003A58E9">
            <w:pPr>
              <w:spacing w:before="60"/>
              <w:rPr>
                <w:rFonts w:cs="Calibri"/>
                <w:szCs w:val="22"/>
              </w:rPr>
            </w:pPr>
          </w:p>
        </w:tc>
      </w:tr>
      <w:tr w:rsidR="003A58E9" w:rsidRPr="00366B29" w14:paraId="2771E9A6" w14:textId="77777777" w:rsidTr="003D5E76">
        <w:tc>
          <w:tcPr>
            <w:tcW w:w="6228" w:type="dxa"/>
          </w:tcPr>
          <w:p w14:paraId="78D2BA73" w14:textId="23DC790F" w:rsidR="00776629" w:rsidRPr="00600A0D" w:rsidRDefault="00EE63B1" w:rsidP="00EE63B1">
            <w:pPr>
              <w:spacing w:after="120"/>
              <w:ind w:left="331" w:hanging="216"/>
              <w:rPr>
                <w:rFonts w:cs="Calibri"/>
                <w:szCs w:val="22"/>
              </w:rPr>
            </w:pPr>
            <w:r w:rsidRPr="00EE63B1">
              <w:rPr>
                <w:rFonts w:cs="Calibri"/>
                <w:b/>
                <w:bCs/>
                <w:szCs w:val="22"/>
              </w:rPr>
              <w:t>6.</w:t>
            </w:r>
            <w:r>
              <w:rPr>
                <w:rFonts w:cs="Calibri"/>
                <w:szCs w:val="22"/>
              </w:rPr>
              <w:t xml:space="preserve"> </w:t>
            </w:r>
            <w:r w:rsidR="008331B6" w:rsidRPr="00366B29">
              <w:rPr>
                <w:rFonts w:cs="Calibri"/>
                <w:szCs w:val="22"/>
              </w:rPr>
              <w:t>Current l</w:t>
            </w:r>
            <w:r w:rsidR="003A58E9" w:rsidRPr="00366B29">
              <w:rPr>
                <w:rFonts w:cs="Calibri"/>
                <w:szCs w:val="22"/>
              </w:rPr>
              <w:t>icense</w:t>
            </w:r>
            <w:r w:rsidR="008331B6" w:rsidRPr="00366B29">
              <w:rPr>
                <w:rFonts w:cs="Calibri"/>
                <w:szCs w:val="22"/>
              </w:rPr>
              <w:t>(</w:t>
            </w:r>
            <w:r w:rsidR="003A58E9" w:rsidRPr="00366B29">
              <w:rPr>
                <w:rFonts w:cs="Calibri"/>
                <w:szCs w:val="22"/>
              </w:rPr>
              <w:t>s</w:t>
            </w:r>
            <w:r w:rsidR="008331B6" w:rsidRPr="00366B29">
              <w:rPr>
                <w:rFonts w:cs="Calibri"/>
                <w:szCs w:val="22"/>
              </w:rPr>
              <w:t>)</w:t>
            </w:r>
            <w:r w:rsidR="003A58E9" w:rsidRPr="00366B29">
              <w:rPr>
                <w:rFonts w:cs="Calibri"/>
                <w:szCs w:val="22"/>
              </w:rPr>
              <w:t xml:space="preserve"> for high</w:t>
            </w:r>
            <w:r w:rsidR="00683B9C">
              <w:rPr>
                <w:rFonts w:cs="Calibri"/>
                <w:szCs w:val="22"/>
              </w:rPr>
              <w:t>-</w:t>
            </w:r>
            <w:r w:rsidR="003A58E9" w:rsidRPr="00366B29">
              <w:rPr>
                <w:rFonts w:cs="Calibri"/>
                <w:szCs w:val="22"/>
              </w:rPr>
              <w:t xml:space="preserve"> and low</w:t>
            </w:r>
            <w:r w:rsidR="00683B9C">
              <w:rPr>
                <w:rFonts w:cs="Calibri"/>
                <w:szCs w:val="22"/>
              </w:rPr>
              <w:t>-</w:t>
            </w:r>
            <w:r w:rsidR="003A58E9" w:rsidRPr="00366B29">
              <w:rPr>
                <w:rFonts w:cs="Calibri"/>
                <w:szCs w:val="22"/>
              </w:rPr>
              <w:t>pressure b</w:t>
            </w:r>
            <w:r w:rsidR="0010790E" w:rsidRPr="00366B29">
              <w:rPr>
                <w:rFonts w:cs="Calibri"/>
                <w:szCs w:val="22"/>
              </w:rPr>
              <w:t xml:space="preserve">oiler operators, as required by code, </w:t>
            </w:r>
            <w:r w:rsidR="003A58E9" w:rsidRPr="00366B29">
              <w:rPr>
                <w:rFonts w:cs="Calibri"/>
                <w:szCs w:val="22"/>
              </w:rPr>
              <w:t>are properly posted.</w:t>
            </w:r>
          </w:p>
        </w:tc>
        <w:tc>
          <w:tcPr>
            <w:tcW w:w="720" w:type="dxa"/>
          </w:tcPr>
          <w:p w14:paraId="4747D433" w14:textId="77777777" w:rsidR="003A58E9" w:rsidRPr="00366B29" w:rsidRDefault="003A58E9">
            <w:pPr>
              <w:jc w:val="center"/>
              <w:rPr>
                <w:rFonts w:cs="Calibri"/>
                <w:szCs w:val="22"/>
              </w:rPr>
            </w:pPr>
          </w:p>
        </w:tc>
        <w:tc>
          <w:tcPr>
            <w:tcW w:w="630" w:type="dxa"/>
          </w:tcPr>
          <w:p w14:paraId="29A47D46" w14:textId="77777777" w:rsidR="003A58E9" w:rsidRPr="00366B29" w:rsidRDefault="003A58E9">
            <w:pPr>
              <w:jc w:val="center"/>
              <w:rPr>
                <w:rFonts w:cs="Calibri"/>
                <w:szCs w:val="22"/>
              </w:rPr>
            </w:pPr>
          </w:p>
        </w:tc>
        <w:tc>
          <w:tcPr>
            <w:tcW w:w="630" w:type="dxa"/>
          </w:tcPr>
          <w:p w14:paraId="2666AA9E" w14:textId="77777777" w:rsidR="003A58E9" w:rsidRPr="00366B29" w:rsidRDefault="003A58E9">
            <w:pPr>
              <w:jc w:val="center"/>
              <w:rPr>
                <w:rFonts w:cs="Calibri"/>
                <w:szCs w:val="22"/>
              </w:rPr>
            </w:pPr>
          </w:p>
        </w:tc>
        <w:tc>
          <w:tcPr>
            <w:tcW w:w="2807" w:type="dxa"/>
          </w:tcPr>
          <w:p w14:paraId="4BAC2E1D" w14:textId="77777777" w:rsidR="003A58E9" w:rsidRPr="00366B29" w:rsidRDefault="003A58E9">
            <w:pPr>
              <w:spacing w:before="60"/>
              <w:rPr>
                <w:rFonts w:cs="Calibri"/>
                <w:szCs w:val="22"/>
              </w:rPr>
            </w:pPr>
          </w:p>
        </w:tc>
      </w:tr>
      <w:tr w:rsidR="003A58E9" w:rsidRPr="00366B29" w14:paraId="4C54A92D" w14:textId="77777777" w:rsidTr="003D5E76">
        <w:trPr>
          <w:trHeight w:val="463"/>
        </w:trPr>
        <w:tc>
          <w:tcPr>
            <w:tcW w:w="6228" w:type="dxa"/>
          </w:tcPr>
          <w:p w14:paraId="5928485B" w14:textId="77777777" w:rsidR="002636D4" w:rsidRDefault="00EE63B1" w:rsidP="00EE63B1">
            <w:pPr>
              <w:spacing w:after="120"/>
              <w:ind w:left="331" w:hanging="216"/>
              <w:rPr>
                <w:rFonts w:cs="Calibri"/>
                <w:szCs w:val="22"/>
              </w:rPr>
            </w:pPr>
            <w:r w:rsidRPr="00EE63B1">
              <w:rPr>
                <w:rFonts w:cs="Calibri"/>
                <w:b/>
                <w:bCs/>
                <w:szCs w:val="22"/>
              </w:rPr>
              <w:t>7.</w:t>
            </w:r>
            <w:r>
              <w:rPr>
                <w:rFonts w:cs="Calibri"/>
                <w:szCs w:val="22"/>
              </w:rPr>
              <w:t xml:space="preserve"> </w:t>
            </w:r>
            <w:r w:rsidR="00B34162" w:rsidRPr="00B34162">
              <w:rPr>
                <w:rFonts w:cs="Calibri"/>
                <w:szCs w:val="22"/>
              </w:rPr>
              <w:t>Current drinking water supply inspection reports are available to comply with</w:t>
            </w:r>
            <w:r w:rsidR="002636D4">
              <w:rPr>
                <w:rFonts w:cs="Calibri"/>
                <w:szCs w:val="22"/>
              </w:rPr>
              <w:t>:</w:t>
            </w:r>
          </w:p>
          <w:p w14:paraId="29CF73A3" w14:textId="4D42F970" w:rsidR="002636D4" w:rsidRPr="002636D4" w:rsidRDefault="00B34162" w:rsidP="002636D4">
            <w:pPr>
              <w:pStyle w:val="ListParagraph"/>
              <w:numPr>
                <w:ilvl w:val="0"/>
                <w:numId w:val="36"/>
              </w:numPr>
              <w:spacing w:after="120"/>
              <w:rPr>
                <w:rFonts w:cs="Calibri"/>
                <w:bCs/>
                <w:iCs/>
                <w:szCs w:val="22"/>
              </w:rPr>
            </w:pPr>
            <w:r w:rsidRPr="002636D4">
              <w:rPr>
                <w:rFonts w:cs="Calibri"/>
                <w:szCs w:val="22"/>
              </w:rPr>
              <w:t>Safe Water Drinking Act. (</w:t>
            </w:r>
            <w:hyperlink r:id="rId11" w:history="1">
              <w:r w:rsidR="00625A20">
                <w:rPr>
                  <w:rStyle w:val="Hyperlink"/>
                  <w:rFonts w:cs="Calibri"/>
                  <w:szCs w:val="22"/>
                </w:rPr>
                <w:t>N.J.A.C.</w:t>
              </w:r>
              <w:r w:rsidRPr="002636D4">
                <w:rPr>
                  <w:rStyle w:val="Hyperlink"/>
                  <w:rFonts w:cs="Calibri"/>
                  <w:szCs w:val="22"/>
                </w:rPr>
                <w:t xml:space="preserve"> 58:12A-1</w:t>
              </w:r>
            </w:hyperlink>
            <w:r w:rsidRPr="002636D4">
              <w:rPr>
                <w:rFonts w:cs="Calibri"/>
                <w:szCs w:val="22"/>
              </w:rPr>
              <w:t>) (</w:t>
            </w:r>
            <w:r w:rsidR="00625A20">
              <w:rPr>
                <w:rFonts w:cs="Calibri"/>
                <w:szCs w:val="22"/>
              </w:rPr>
              <w:t>N.J.A.C.</w:t>
            </w:r>
            <w:r w:rsidR="002909E9" w:rsidRPr="002636D4">
              <w:rPr>
                <w:rFonts w:cs="Calibri"/>
                <w:szCs w:val="22"/>
              </w:rPr>
              <w:t xml:space="preserve"> 6A:26-12.4</w:t>
            </w:r>
            <w:r w:rsidRPr="002636D4">
              <w:rPr>
                <w:rFonts w:cs="Calibri"/>
                <w:szCs w:val="22"/>
              </w:rPr>
              <w:t xml:space="preserve">). </w:t>
            </w:r>
          </w:p>
          <w:p w14:paraId="791FE863" w14:textId="0977A992" w:rsidR="00776629" w:rsidRPr="002636D4" w:rsidRDefault="002636D4" w:rsidP="002636D4">
            <w:pPr>
              <w:pStyle w:val="ListParagraph"/>
              <w:numPr>
                <w:ilvl w:val="0"/>
                <w:numId w:val="36"/>
              </w:numPr>
              <w:spacing w:after="120"/>
              <w:rPr>
                <w:rFonts w:cs="Calibri"/>
                <w:bCs/>
                <w:iCs/>
                <w:szCs w:val="22"/>
              </w:rPr>
            </w:pPr>
            <w:r>
              <w:rPr>
                <w:rFonts w:cs="Calibri"/>
                <w:szCs w:val="22"/>
              </w:rPr>
              <w:t>E</w:t>
            </w:r>
            <w:r w:rsidR="00B34162" w:rsidRPr="002636D4">
              <w:rPr>
                <w:rFonts w:cs="Calibri"/>
                <w:szCs w:val="22"/>
              </w:rPr>
              <w:t>vidence of testing of water for lead has been provided by the district through annual submittal of the Lead Testing Statement of Assurance</w:t>
            </w:r>
            <w:r w:rsidR="006A4EA0" w:rsidRPr="002636D4">
              <w:rPr>
                <w:rFonts w:cs="Calibri"/>
                <w:szCs w:val="22"/>
              </w:rPr>
              <w:t>.</w:t>
            </w:r>
          </w:p>
        </w:tc>
        <w:tc>
          <w:tcPr>
            <w:tcW w:w="720" w:type="dxa"/>
          </w:tcPr>
          <w:p w14:paraId="582318EC" w14:textId="77777777" w:rsidR="003A58E9" w:rsidRPr="00366B29" w:rsidRDefault="003A58E9">
            <w:pPr>
              <w:jc w:val="center"/>
              <w:rPr>
                <w:rFonts w:cs="Calibri"/>
                <w:szCs w:val="22"/>
              </w:rPr>
            </w:pPr>
          </w:p>
        </w:tc>
        <w:tc>
          <w:tcPr>
            <w:tcW w:w="630" w:type="dxa"/>
          </w:tcPr>
          <w:p w14:paraId="557FF26B" w14:textId="77777777" w:rsidR="003A58E9" w:rsidRPr="00366B29" w:rsidRDefault="003A58E9">
            <w:pPr>
              <w:jc w:val="center"/>
              <w:rPr>
                <w:rFonts w:cs="Calibri"/>
                <w:szCs w:val="22"/>
              </w:rPr>
            </w:pPr>
          </w:p>
        </w:tc>
        <w:tc>
          <w:tcPr>
            <w:tcW w:w="630" w:type="dxa"/>
          </w:tcPr>
          <w:p w14:paraId="2883E729" w14:textId="77777777" w:rsidR="003A58E9" w:rsidRPr="00366B29" w:rsidRDefault="003A58E9">
            <w:pPr>
              <w:jc w:val="center"/>
              <w:rPr>
                <w:rFonts w:cs="Calibri"/>
                <w:szCs w:val="22"/>
              </w:rPr>
            </w:pPr>
          </w:p>
        </w:tc>
        <w:tc>
          <w:tcPr>
            <w:tcW w:w="2807" w:type="dxa"/>
          </w:tcPr>
          <w:p w14:paraId="6747E623" w14:textId="77777777" w:rsidR="003A58E9" w:rsidRPr="00366B29" w:rsidRDefault="003A58E9">
            <w:pPr>
              <w:spacing w:before="60"/>
              <w:rPr>
                <w:rFonts w:cs="Calibri"/>
                <w:color w:val="FF0000"/>
                <w:szCs w:val="22"/>
              </w:rPr>
            </w:pPr>
          </w:p>
        </w:tc>
      </w:tr>
      <w:tr w:rsidR="001D700A" w:rsidRPr="00366B29" w14:paraId="046C4D5E" w14:textId="77777777" w:rsidTr="003D5E76">
        <w:trPr>
          <w:trHeight w:val="391"/>
        </w:trPr>
        <w:tc>
          <w:tcPr>
            <w:tcW w:w="6228" w:type="dxa"/>
          </w:tcPr>
          <w:p w14:paraId="60D4A28A" w14:textId="36CE0997" w:rsidR="00776629" w:rsidRPr="00600A0D" w:rsidRDefault="00EE63B1" w:rsidP="00BF5DC5">
            <w:pPr>
              <w:spacing w:after="120"/>
              <w:ind w:left="331" w:hanging="216"/>
              <w:rPr>
                <w:rFonts w:cs="Calibri"/>
                <w:szCs w:val="22"/>
              </w:rPr>
            </w:pPr>
            <w:r w:rsidRPr="00EE63B1">
              <w:rPr>
                <w:rFonts w:cs="Calibri"/>
                <w:b/>
                <w:bCs/>
                <w:szCs w:val="22"/>
              </w:rPr>
              <w:t>8</w:t>
            </w:r>
            <w:r>
              <w:rPr>
                <w:rFonts w:cs="Calibri"/>
                <w:szCs w:val="22"/>
              </w:rPr>
              <w:t xml:space="preserve">. </w:t>
            </w:r>
            <w:r w:rsidR="001D700A" w:rsidRPr="00366B29">
              <w:rPr>
                <w:rFonts w:cs="Calibri"/>
                <w:szCs w:val="22"/>
              </w:rPr>
              <w:t xml:space="preserve">One fire drill and </w:t>
            </w:r>
            <w:r w:rsidR="001D700A" w:rsidRPr="00AD3318">
              <w:rPr>
                <w:rFonts w:cs="Calibri"/>
                <w:iCs/>
                <w:szCs w:val="22"/>
              </w:rPr>
              <w:t xml:space="preserve">one </w:t>
            </w:r>
            <w:r w:rsidR="001D700A" w:rsidRPr="00366B29">
              <w:rPr>
                <w:rFonts w:cs="Calibri"/>
                <w:szCs w:val="22"/>
              </w:rPr>
              <w:t>school security drill are held each month</w:t>
            </w:r>
            <w:r w:rsidR="00BF1023">
              <w:rPr>
                <w:rFonts w:cs="Calibri"/>
                <w:szCs w:val="22"/>
              </w:rPr>
              <w:t>.</w:t>
            </w:r>
            <w:r w:rsidR="0016433E" w:rsidRPr="00366B29">
              <w:rPr>
                <w:rFonts w:cs="Calibri"/>
                <w:szCs w:val="22"/>
              </w:rPr>
              <w:t xml:space="preserve"> </w:t>
            </w:r>
            <w:r w:rsidR="00B34162">
              <w:rPr>
                <w:rFonts w:cs="Calibri"/>
                <w:szCs w:val="22"/>
              </w:rPr>
              <w:t>(</w:t>
            </w:r>
            <w:r w:rsidR="0016433E" w:rsidRPr="00366B29">
              <w:rPr>
                <w:rFonts w:cs="Calibri"/>
                <w:szCs w:val="22"/>
              </w:rPr>
              <w:t>See</w:t>
            </w:r>
            <w:r w:rsidR="00655C16">
              <w:rPr>
                <w:rFonts w:cs="Calibri"/>
                <w:szCs w:val="22"/>
              </w:rPr>
              <w:t xml:space="preserve"> </w:t>
            </w:r>
            <w:r w:rsidR="001D700A" w:rsidRPr="00366B29">
              <w:rPr>
                <w:rFonts w:cs="Calibri"/>
                <w:szCs w:val="22"/>
              </w:rPr>
              <w:t>“Checklist Instructions” for Certificate of Assurance</w:t>
            </w:r>
            <w:r w:rsidR="001E4143">
              <w:rPr>
                <w:rFonts w:cs="Calibri"/>
                <w:szCs w:val="22"/>
              </w:rPr>
              <w:t>.</w:t>
            </w:r>
            <w:r w:rsidR="00B34162">
              <w:rPr>
                <w:rFonts w:cs="Calibri"/>
                <w:szCs w:val="22"/>
              </w:rPr>
              <w:t xml:space="preserve">) </w:t>
            </w:r>
            <w:r w:rsidR="00B34162">
              <w:rPr>
                <w:rFonts w:cs="Calibri"/>
                <w:szCs w:val="22"/>
              </w:rPr>
              <w:br/>
            </w:r>
            <w:hyperlink r:id="rId12" w:history="1">
              <w:r w:rsidR="00625A20">
                <w:rPr>
                  <w:rStyle w:val="Hyperlink"/>
                  <w:rFonts w:eastAsia="Calibri"/>
                </w:rPr>
                <w:t>N.J.S.A.</w:t>
              </w:r>
              <w:r w:rsidR="00B34162" w:rsidRPr="00B34162">
                <w:rPr>
                  <w:rStyle w:val="Hyperlink"/>
                  <w:rFonts w:eastAsia="Calibri"/>
                </w:rPr>
                <w:t xml:space="preserve"> 18A:41-1</w:t>
              </w:r>
              <w:r w:rsidR="00B34162" w:rsidRPr="00B34162">
                <w:rPr>
                  <w:rStyle w:val="Hyperlink"/>
                </w:rPr>
                <w:t xml:space="preserve"> </w:t>
              </w:r>
            </w:hyperlink>
            <w:r w:rsidR="00BF1023">
              <w:rPr>
                <w:rFonts w:eastAsia="Calibri"/>
              </w:rPr>
              <w:t>.</w:t>
            </w:r>
          </w:p>
        </w:tc>
        <w:tc>
          <w:tcPr>
            <w:tcW w:w="720" w:type="dxa"/>
          </w:tcPr>
          <w:p w14:paraId="586C6378" w14:textId="77777777" w:rsidR="001D700A" w:rsidRPr="00366B29" w:rsidRDefault="001D700A">
            <w:pPr>
              <w:jc w:val="center"/>
              <w:rPr>
                <w:rFonts w:cs="Calibri"/>
                <w:szCs w:val="22"/>
              </w:rPr>
            </w:pPr>
          </w:p>
        </w:tc>
        <w:tc>
          <w:tcPr>
            <w:tcW w:w="630" w:type="dxa"/>
          </w:tcPr>
          <w:p w14:paraId="5130DC8B" w14:textId="77777777" w:rsidR="001D700A" w:rsidRPr="00366B29" w:rsidRDefault="001D700A">
            <w:pPr>
              <w:jc w:val="center"/>
              <w:rPr>
                <w:rFonts w:cs="Calibri"/>
                <w:szCs w:val="22"/>
              </w:rPr>
            </w:pPr>
          </w:p>
        </w:tc>
        <w:tc>
          <w:tcPr>
            <w:tcW w:w="630" w:type="dxa"/>
          </w:tcPr>
          <w:p w14:paraId="5A899431" w14:textId="77777777" w:rsidR="001D700A" w:rsidRPr="00366B29" w:rsidRDefault="001D700A">
            <w:pPr>
              <w:jc w:val="center"/>
              <w:rPr>
                <w:rFonts w:cs="Calibri"/>
                <w:szCs w:val="22"/>
              </w:rPr>
            </w:pPr>
          </w:p>
        </w:tc>
        <w:tc>
          <w:tcPr>
            <w:tcW w:w="2807" w:type="dxa"/>
          </w:tcPr>
          <w:p w14:paraId="6B06F184" w14:textId="77777777" w:rsidR="001D700A" w:rsidRPr="00366B29" w:rsidRDefault="001D700A">
            <w:pPr>
              <w:spacing w:before="60"/>
              <w:rPr>
                <w:rFonts w:cs="Calibri"/>
                <w:szCs w:val="22"/>
              </w:rPr>
            </w:pPr>
          </w:p>
        </w:tc>
      </w:tr>
      <w:tr w:rsidR="003A58E9" w:rsidRPr="00366B29" w14:paraId="1DD101D7" w14:textId="77777777" w:rsidTr="003D5E76">
        <w:trPr>
          <w:trHeight w:val="391"/>
        </w:trPr>
        <w:tc>
          <w:tcPr>
            <w:tcW w:w="6228" w:type="dxa"/>
          </w:tcPr>
          <w:p w14:paraId="4E01CC85" w14:textId="6E10FF8C" w:rsidR="00200943" w:rsidRPr="00942696" w:rsidRDefault="00EE63B1" w:rsidP="00BF5DC5">
            <w:pPr>
              <w:spacing w:after="120"/>
              <w:ind w:left="331" w:hanging="216"/>
              <w:rPr>
                <w:rFonts w:cs="Calibri"/>
                <w:szCs w:val="22"/>
              </w:rPr>
            </w:pPr>
            <w:r w:rsidRPr="00EE63B1">
              <w:rPr>
                <w:rFonts w:cs="Calibri"/>
                <w:b/>
                <w:bCs/>
                <w:szCs w:val="22"/>
              </w:rPr>
              <w:t>9.</w:t>
            </w:r>
            <w:r>
              <w:rPr>
                <w:rFonts w:cs="Calibri"/>
                <w:szCs w:val="22"/>
              </w:rPr>
              <w:t xml:space="preserve"> </w:t>
            </w:r>
            <w:r w:rsidR="003A58E9" w:rsidRPr="00366B29">
              <w:rPr>
                <w:rFonts w:cs="Calibri"/>
                <w:szCs w:val="22"/>
              </w:rPr>
              <w:t>Right</w:t>
            </w:r>
            <w:r w:rsidR="00B34162">
              <w:rPr>
                <w:rFonts w:cs="Calibri"/>
                <w:szCs w:val="22"/>
              </w:rPr>
              <w:t>-</w:t>
            </w:r>
            <w:r w:rsidR="003A58E9" w:rsidRPr="00366B29">
              <w:rPr>
                <w:rFonts w:cs="Calibri"/>
                <w:szCs w:val="22"/>
              </w:rPr>
              <w:t>To</w:t>
            </w:r>
            <w:r w:rsidR="00B34162">
              <w:rPr>
                <w:rFonts w:cs="Calibri"/>
                <w:szCs w:val="22"/>
              </w:rPr>
              <w:t>-</w:t>
            </w:r>
            <w:r w:rsidR="003A58E9" w:rsidRPr="00366B29">
              <w:rPr>
                <w:rFonts w:cs="Calibri"/>
                <w:szCs w:val="22"/>
              </w:rPr>
              <w:t>Know requirements are properly posted</w:t>
            </w:r>
            <w:r w:rsidR="001D00AA" w:rsidRPr="00366B29">
              <w:rPr>
                <w:rFonts w:cs="Calibri"/>
                <w:szCs w:val="22"/>
              </w:rPr>
              <w:t xml:space="preserve"> </w:t>
            </w:r>
            <w:r w:rsidR="00036879" w:rsidRPr="00366B29">
              <w:rPr>
                <w:rFonts w:cs="Calibri"/>
                <w:szCs w:val="22"/>
              </w:rPr>
              <w:t>and SDS</w:t>
            </w:r>
            <w:r w:rsidR="001D00AA" w:rsidRPr="00366B29">
              <w:rPr>
                <w:rFonts w:cs="Calibri"/>
                <w:szCs w:val="22"/>
              </w:rPr>
              <w:t xml:space="preserve"> reporting materials on file for review.</w:t>
            </w:r>
          </w:p>
        </w:tc>
        <w:tc>
          <w:tcPr>
            <w:tcW w:w="720" w:type="dxa"/>
          </w:tcPr>
          <w:p w14:paraId="360FFA2F" w14:textId="77777777" w:rsidR="003A58E9" w:rsidRPr="00366B29" w:rsidRDefault="003A58E9">
            <w:pPr>
              <w:jc w:val="center"/>
              <w:rPr>
                <w:rFonts w:cs="Calibri"/>
                <w:szCs w:val="22"/>
              </w:rPr>
            </w:pPr>
          </w:p>
        </w:tc>
        <w:tc>
          <w:tcPr>
            <w:tcW w:w="630" w:type="dxa"/>
          </w:tcPr>
          <w:p w14:paraId="1DFDBE2F" w14:textId="77777777" w:rsidR="003A58E9" w:rsidRPr="00366B29" w:rsidRDefault="003A58E9">
            <w:pPr>
              <w:jc w:val="center"/>
              <w:rPr>
                <w:rFonts w:cs="Calibri"/>
                <w:szCs w:val="22"/>
              </w:rPr>
            </w:pPr>
          </w:p>
        </w:tc>
        <w:tc>
          <w:tcPr>
            <w:tcW w:w="630" w:type="dxa"/>
          </w:tcPr>
          <w:p w14:paraId="2A75D423" w14:textId="77777777" w:rsidR="003A58E9" w:rsidRPr="00366B29" w:rsidRDefault="003A58E9">
            <w:pPr>
              <w:jc w:val="center"/>
              <w:rPr>
                <w:rFonts w:cs="Calibri"/>
                <w:szCs w:val="22"/>
              </w:rPr>
            </w:pPr>
          </w:p>
        </w:tc>
        <w:tc>
          <w:tcPr>
            <w:tcW w:w="2807" w:type="dxa"/>
          </w:tcPr>
          <w:p w14:paraId="05580C00" w14:textId="77777777" w:rsidR="003A58E9" w:rsidRPr="00366B29" w:rsidRDefault="003A58E9">
            <w:pPr>
              <w:spacing w:before="60"/>
              <w:rPr>
                <w:rFonts w:cs="Calibri"/>
                <w:szCs w:val="22"/>
              </w:rPr>
            </w:pPr>
          </w:p>
        </w:tc>
      </w:tr>
      <w:tr w:rsidR="0016433E" w:rsidRPr="00366B29" w14:paraId="405BDFB9" w14:textId="77777777" w:rsidTr="003D5E76">
        <w:trPr>
          <w:trHeight w:val="391"/>
        </w:trPr>
        <w:tc>
          <w:tcPr>
            <w:tcW w:w="6228" w:type="dxa"/>
          </w:tcPr>
          <w:p w14:paraId="1F5D7D91" w14:textId="147FF923" w:rsidR="00776629" w:rsidRPr="00942696" w:rsidRDefault="00EE63B1" w:rsidP="00BF5DC5">
            <w:pPr>
              <w:spacing w:after="120"/>
              <w:ind w:left="317" w:hanging="317"/>
              <w:rPr>
                <w:rFonts w:cs="Calibri"/>
                <w:szCs w:val="22"/>
              </w:rPr>
            </w:pPr>
            <w:r w:rsidRPr="00BF5DC5">
              <w:rPr>
                <w:rFonts w:cs="Calibri"/>
                <w:b/>
                <w:bCs/>
                <w:szCs w:val="22"/>
              </w:rPr>
              <w:t>10</w:t>
            </w:r>
            <w:r>
              <w:rPr>
                <w:rFonts w:cs="Calibri"/>
                <w:szCs w:val="22"/>
              </w:rPr>
              <w:t xml:space="preserve">. </w:t>
            </w:r>
            <w:r w:rsidR="003E63E7">
              <w:rPr>
                <w:rFonts w:cs="Calibri"/>
                <w:szCs w:val="22"/>
              </w:rPr>
              <w:t>Janet's Law—</w:t>
            </w:r>
            <w:r w:rsidR="0016433E" w:rsidRPr="00366B29">
              <w:rPr>
                <w:rFonts w:cs="Calibri"/>
                <w:szCs w:val="22"/>
              </w:rPr>
              <w:t xml:space="preserve">District has </w:t>
            </w:r>
            <w:r w:rsidR="00657134">
              <w:rPr>
                <w:rFonts w:cs="Calibri"/>
                <w:szCs w:val="22"/>
              </w:rPr>
              <w:t xml:space="preserve">Automated External </w:t>
            </w:r>
            <w:r w:rsidR="00402943">
              <w:rPr>
                <w:rFonts w:cs="Calibri"/>
                <w:szCs w:val="22"/>
              </w:rPr>
              <w:t>D</w:t>
            </w:r>
            <w:r w:rsidR="0016433E" w:rsidRPr="00366B29">
              <w:rPr>
                <w:rFonts w:cs="Calibri"/>
                <w:szCs w:val="22"/>
              </w:rPr>
              <w:t>efibrillators</w:t>
            </w:r>
            <w:r w:rsidR="00657134">
              <w:rPr>
                <w:rFonts w:cs="Calibri"/>
                <w:szCs w:val="22"/>
              </w:rPr>
              <w:t xml:space="preserve"> (AEDs)</w:t>
            </w:r>
            <w:r w:rsidR="0016433E" w:rsidRPr="00366B29">
              <w:rPr>
                <w:rFonts w:cs="Calibri"/>
                <w:szCs w:val="22"/>
              </w:rPr>
              <w:t xml:space="preserve"> identified with appropriate signage</w:t>
            </w:r>
            <w:r w:rsidR="00FE1455" w:rsidRPr="00366B29">
              <w:rPr>
                <w:rFonts w:cs="Calibri"/>
                <w:szCs w:val="22"/>
              </w:rPr>
              <w:t xml:space="preserve"> and </w:t>
            </w:r>
            <w:r w:rsidR="0016433E" w:rsidRPr="00366B29">
              <w:rPr>
                <w:rFonts w:cs="Calibri"/>
                <w:szCs w:val="22"/>
              </w:rPr>
              <w:t xml:space="preserve">made available in an unlocked location on school property, which </w:t>
            </w:r>
            <w:r w:rsidR="001E4143">
              <w:rPr>
                <w:rFonts w:cs="Calibri"/>
                <w:szCs w:val="22"/>
              </w:rPr>
              <w:t>are</w:t>
            </w:r>
            <w:r w:rsidR="0016433E" w:rsidRPr="00366B29">
              <w:rPr>
                <w:rFonts w:cs="Calibri"/>
                <w:szCs w:val="22"/>
              </w:rPr>
              <w:t xml:space="preserve"> accessible during the school day and any other time in which a school-sponsored athletic event or team practice, in which pupils of the district are participating, is taking place and </w:t>
            </w:r>
            <w:r w:rsidR="002636D4">
              <w:rPr>
                <w:rFonts w:cs="Calibri"/>
                <w:szCs w:val="22"/>
              </w:rPr>
              <w:t>are</w:t>
            </w:r>
            <w:r w:rsidR="0016433E" w:rsidRPr="00366B29">
              <w:rPr>
                <w:rFonts w:cs="Calibri"/>
                <w:szCs w:val="22"/>
              </w:rPr>
              <w:t xml:space="preserve"> within reasonable proximity of the school athletic field or gymnasium, as applicable</w:t>
            </w:r>
            <w:r w:rsidR="00D65EF2">
              <w:rPr>
                <w:rFonts w:cs="Calibri"/>
                <w:szCs w:val="22"/>
              </w:rPr>
              <w:t>.</w:t>
            </w:r>
            <w:r w:rsidR="00F07DD8">
              <w:rPr>
                <w:rFonts w:cs="Calibri"/>
                <w:szCs w:val="22"/>
              </w:rPr>
              <w:t xml:space="preserve"> </w:t>
            </w:r>
            <w:r w:rsidR="0016433E" w:rsidRPr="00366B29">
              <w:rPr>
                <w:rFonts w:cs="Calibri"/>
                <w:szCs w:val="22"/>
              </w:rPr>
              <w:t>(</w:t>
            </w:r>
            <w:hyperlink r:id="rId13" w:history="1">
              <w:r w:rsidR="003E63E7">
                <w:rPr>
                  <w:rStyle w:val="Hyperlink"/>
                  <w:rFonts w:cs="Calibri"/>
                  <w:szCs w:val="22"/>
                </w:rPr>
                <w:t xml:space="preserve">Janet’s Law </w:t>
              </w:r>
              <w:r w:rsidR="00625A20">
                <w:rPr>
                  <w:rStyle w:val="Hyperlink"/>
                  <w:rFonts w:cs="Calibri"/>
                  <w:szCs w:val="22"/>
                </w:rPr>
                <w:t>N.J.S.A.</w:t>
              </w:r>
              <w:r w:rsidR="003E63E7">
                <w:rPr>
                  <w:rStyle w:val="Hyperlink"/>
                  <w:rFonts w:cs="Calibri"/>
                  <w:szCs w:val="22"/>
                </w:rPr>
                <w:t xml:space="preserve"> 18A:40- 41a-41c </w:t>
              </w:r>
            </w:hyperlink>
            <w:r w:rsidR="0016433E" w:rsidRPr="00366B29">
              <w:rPr>
                <w:rFonts w:cs="Calibri"/>
                <w:szCs w:val="22"/>
              </w:rPr>
              <w:t>)</w:t>
            </w:r>
          </w:p>
        </w:tc>
        <w:tc>
          <w:tcPr>
            <w:tcW w:w="720" w:type="dxa"/>
          </w:tcPr>
          <w:p w14:paraId="60A6D427" w14:textId="77777777" w:rsidR="0016433E" w:rsidRPr="00366B29" w:rsidRDefault="0016433E">
            <w:pPr>
              <w:jc w:val="center"/>
              <w:rPr>
                <w:rFonts w:cs="Calibri"/>
                <w:szCs w:val="22"/>
              </w:rPr>
            </w:pPr>
          </w:p>
        </w:tc>
        <w:tc>
          <w:tcPr>
            <w:tcW w:w="630" w:type="dxa"/>
          </w:tcPr>
          <w:p w14:paraId="7B25CA02" w14:textId="77777777" w:rsidR="0016433E" w:rsidRPr="00366B29" w:rsidRDefault="0016433E">
            <w:pPr>
              <w:jc w:val="center"/>
              <w:rPr>
                <w:rFonts w:cs="Calibri"/>
                <w:szCs w:val="22"/>
              </w:rPr>
            </w:pPr>
          </w:p>
        </w:tc>
        <w:tc>
          <w:tcPr>
            <w:tcW w:w="630" w:type="dxa"/>
          </w:tcPr>
          <w:p w14:paraId="73C3B9DE" w14:textId="77777777" w:rsidR="0016433E" w:rsidRPr="00366B29" w:rsidRDefault="0016433E">
            <w:pPr>
              <w:jc w:val="center"/>
              <w:rPr>
                <w:rFonts w:cs="Calibri"/>
                <w:szCs w:val="22"/>
              </w:rPr>
            </w:pPr>
          </w:p>
        </w:tc>
        <w:tc>
          <w:tcPr>
            <w:tcW w:w="2807" w:type="dxa"/>
          </w:tcPr>
          <w:p w14:paraId="36BE5F54" w14:textId="77777777" w:rsidR="0016433E" w:rsidRPr="00366B29" w:rsidRDefault="0016433E">
            <w:pPr>
              <w:spacing w:before="60"/>
              <w:rPr>
                <w:rFonts w:cs="Calibri"/>
                <w:szCs w:val="22"/>
              </w:rPr>
            </w:pPr>
          </w:p>
        </w:tc>
      </w:tr>
    </w:tbl>
    <w:p w14:paraId="1FA29D9E" w14:textId="06E38851" w:rsidR="00E300ED" w:rsidRDefault="00E300ED">
      <w:pPr>
        <w:rPr>
          <w:sz w:val="4"/>
          <w:szCs w:val="4"/>
        </w:rPr>
      </w:pPr>
      <w:r>
        <w:rPr>
          <w:sz w:val="4"/>
          <w:szCs w:val="4"/>
        </w:rPr>
        <w:br w:type="page"/>
      </w:r>
    </w:p>
    <w:p w14:paraId="61F13B87" w14:textId="77777777" w:rsidR="008838DC" w:rsidRPr="008838DC" w:rsidRDefault="008838DC">
      <w:pPr>
        <w:rPr>
          <w:sz w:val="4"/>
          <w:szCs w:val="4"/>
        </w:rPr>
      </w:pPr>
    </w:p>
    <w:tbl>
      <w:tblPr>
        <w:tblStyle w:val="TableGrid"/>
        <w:tblW w:w="11015" w:type="dxa"/>
        <w:tblLayout w:type="fixed"/>
        <w:tblLook w:val="0020" w:firstRow="1" w:lastRow="0" w:firstColumn="0" w:lastColumn="0" w:noHBand="0" w:noVBand="0"/>
      </w:tblPr>
      <w:tblGrid>
        <w:gridCol w:w="6228"/>
        <w:gridCol w:w="720"/>
        <w:gridCol w:w="630"/>
        <w:gridCol w:w="630"/>
        <w:gridCol w:w="2807"/>
      </w:tblGrid>
      <w:tr w:rsidR="006A0564" w:rsidRPr="00366B29" w14:paraId="70095605" w14:textId="77777777" w:rsidTr="003D5E76">
        <w:trPr>
          <w:tblHeader/>
        </w:trPr>
        <w:tc>
          <w:tcPr>
            <w:tcW w:w="6228" w:type="dxa"/>
            <w:shd w:val="clear" w:color="auto" w:fill="F2F2F2" w:themeFill="background1" w:themeFillShade="F2"/>
          </w:tcPr>
          <w:p w14:paraId="3C856EF8" w14:textId="77777777" w:rsidR="006A0564" w:rsidRPr="00366B29" w:rsidRDefault="00C91E5C" w:rsidP="00856B92">
            <w:pPr>
              <w:tabs>
                <w:tab w:val="num" w:pos="360"/>
              </w:tabs>
              <w:ind w:left="360" w:hanging="270"/>
              <w:jc w:val="both"/>
              <w:rPr>
                <w:rFonts w:cs="Calibri"/>
                <w:b/>
                <w:szCs w:val="22"/>
              </w:rPr>
            </w:pPr>
            <w:r w:rsidRPr="00366B29">
              <w:rPr>
                <w:rFonts w:cs="Calibri"/>
                <w:b/>
                <w:szCs w:val="22"/>
              </w:rPr>
              <w:t xml:space="preserve">Exits/Exterior </w:t>
            </w:r>
            <w:r w:rsidR="00D95275" w:rsidRPr="00366B29">
              <w:rPr>
                <w:rFonts w:cs="Calibri"/>
                <w:b/>
                <w:szCs w:val="22"/>
              </w:rPr>
              <w:t>#11</w:t>
            </w:r>
            <w:r w:rsidR="002A0550" w:rsidRPr="00366B29">
              <w:rPr>
                <w:rFonts w:cs="Calibri"/>
                <w:b/>
                <w:szCs w:val="22"/>
              </w:rPr>
              <w:t xml:space="preserve"> </w:t>
            </w:r>
            <w:r w:rsidR="008838DC">
              <w:rPr>
                <w:rFonts w:cs="Calibri"/>
                <w:b/>
                <w:szCs w:val="22"/>
              </w:rPr>
              <w:t>to</w:t>
            </w:r>
            <w:r w:rsidR="002A0550" w:rsidRPr="00366B29">
              <w:rPr>
                <w:rFonts w:cs="Calibri"/>
                <w:b/>
                <w:szCs w:val="22"/>
              </w:rPr>
              <w:t xml:space="preserve"> #</w:t>
            </w:r>
            <w:r w:rsidR="00D95275" w:rsidRPr="00366B29">
              <w:rPr>
                <w:rFonts w:cs="Calibri"/>
                <w:b/>
                <w:szCs w:val="22"/>
              </w:rPr>
              <w:t>12</w:t>
            </w:r>
          </w:p>
        </w:tc>
        <w:tc>
          <w:tcPr>
            <w:tcW w:w="720" w:type="dxa"/>
          </w:tcPr>
          <w:p w14:paraId="65FEFF40" w14:textId="77777777" w:rsidR="006A0564" w:rsidRPr="00366B29" w:rsidRDefault="004D52D1" w:rsidP="006A0564">
            <w:pPr>
              <w:jc w:val="center"/>
              <w:rPr>
                <w:rFonts w:cs="Calibri"/>
                <w:b/>
                <w:szCs w:val="22"/>
              </w:rPr>
            </w:pPr>
            <w:r w:rsidRPr="004D52D1">
              <w:rPr>
                <w:rFonts w:cs="Calibri"/>
                <w:b/>
                <w:szCs w:val="22"/>
              </w:rPr>
              <w:t>Yes</w:t>
            </w:r>
          </w:p>
        </w:tc>
        <w:tc>
          <w:tcPr>
            <w:tcW w:w="630" w:type="dxa"/>
          </w:tcPr>
          <w:p w14:paraId="02932E51" w14:textId="77777777" w:rsidR="006A0564" w:rsidRPr="00366B29" w:rsidRDefault="004D52D1" w:rsidP="006A0564">
            <w:pPr>
              <w:jc w:val="center"/>
              <w:rPr>
                <w:rFonts w:cs="Calibri"/>
                <w:b/>
                <w:szCs w:val="22"/>
              </w:rPr>
            </w:pPr>
            <w:r w:rsidRPr="004D52D1">
              <w:rPr>
                <w:rFonts w:cs="Calibri"/>
                <w:b/>
                <w:szCs w:val="22"/>
              </w:rPr>
              <w:t>No</w:t>
            </w:r>
          </w:p>
        </w:tc>
        <w:tc>
          <w:tcPr>
            <w:tcW w:w="630" w:type="dxa"/>
          </w:tcPr>
          <w:p w14:paraId="63649AC3" w14:textId="77777777" w:rsidR="006A0564" w:rsidRPr="00366B29" w:rsidRDefault="006A0564" w:rsidP="006A0564">
            <w:pPr>
              <w:jc w:val="center"/>
              <w:rPr>
                <w:rFonts w:cs="Calibri"/>
                <w:b/>
                <w:szCs w:val="22"/>
              </w:rPr>
            </w:pPr>
            <w:r w:rsidRPr="00366B29">
              <w:rPr>
                <w:rFonts w:cs="Calibri"/>
                <w:b/>
                <w:szCs w:val="22"/>
              </w:rPr>
              <w:t>N/A</w:t>
            </w:r>
          </w:p>
        </w:tc>
        <w:tc>
          <w:tcPr>
            <w:tcW w:w="2807" w:type="dxa"/>
          </w:tcPr>
          <w:p w14:paraId="259213AB" w14:textId="77777777" w:rsidR="006A0564" w:rsidRPr="00366B29" w:rsidRDefault="00C91E5C" w:rsidP="006A0564">
            <w:pPr>
              <w:rPr>
                <w:rFonts w:cs="Calibri"/>
                <w:b/>
                <w:szCs w:val="22"/>
              </w:rPr>
            </w:pPr>
            <w:r w:rsidRPr="00366B29">
              <w:rPr>
                <w:rFonts w:cs="Calibri"/>
                <w:b/>
                <w:szCs w:val="22"/>
              </w:rPr>
              <w:t xml:space="preserve">Violation location </w:t>
            </w:r>
          </w:p>
        </w:tc>
      </w:tr>
      <w:tr w:rsidR="003A58E9" w:rsidRPr="00366B29" w14:paraId="768F771B" w14:textId="77777777" w:rsidTr="003D5E76">
        <w:tc>
          <w:tcPr>
            <w:tcW w:w="6228" w:type="dxa"/>
          </w:tcPr>
          <w:p w14:paraId="7B28E7FB" w14:textId="16963480" w:rsidR="00776629" w:rsidRPr="00AE48D8" w:rsidRDefault="00A44115" w:rsidP="00A44115">
            <w:pPr>
              <w:spacing w:after="120"/>
              <w:ind w:left="317" w:hanging="317"/>
              <w:rPr>
                <w:rFonts w:cs="Calibri"/>
                <w:szCs w:val="22"/>
              </w:rPr>
            </w:pPr>
            <w:r w:rsidRPr="00A44115">
              <w:rPr>
                <w:rFonts w:cs="Calibri"/>
                <w:b/>
                <w:bCs/>
                <w:szCs w:val="22"/>
              </w:rPr>
              <w:t>11.</w:t>
            </w:r>
            <w:r>
              <w:rPr>
                <w:rFonts w:cs="Calibri"/>
                <w:szCs w:val="22"/>
              </w:rPr>
              <w:t xml:space="preserve"> </w:t>
            </w:r>
            <w:r w:rsidR="003A58E9" w:rsidRPr="00366B29">
              <w:rPr>
                <w:rFonts w:cs="Calibri"/>
                <w:szCs w:val="22"/>
              </w:rPr>
              <w:t>Exterior switches and receptacles are covered by securely fastened weather-proof plates</w:t>
            </w:r>
            <w:r w:rsidR="00686713" w:rsidRPr="00366B29">
              <w:rPr>
                <w:rFonts w:cs="Calibri"/>
                <w:szCs w:val="22"/>
              </w:rPr>
              <w:t xml:space="preserve"> and fixtures are securely mounted with no exposed wires</w:t>
            </w:r>
            <w:r w:rsidR="003A58E9" w:rsidRPr="00366B29">
              <w:rPr>
                <w:rFonts w:cs="Calibri"/>
                <w:szCs w:val="22"/>
              </w:rPr>
              <w:t>.</w:t>
            </w:r>
          </w:p>
        </w:tc>
        <w:tc>
          <w:tcPr>
            <w:tcW w:w="720" w:type="dxa"/>
          </w:tcPr>
          <w:p w14:paraId="6B5892CC" w14:textId="77777777" w:rsidR="003A58E9" w:rsidRPr="00366B29" w:rsidRDefault="003A58E9">
            <w:pPr>
              <w:jc w:val="center"/>
              <w:rPr>
                <w:rFonts w:cs="Calibri"/>
                <w:szCs w:val="22"/>
              </w:rPr>
            </w:pPr>
          </w:p>
        </w:tc>
        <w:tc>
          <w:tcPr>
            <w:tcW w:w="630" w:type="dxa"/>
          </w:tcPr>
          <w:p w14:paraId="40049DD0" w14:textId="77777777" w:rsidR="003A58E9" w:rsidRPr="00366B29" w:rsidRDefault="003A58E9">
            <w:pPr>
              <w:jc w:val="center"/>
              <w:rPr>
                <w:rFonts w:cs="Calibri"/>
                <w:szCs w:val="22"/>
              </w:rPr>
            </w:pPr>
          </w:p>
        </w:tc>
        <w:tc>
          <w:tcPr>
            <w:tcW w:w="630" w:type="dxa"/>
          </w:tcPr>
          <w:p w14:paraId="0C26F83A" w14:textId="77777777" w:rsidR="003A58E9" w:rsidRPr="00366B29" w:rsidRDefault="003A58E9">
            <w:pPr>
              <w:jc w:val="center"/>
              <w:rPr>
                <w:rFonts w:cs="Calibri"/>
                <w:szCs w:val="22"/>
              </w:rPr>
            </w:pPr>
          </w:p>
        </w:tc>
        <w:tc>
          <w:tcPr>
            <w:tcW w:w="2807" w:type="dxa"/>
          </w:tcPr>
          <w:p w14:paraId="4E0D7D5F" w14:textId="77777777" w:rsidR="003A58E9" w:rsidRPr="00366B29" w:rsidRDefault="003A58E9">
            <w:pPr>
              <w:spacing w:before="60"/>
              <w:rPr>
                <w:rFonts w:cs="Calibri"/>
                <w:szCs w:val="22"/>
              </w:rPr>
            </w:pPr>
          </w:p>
        </w:tc>
      </w:tr>
      <w:tr w:rsidR="003A58E9" w:rsidRPr="00366B29" w14:paraId="6A72BE41" w14:textId="77777777" w:rsidTr="003D5E76">
        <w:tc>
          <w:tcPr>
            <w:tcW w:w="6228" w:type="dxa"/>
          </w:tcPr>
          <w:p w14:paraId="78D93F97" w14:textId="5CDFFB23" w:rsidR="00981764" w:rsidRPr="00366B29" w:rsidRDefault="00A44115" w:rsidP="00A44115">
            <w:pPr>
              <w:ind w:left="317" w:hanging="317"/>
              <w:rPr>
                <w:rFonts w:cs="Calibri"/>
                <w:szCs w:val="22"/>
              </w:rPr>
            </w:pPr>
            <w:r w:rsidRPr="00A44115">
              <w:rPr>
                <w:rFonts w:cs="Calibri"/>
                <w:b/>
                <w:bCs/>
                <w:szCs w:val="22"/>
              </w:rPr>
              <w:t>12.</w:t>
            </w:r>
            <w:r>
              <w:rPr>
                <w:rFonts w:cs="Calibri"/>
                <w:szCs w:val="22"/>
              </w:rPr>
              <w:t xml:space="preserve"> </w:t>
            </w:r>
            <w:r w:rsidR="00981764" w:rsidRPr="00366B29">
              <w:rPr>
                <w:rFonts w:cs="Calibri"/>
                <w:szCs w:val="22"/>
              </w:rPr>
              <w:t xml:space="preserve">All exterior exits are </w:t>
            </w:r>
            <w:r w:rsidR="00A75E0E" w:rsidRPr="00366B29">
              <w:rPr>
                <w:rFonts w:cs="Calibri"/>
                <w:szCs w:val="22"/>
              </w:rPr>
              <w:t>in good condition</w:t>
            </w:r>
            <w:r w:rsidR="00250ED4">
              <w:rPr>
                <w:rFonts w:cs="Calibri"/>
                <w:szCs w:val="22"/>
              </w:rPr>
              <w:t>, locked from outside access</w:t>
            </w:r>
            <w:r w:rsidR="00142628">
              <w:rPr>
                <w:rFonts w:cs="Calibri"/>
                <w:szCs w:val="22"/>
              </w:rPr>
              <w:t>, are</w:t>
            </w:r>
            <w:r w:rsidR="00A75E0E" w:rsidRPr="00366B29">
              <w:rPr>
                <w:rFonts w:cs="Calibri"/>
                <w:szCs w:val="22"/>
              </w:rPr>
              <w:t xml:space="preserve"> </w:t>
            </w:r>
            <w:r w:rsidR="00981764" w:rsidRPr="00366B29">
              <w:rPr>
                <w:rFonts w:cs="Calibri"/>
                <w:szCs w:val="22"/>
              </w:rPr>
              <w:t xml:space="preserve">readily </w:t>
            </w:r>
            <w:r w:rsidR="00A75E0E" w:rsidRPr="00366B29">
              <w:rPr>
                <w:rFonts w:cs="Calibri"/>
                <w:szCs w:val="22"/>
              </w:rPr>
              <w:t>accessible</w:t>
            </w:r>
            <w:r w:rsidR="00981764" w:rsidRPr="00366B29">
              <w:rPr>
                <w:rFonts w:cs="Calibri"/>
                <w:szCs w:val="22"/>
              </w:rPr>
              <w:t xml:space="preserve"> and free of obstructions for use in an emergency</w:t>
            </w:r>
            <w:r w:rsidR="00142628">
              <w:rPr>
                <w:rFonts w:cs="Calibri"/>
                <w:szCs w:val="22"/>
              </w:rPr>
              <w:t>,</w:t>
            </w:r>
            <w:r w:rsidR="00981764" w:rsidRPr="00366B29">
              <w:rPr>
                <w:rFonts w:cs="Calibri"/>
                <w:szCs w:val="22"/>
              </w:rPr>
              <w:t xml:space="preserve"> including:</w:t>
            </w:r>
          </w:p>
          <w:p w14:paraId="41697C91" w14:textId="588CFD02" w:rsidR="003A58E9" w:rsidRPr="00366B29" w:rsidRDefault="003A58E9" w:rsidP="00AE48D8">
            <w:pPr>
              <w:numPr>
                <w:ilvl w:val="0"/>
                <w:numId w:val="3"/>
              </w:numPr>
              <w:rPr>
                <w:rFonts w:cs="Calibri"/>
                <w:szCs w:val="22"/>
              </w:rPr>
            </w:pPr>
            <w:r w:rsidRPr="00366B29">
              <w:rPr>
                <w:rFonts w:cs="Calibri"/>
                <w:szCs w:val="22"/>
              </w:rPr>
              <w:t>Fire escapes and/or exterior stairs can be safely negotiated</w:t>
            </w:r>
            <w:r w:rsidR="00A75E0E" w:rsidRPr="00366B29">
              <w:rPr>
                <w:rFonts w:cs="Calibri"/>
                <w:szCs w:val="22"/>
              </w:rPr>
              <w:t>.</w:t>
            </w:r>
            <w:r w:rsidR="00250ED4">
              <w:rPr>
                <w:rFonts w:cs="Calibri"/>
                <w:szCs w:val="22"/>
              </w:rPr>
              <w:t xml:space="preserve"> Exterior doors shall not be propped open.</w:t>
            </w:r>
          </w:p>
          <w:p w14:paraId="56DED274" w14:textId="664128FA" w:rsidR="00776629" w:rsidRPr="00AE48D8" w:rsidRDefault="00981764" w:rsidP="00AE48D8">
            <w:pPr>
              <w:numPr>
                <w:ilvl w:val="0"/>
                <w:numId w:val="3"/>
              </w:numPr>
              <w:spacing w:after="120"/>
              <w:rPr>
                <w:rFonts w:cs="Calibri"/>
                <w:szCs w:val="22"/>
              </w:rPr>
            </w:pPr>
            <w:r w:rsidRPr="00366B29">
              <w:rPr>
                <w:rFonts w:cs="Calibri"/>
                <w:szCs w:val="22"/>
              </w:rPr>
              <w:t xml:space="preserve">Panic hardware is provided on exit doors of all spaces with an occupancy load/capacity </w:t>
            </w:r>
            <w:r w:rsidR="00C3212E" w:rsidRPr="00366B29">
              <w:rPr>
                <w:rFonts w:cs="Calibri"/>
                <w:szCs w:val="22"/>
              </w:rPr>
              <w:t>greater than 50</w:t>
            </w:r>
            <w:r w:rsidRPr="00366B29">
              <w:rPr>
                <w:rFonts w:cs="Calibri"/>
                <w:szCs w:val="22"/>
              </w:rPr>
              <w:t>.</w:t>
            </w:r>
          </w:p>
        </w:tc>
        <w:tc>
          <w:tcPr>
            <w:tcW w:w="720" w:type="dxa"/>
          </w:tcPr>
          <w:p w14:paraId="3D3C9D82" w14:textId="77777777" w:rsidR="003A58E9" w:rsidRPr="00366B29" w:rsidRDefault="003A58E9">
            <w:pPr>
              <w:jc w:val="center"/>
              <w:rPr>
                <w:rFonts w:cs="Calibri"/>
                <w:szCs w:val="22"/>
              </w:rPr>
            </w:pPr>
          </w:p>
        </w:tc>
        <w:tc>
          <w:tcPr>
            <w:tcW w:w="630" w:type="dxa"/>
          </w:tcPr>
          <w:p w14:paraId="5973573F" w14:textId="77777777" w:rsidR="003A58E9" w:rsidRPr="00366B29" w:rsidRDefault="003A58E9">
            <w:pPr>
              <w:jc w:val="center"/>
              <w:rPr>
                <w:rFonts w:cs="Calibri"/>
                <w:szCs w:val="22"/>
              </w:rPr>
            </w:pPr>
          </w:p>
        </w:tc>
        <w:tc>
          <w:tcPr>
            <w:tcW w:w="630" w:type="dxa"/>
          </w:tcPr>
          <w:p w14:paraId="38E6EF9E" w14:textId="77777777" w:rsidR="003A58E9" w:rsidRPr="00366B29" w:rsidRDefault="003A58E9">
            <w:pPr>
              <w:jc w:val="center"/>
              <w:rPr>
                <w:rFonts w:cs="Calibri"/>
                <w:szCs w:val="22"/>
              </w:rPr>
            </w:pPr>
          </w:p>
        </w:tc>
        <w:tc>
          <w:tcPr>
            <w:tcW w:w="2807" w:type="dxa"/>
          </w:tcPr>
          <w:p w14:paraId="19D06300" w14:textId="77777777" w:rsidR="004A2E40" w:rsidRPr="00366B29" w:rsidRDefault="004A2E40" w:rsidP="00071DB3">
            <w:pPr>
              <w:spacing w:before="60"/>
              <w:rPr>
                <w:rFonts w:cs="Calibri"/>
                <w:szCs w:val="22"/>
              </w:rPr>
            </w:pPr>
          </w:p>
        </w:tc>
      </w:tr>
    </w:tbl>
    <w:p w14:paraId="4D4BE634" w14:textId="77777777" w:rsidR="001B2B83" w:rsidRPr="001B2B83" w:rsidRDefault="001B2B83">
      <w:pPr>
        <w:rPr>
          <w:sz w:val="4"/>
          <w:szCs w:val="4"/>
        </w:rPr>
      </w:pPr>
    </w:p>
    <w:tbl>
      <w:tblPr>
        <w:tblStyle w:val="TableGrid"/>
        <w:tblW w:w="11015" w:type="dxa"/>
        <w:tblLayout w:type="fixed"/>
        <w:tblLook w:val="0020" w:firstRow="1" w:lastRow="0" w:firstColumn="0" w:lastColumn="0" w:noHBand="0" w:noVBand="0"/>
      </w:tblPr>
      <w:tblGrid>
        <w:gridCol w:w="6228"/>
        <w:gridCol w:w="720"/>
        <w:gridCol w:w="630"/>
        <w:gridCol w:w="630"/>
        <w:gridCol w:w="2807"/>
      </w:tblGrid>
      <w:tr w:rsidR="003A58E9" w:rsidRPr="00366B29" w14:paraId="7250F715" w14:textId="77777777" w:rsidTr="003D5E76">
        <w:trPr>
          <w:tblHeader/>
        </w:trPr>
        <w:tc>
          <w:tcPr>
            <w:tcW w:w="6228" w:type="dxa"/>
            <w:shd w:val="clear" w:color="auto" w:fill="F2F2F2" w:themeFill="background1" w:themeFillShade="F2"/>
          </w:tcPr>
          <w:p w14:paraId="4EF9B9D9" w14:textId="70E2F131" w:rsidR="003A58E9" w:rsidRPr="00366B29" w:rsidRDefault="00C91E5C" w:rsidP="00856B92">
            <w:pPr>
              <w:tabs>
                <w:tab w:val="num" w:pos="360"/>
              </w:tabs>
              <w:ind w:left="360" w:hanging="360"/>
              <w:jc w:val="both"/>
              <w:rPr>
                <w:rFonts w:cs="Calibri"/>
                <w:b/>
                <w:szCs w:val="22"/>
              </w:rPr>
            </w:pPr>
            <w:r w:rsidRPr="00366B29">
              <w:rPr>
                <w:rFonts w:cs="Calibri"/>
                <w:b/>
                <w:szCs w:val="22"/>
              </w:rPr>
              <w:t>Interior</w:t>
            </w:r>
            <w:r w:rsidR="00D95275" w:rsidRPr="00366B29">
              <w:rPr>
                <w:rFonts w:cs="Calibri"/>
                <w:b/>
                <w:szCs w:val="22"/>
              </w:rPr>
              <w:t xml:space="preserve"> #13</w:t>
            </w:r>
            <w:r w:rsidR="002A0550" w:rsidRPr="00366B29">
              <w:rPr>
                <w:rFonts w:cs="Calibri"/>
                <w:b/>
                <w:szCs w:val="22"/>
              </w:rPr>
              <w:t xml:space="preserve"> </w:t>
            </w:r>
            <w:r w:rsidR="00D357D0">
              <w:rPr>
                <w:rFonts w:cs="Calibri"/>
                <w:b/>
                <w:szCs w:val="22"/>
              </w:rPr>
              <w:t xml:space="preserve">to </w:t>
            </w:r>
            <w:r w:rsidR="002A0550" w:rsidRPr="00366B29">
              <w:rPr>
                <w:rFonts w:cs="Calibri"/>
                <w:b/>
                <w:szCs w:val="22"/>
              </w:rPr>
              <w:t>#</w:t>
            </w:r>
            <w:r w:rsidR="00D95275" w:rsidRPr="00366B29">
              <w:rPr>
                <w:rFonts w:cs="Calibri"/>
                <w:b/>
                <w:szCs w:val="22"/>
              </w:rPr>
              <w:t>21</w:t>
            </w:r>
          </w:p>
        </w:tc>
        <w:tc>
          <w:tcPr>
            <w:tcW w:w="720" w:type="dxa"/>
          </w:tcPr>
          <w:p w14:paraId="5D5BABCC" w14:textId="77777777" w:rsidR="003A58E9" w:rsidRPr="00366B29" w:rsidRDefault="004D52D1">
            <w:pPr>
              <w:jc w:val="center"/>
              <w:rPr>
                <w:rFonts w:cs="Calibri"/>
                <w:b/>
                <w:szCs w:val="22"/>
              </w:rPr>
            </w:pPr>
            <w:r w:rsidRPr="004D52D1">
              <w:rPr>
                <w:rFonts w:cs="Calibri"/>
                <w:b/>
                <w:szCs w:val="22"/>
              </w:rPr>
              <w:t>Yes</w:t>
            </w:r>
          </w:p>
        </w:tc>
        <w:tc>
          <w:tcPr>
            <w:tcW w:w="630" w:type="dxa"/>
          </w:tcPr>
          <w:p w14:paraId="20DA9584" w14:textId="77777777" w:rsidR="003A58E9" w:rsidRPr="00366B29" w:rsidRDefault="004D52D1">
            <w:pPr>
              <w:jc w:val="center"/>
              <w:rPr>
                <w:rFonts w:cs="Calibri"/>
                <w:b/>
                <w:szCs w:val="22"/>
              </w:rPr>
            </w:pPr>
            <w:r w:rsidRPr="004D52D1">
              <w:rPr>
                <w:rFonts w:cs="Calibri"/>
                <w:b/>
                <w:szCs w:val="22"/>
              </w:rPr>
              <w:t>No</w:t>
            </w:r>
          </w:p>
        </w:tc>
        <w:tc>
          <w:tcPr>
            <w:tcW w:w="630" w:type="dxa"/>
          </w:tcPr>
          <w:p w14:paraId="7CA6ABB6" w14:textId="77777777" w:rsidR="003A58E9" w:rsidRPr="00366B29" w:rsidRDefault="00FF4937">
            <w:pPr>
              <w:jc w:val="center"/>
              <w:rPr>
                <w:rFonts w:cs="Calibri"/>
                <w:b/>
                <w:szCs w:val="22"/>
              </w:rPr>
            </w:pPr>
            <w:r w:rsidRPr="00366B29">
              <w:rPr>
                <w:rFonts w:cs="Calibri"/>
                <w:b/>
                <w:szCs w:val="22"/>
              </w:rPr>
              <w:t>N/A</w:t>
            </w:r>
          </w:p>
        </w:tc>
        <w:tc>
          <w:tcPr>
            <w:tcW w:w="2807" w:type="dxa"/>
          </w:tcPr>
          <w:p w14:paraId="21165F41" w14:textId="77777777" w:rsidR="003A58E9" w:rsidRPr="00366B29" w:rsidRDefault="00C91E5C">
            <w:pPr>
              <w:rPr>
                <w:rFonts w:cs="Calibri"/>
                <w:b/>
                <w:szCs w:val="22"/>
              </w:rPr>
            </w:pPr>
            <w:r w:rsidRPr="00366B29">
              <w:rPr>
                <w:rFonts w:cs="Calibri"/>
                <w:b/>
                <w:szCs w:val="22"/>
              </w:rPr>
              <w:t>Violation Location</w:t>
            </w:r>
          </w:p>
        </w:tc>
      </w:tr>
      <w:tr w:rsidR="003A58E9" w:rsidRPr="00366B29" w14:paraId="3BA6D708" w14:textId="77777777" w:rsidTr="003D5E76">
        <w:tc>
          <w:tcPr>
            <w:tcW w:w="6228" w:type="dxa"/>
          </w:tcPr>
          <w:p w14:paraId="26C2B9B6" w14:textId="21A52502" w:rsidR="00776629" w:rsidRPr="00AE48D8" w:rsidRDefault="00A44115" w:rsidP="00A44115">
            <w:pPr>
              <w:spacing w:after="120"/>
              <w:ind w:left="317" w:hanging="317"/>
              <w:rPr>
                <w:rFonts w:cs="Calibri"/>
                <w:szCs w:val="22"/>
              </w:rPr>
            </w:pPr>
            <w:r w:rsidRPr="00A44115">
              <w:rPr>
                <w:rFonts w:cs="Calibri"/>
                <w:b/>
                <w:bCs/>
                <w:szCs w:val="22"/>
              </w:rPr>
              <w:t>13</w:t>
            </w:r>
            <w:r>
              <w:rPr>
                <w:rFonts w:cs="Calibri"/>
                <w:szCs w:val="22"/>
              </w:rPr>
              <w:t xml:space="preserve">. </w:t>
            </w:r>
            <w:r w:rsidR="00981764" w:rsidRPr="00366B29">
              <w:rPr>
                <w:rFonts w:cs="Calibri"/>
                <w:szCs w:val="22"/>
              </w:rPr>
              <w:t>All electrical outlets</w:t>
            </w:r>
            <w:r w:rsidR="00131BBA">
              <w:rPr>
                <w:rFonts w:cs="Calibri"/>
                <w:szCs w:val="22"/>
              </w:rPr>
              <w:t>,</w:t>
            </w:r>
            <w:r w:rsidR="00981764" w:rsidRPr="00366B29">
              <w:rPr>
                <w:rFonts w:cs="Calibri"/>
                <w:szCs w:val="22"/>
              </w:rPr>
              <w:t xml:space="preserve"> s</w:t>
            </w:r>
            <w:r w:rsidR="003A58E9" w:rsidRPr="00366B29">
              <w:rPr>
                <w:rFonts w:cs="Calibri"/>
                <w:szCs w:val="22"/>
              </w:rPr>
              <w:t>witches, receptacles and junction boxes</w:t>
            </w:r>
            <w:r w:rsidR="00C35E63">
              <w:rPr>
                <w:rFonts w:cs="Calibri"/>
                <w:szCs w:val="22"/>
              </w:rPr>
              <w:t>,</w:t>
            </w:r>
            <w:r w:rsidR="00981764" w:rsidRPr="00366B29">
              <w:rPr>
                <w:rFonts w:cs="Calibri"/>
                <w:szCs w:val="22"/>
              </w:rPr>
              <w:t xml:space="preserve"> electric wires</w:t>
            </w:r>
            <w:r w:rsidR="00C35E63">
              <w:rPr>
                <w:rFonts w:cs="Calibri"/>
                <w:szCs w:val="22"/>
              </w:rPr>
              <w:t>,</w:t>
            </w:r>
            <w:r w:rsidR="00981764" w:rsidRPr="00366B29">
              <w:rPr>
                <w:rFonts w:cs="Calibri"/>
                <w:szCs w:val="22"/>
              </w:rPr>
              <w:t xml:space="preserve"> </w:t>
            </w:r>
            <w:r w:rsidR="00A75E0E" w:rsidRPr="00366B29">
              <w:rPr>
                <w:rFonts w:cs="Calibri"/>
                <w:szCs w:val="22"/>
              </w:rPr>
              <w:t>fuses and/or circuit breaker panels</w:t>
            </w:r>
            <w:r w:rsidR="00131BBA">
              <w:rPr>
                <w:rFonts w:cs="Calibri"/>
                <w:szCs w:val="22"/>
              </w:rPr>
              <w:t>,</w:t>
            </w:r>
            <w:r w:rsidR="00A75E0E" w:rsidRPr="00366B29">
              <w:rPr>
                <w:rFonts w:cs="Calibri"/>
                <w:szCs w:val="22"/>
              </w:rPr>
              <w:t xml:space="preserve"> </w:t>
            </w:r>
            <w:r w:rsidR="00981764" w:rsidRPr="00366B29">
              <w:rPr>
                <w:rFonts w:cs="Calibri"/>
                <w:szCs w:val="22"/>
              </w:rPr>
              <w:t>etc.</w:t>
            </w:r>
            <w:r w:rsidR="00C35E63">
              <w:rPr>
                <w:rFonts w:cs="Calibri"/>
                <w:szCs w:val="22"/>
              </w:rPr>
              <w:t>,</w:t>
            </w:r>
            <w:r w:rsidR="00981764" w:rsidRPr="00366B29">
              <w:rPr>
                <w:rFonts w:cs="Calibri"/>
                <w:szCs w:val="22"/>
              </w:rPr>
              <w:t xml:space="preserve"> are properly covered and/</w:t>
            </w:r>
            <w:r w:rsidR="00AE35DD" w:rsidRPr="00366B29">
              <w:rPr>
                <w:rFonts w:cs="Calibri"/>
                <w:szCs w:val="22"/>
              </w:rPr>
              <w:t>or secured</w:t>
            </w:r>
            <w:r w:rsidR="002E6CD5" w:rsidRPr="00366B29">
              <w:rPr>
                <w:rFonts w:cs="Calibri"/>
                <w:szCs w:val="22"/>
              </w:rPr>
              <w:t xml:space="preserve"> and/or protected</w:t>
            </w:r>
            <w:r w:rsidR="00A75E0E" w:rsidRPr="00366B29">
              <w:rPr>
                <w:rFonts w:cs="Calibri"/>
                <w:szCs w:val="22"/>
              </w:rPr>
              <w:t>.</w:t>
            </w:r>
          </w:p>
        </w:tc>
        <w:tc>
          <w:tcPr>
            <w:tcW w:w="720" w:type="dxa"/>
          </w:tcPr>
          <w:p w14:paraId="175B3FE7" w14:textId="77777777" w:rsidR="003A58E9" w:rsidRPr="00366B29" w:rsidRDefault="003A58E9">
            <w:pPr>
              <w:jc w:val="center"/>
              <w:rPr>
                <w:rFonts w:cs="Calibri"/>
                <w:szCs w:val="22"/>
              </w:rPr>
            </w:pPr>
          </w:p>
        </w:tc>
        <w:tc>
          <w:tcPr>
            <w:tcW w:w="630" w:type="dxa"/>
          </w:tcPr>
          <w:p w14:paraId="22AF5105" w14:textId="77777777" w:rsidR="003A58E9" w:rsidRPr="00366B29" w:rsidRDefault="003A58E9">
            <w:pPr>
              <w:jc w:val="center"/>
              <w:rPr>
                <w:rFonts w:cs="Calibri"/>
                <w:szCs w:val="22"/>
              </w:rPr>
            </w:pPr>
          </w:p>
        </w:tc>
        <w:tc>
          <w:tcPr>
            <w:tcW w:w="630" w:type="dxa"/>
          </w:tcPr>
          <w:p w14:paraId="3AC3E6F6" w14:textId="77777777" w:rsidR="003A58E9" w:rsidRPr="00366B29" w:rsidRDefault="003A58E9">
            <w:pPr>
              <w:jc w:val="center"/>
              <w:rPr>
                <w:rFonts w:cs="Calibri"/>
                <w:szCs w:val="22"/>
              </w:rPr>
            </w:pPr>
          </w:p>
        </w:tc>
        <w:tc>
          <w:tcPr>
            <w:tcW w:w="2807" w:type="dxa"/>
          </w:tcPr>
          <w:p w14:paraId="08804369" w14:textId="77777777" w:rsidR="00F552E8" w:rsidRPr="00366B29" w:rsidRDefault="00F552E8" w:rsidP="00682B69">
            <w:pPr>
              <w:spacing w:before="60"/>
              <w:rPr>
                <w:rFonts w:cs="Calibri"/>
                <w:szCs w:val="22"/>
              </w:rPr>
            </w:pPr>
          </w:p>
        </w:tc>
      </w:tr>
      <w:tr w:rsidR="007B5051" w:rsidRPr="00366B29" w14:paraId="361EC7D0" w14:textId="77777777" w:rsidTr="003D5E76">
        <w:tc>
          <w:tcPr>
            <w:tcW w:w="6228" w:type="dxa"/>
          </w:tcPr>
          <w:p w14:paraId="6E4778C4" w14:textId="725BBC3B" w:rsidR="00776629" w:rsidRPr="00AE48D8" w:rsidRDefault="00A44115" w:rsidP="00A44115">
            <w:pPr>
              <w:spacing w:after="120"/>
              <w:ind w:left="317" w:hanging="317"/>
              <w:rPr>
                <w:rFonts w:cs="Calibri"/>
                <w:szCs w:val="22"/>
              </w:rPr>
            </w:pPr>
            <w:r w:rsidRPr="00A44115">
              <w:rPr>
                <w:rFonts w:cs="Calibri"/>
                <w:b/>
                <w:bCs/>
                <w:szCs w:val="22"/>
              </w:rPr>
              <w:t>14</w:t>
            </w:r>
            <w:r>
              <w:rPr>
                <w:rFonts w:cs="Calibri"/>
                <w:szCs w:val="22"/>
              </w:rPr>
              <w:t xml:space="preserve">. </w:t>
            </w:r>
            <w:r w:rsidR="007B5051" w:rsidRPr="00366B29">
              <w:rPr>
                <w:rFonts w:cs="Calibri"/>
                <w:szCs w:val="22"/>
              </w:rPr>
              <w:t xml:space="preserve">Sufficient access and working space </w:t>
            </w:r>
            <w:r w:rsidR="00131BBA">
              <w:rPr>
                <w:rFonts w:cs="Calibri"/>
                <w:szCs w:val="22"/>
              </w:rPr>
              <w:t>are</w:t>
            </w:r>
            <w:r w:rsidR="007B5051" w:rsidRPr="00366B29">
              <w:rPr>
                <w:rFonts w:cs="Calibri"/>
                <w:szCs w:val="22"/>
              </w:rPr>
              <w:t xml:space="preserve"> provided and maintained around all electrical </w:t>
            </w:r>
            <w:r w:rsidR="00131BBA">
              <w:rPr>
                <w:rFonts w:cs="Calibri"/>
                <w:szCs w:val="22"/>
              </w:rPr>
              <w:t>systems equipment</w:t>
            </w:r>
            <w:r w:rsidR="007B5051" w:rsidRPr="00366B29">
              <w:rPr>
                <w:rFonts w:cs="Calibri"/>
                <w:szCs w:val="22"/>
              </w:rPr>
              <w:t>. Items, especially combustibles, are a minimum of 36 inches from electrical power sources or equipment</w:t>
            </w:r>
            <w:r w:rsidR="002B4CAD">
              <w:rPr>
                <w:rFonts w:cs="Calibri"/>
                <w:szCs w:val="22"/>
              </w:rPr>
              <w:t>,</w:t>
            </w:r>
            <w:r w:rsidR="007B5051" w:rsidRPr="00366B29">
              <w:rPr>
                <w:rFonts w:cs="Calibri"/>
                <w:szCs w:val="22"/>
              </w:rPr>
              <w:t xml:space="preserve"> i.e.</w:t>
            </w:r>
            <w:r w:rsidR="00BF51F3">
              <w:rPr>
                <w:rFonts w:cs="Calibri"/>
                <w:szCs w:val="22"/>
              </w:rPr>
              <w:t>,</w:t>
            </w:r>
            <w:r w:rsidR="007B5051" w:rsidRPr="00366B29">
              <w:rPr>
                <w:rFonts w:cs="Calibri"/>
                <w:szCs w:val="22"/>
              </w:rPr>
              <w:t xml:space="preserve"> circuit breaker panels, fuse boxes, transformers.</w:t>
            </w:r>
          </w:p>
        </w:tc>
        <w:tc>
          <w:tcPr>
            <w:tcW w:w="720" w:type="dxa"/>
          </w:tcPr>
          <w:p w14:paraId="46F0F11D" w14:textId="77777777" w:rsidR="007B5051" w:rsidRPr="00366B29" w:rsidRDefault="007B5051" w:rsidP="006E475E">
            <w:pPr>
              <w:jc w:val="center"/>
              <w:rPr>
                <w:rFonts w:cs="Calibri"/>
                <w:szCs w:val="22"/>
              </w:rPr>
            </w:pPr>
          </w:p>
        </w:tc>
        <w:tc>
          <w:tcPr>
            <w:tcW w:w="630" w:type="dxa"/>
          </w:tcPr>
          <w:p w14:paraId="245EAD65" w14:textId="77777777" w:rsidR="007B5051" w:rsidRPr="00366B29" w:rsidRDefault="007B5051">
            <w:pPr>
              <w:jc w:val="center"/>
              <w:rPr>
                <w:rFonts w:cs="Calibri"/>
                <w:szCs w:val="22"/>
              </w:rPr>
            </w:pPr>
          </w:p>
        </w:tc>
        <w:tc>
          <w:tcPr>
            <w:tcW w:w="630" w:type="dxa"/>
          </w:tcPr>
          <w:p w14:paraId="5F2EB695" w14:textId="77777777" w:rsidR="007B5051" w:rsidRPr="00366B29" w:rsidRDefault="007B5051">
            <w:pPr>
              <w:jc w:val="center"/>
              <w:rPr>
                <w:rFonts w:cs="Calibri"/>
                <w:szCs w:val="22"/>
              </w:rPr>
            </w:pPr>
          </w:p>
        </w:tc>
        <w:tc>
          <w:tcPr>
            <w:tcW w:w="2807" w:type="dxa"/>
          </w:tcPr>
          <w:p w14:paraId="1E1F697E" w14:textId="77777777" w:rsidR="007B5051" w:rsidRPr="00366B29" w:rsidRDefault="007B5051">
            <w:pPr>
              <w:spacing w:before="60"/>
              <w:rPr>
                <w:rFonts w:cs="Calibri"/>
                <w:szCs w:val="22"/>
              </w:rPr>
            </w:pPr>
          </w:p>
        </w:tc>
      </w:tr>
      <w:tr w:rsidR="00F11E70" w:rsidRPr="00366B29" w14:paraId="380477BD" w14:textId="77777777" w:rsidTr="003D5E76">
        <w:tc>
          <w:tcPr>
            <w:tcW w:w="6228" w:type="dxa"/>
          </w:tcPr>
          <w:p w14:paraId="30FEE756" w14:textId="30B8E612" w:rsidR="00776629" w:rsidRPr="00AE48D8" w:rsidRDefault="00A44115" w:rsidP="00A44115">
            <w:pPr>
              <w:spacing w:after="120"/>
              <w:ind w:left="317" w:hanging="317"/>
              <w:rPr>
                <w:rFonts w:cs="Calibri"/>
                <w:szCs w:val="22"/>
              </w:rPr>
            </w:pPr>
            <w:r w:rsidRPr="00A44115">
              <w:rPr>
                <w:rFonts w:cs="Calibri"/>
                <w:b/>
                <w:bCs/>
                <w:szCs w:val="22"/>
              </w:rPr>
              <w:t>15.</w:t>
            </w:r>
            <w:r>
              <w:rPr>
                <w:rFonts w:cs="Calibri"/>
                <w:szCs w:val="22"/>
              </w:rPr>
              <w:t xml:space="preserve"> </w:t>
            </w:r>
            <w:r w:rsidR="00F11E70" w:rsidRPr="00366B29">
              <w:rPr>
                <w:rFonts w:cs="Calibri"/>
                <w:szCs w:val="22"/>
              </w:rPr>
              <w:t>Instructional areas are free of all unapproved construction</w:t>
            </w:r>
            <w:r w:rsidR="000E0CFC">
              <w:rPr>
                <w:rFonts w:cs="Calibri"/>
                <w:szCs w:val="22"/>
              </w:rPr>
              <w:t>,</w:t>
            </w:r>
            <w:r w:rsidR="00F11E70" w:rsidRPr="00366B29">
              <w:rPr>
                <w:rFonts w:cs="Calibri"/>
                <w:szCs w:val="22"/>
              </w:rPr>
              <w:t xml:space="preserve"> e.g.</w:t>
            </w:r>
            <w:r w:rsidR="000E0CFC">
              <w:rPr>
                <w:rFonts w:cs="Calibri"/>
                <w:szCs w:val="22"/>
              </w:rPr>
              <w:t>,</w:t>
            </w:r>
            <w:r w:rsidR="00F11E70" w:rsidRPr="00366B29">
              <w:rPr>
                <w:rFonts w:cs="Calibri"/>
                <w:szCs w:val="22"/>
              </w:rPr>
              <w:t xml:space="preserve"> walls</w:t>
            </w:r>
            <w:r w:rsidR="006E7239">
              <w:rPr>
                <w:rFonts w:cs="Calibri"/>
                <w:szCs w:val="22"/>
              </w:rPr>
              <w:t>,</w:t>
            </w:r>
            <w:r w:rsidR="00F11E70" w:rsidRPr="00366B29">
              <w:rPr>
                <w:rFonts w:cs="Calibri"/>
                <w:szCs w:val="22"/>
              </w:rPr>
              <w:t xml:space="preserve"> partitions</w:t>
            </w:r>
            <w:r w:rsidR="006E7239">
              <w:rPr>
                <w:rFonts w:cs="Calibri"/>
                <w:szCs w:val="22"/>
              </w:rPr>
              <w:t>,</w:t>
            </w:r>
            <w:r w:rsidR="00F11E70" w:rsidRPr="00366B29">
              <w:rPr>
                <w:rFonts w:cs="Calibri"/>
                <w:szCs w:val="22"/>
              </w:rPr>
              <w:t xml:space="preserve"> doors and stairs</w:t>
            </w:r>
            <w:r w:rsidR="000E0CFC">
              <w:rPr>
                <w:rFonts w:cs="Calibri"/>
                <w:szCs w:val="22"/>
              </w:rPr>
              <w:t>,</w:t>
            </w:r>
            <w:r w:rsidR="00F11E70" w:rsidRPr="00366B29">
              <w:rPr>
                <w:rFonts w:cs="Calibri"/>
                <w:szCs w:val="22"/>
              </w:rPr>
              <w:t xml:space="preserve"> etc.</w:t>
            </w:r>
          </w:p>
        </w:tc>
        <w:tc>
          <w:tcPr>
            <w:tcW w:w="720" w:type="dxa"/>
          </w:tcPr>
          <w:p w14:paraId="3DFD938D" w14:textId="77777777" w:rsidR="00F11E70" w:rsidRPr="00366B29" w:rsidRDefault="00F11E70" w:rsidP="00F05A99">
            <w:pPr>
              <w:jc w:val="center"/>
              <w:rPr>
                <w:rFonts w:cs="Calibri"/>
                <w:szCs w:val="22"/>
              </w:rPr>
            </w:pPr>
          </w:p>
        </w:tc>
        <w:tc>
          <w:tcPr>
            <w:tcW w:w="630" w:type="dxa"/>
          </w:tcPr>
          <w:p w14:paraId="441262BC" w14:textId="77777777" w:rsidR="00F11E70" w:rsidRPr="00366B29" w:rsidRDefault="00F11E70" w:rsidP="00F05A99">
            <w:pPr>
              <w:jc w:val="center"/>
              <w:rPr>
                <w:rFonts w:cs="Calibri"/>
                <w:szCs w:val="22"/>
              </w:rPr>
            </w:pPr>
          </w:p>
        </w:tc>
        <w:tc>
          <w:tcPr>
            <w:tcW w:w="630" w:type="dxa"/>
          </w:tcPr>
          <w:p w14:paraId="1062B053" w14:textId="77777777" w:rsidR="00F11E70" w:rsidRPr="00366B29" w:rsidRDefault="00F11E70" w:rsidP="00F05A99">
            <w:pPr>
              <w:jc w:val="center"/>
              <w:rPr>
                <w:rFonts w:cs="Calibri"/>
                <w:szCs w:val="22"/>
              </w:rPr>
            </w:pPr>
          </w:p>
        </w:tc>
        <w:tc>
          <w:tcPr>
            <w:tcW w:w="2807" w:type="dxa"/>
          </w:tcPr>
          <w:p w14:paraId="35131474" w14:textId="77777777" w:rsidR="00F11E70" w:rsidRPr="00366B29" w:rsidRDefault="00F11E70" w:rsidP="00F05A99">
            <w:pPr>
              <w:spacing w:before="60"/>
              <w:rPr>
                <w:rFonts w:cs="Calibri"/>
                <w:szCs w:val="22"/>
              </w:rPr>
            </w:pPr>
          </w:p>
        </w:tc>
      </w:tr>
      <w:tr w:rsidR="007B5051" w:rsidRPr="00366B29" w14:paraId="4590D474" w14:textId="77777777" w:rsidTr="003D5E76">
        <w:trPr>
          <w:trHeight w:val="638"/>
        </w:trPr>
        <w:tc>
          <w:tcPr>
            <w:tcW w:w="6228" w:type="dxa"/>
          </w:tcPr>
          <w:p w14:paraId="24DCD7FA" w14:textId="1EFEB9A4" w:rsidR="00776629" w:rsidRPr="00AE48D8" w:rsidRDefault="00A44115" w:rsidP="00A44115">
            <w:pPr>
              <w:spacing w:after="120"/>
              <w:ind w:left="317" w:hanging="317"/>
              <w:rPr>
                <w:rFonts w:cs="Calibri"/>
                <w:szCs w:val="22"/>
              </w:rPr>
            </w:pPr>
            <w:r w:rsidRPr="00A44115">
              <w:rPr>
                <w:rFonts w:cs="Calibri"/>
                <w:b/>
                <w:bCs/>
                <w:szCs w:val="22"/>
              </w:rPr>
              <w:t>16.</w:t>
            </w:r>
            <w:r w:rsidRPr="00F206EA">
              <w:rPr>
                <w:rFonts w:cs="Calibri"/>
                <w:szCs w:val="22"/>
              </w:rPr>
              <w:t xml:space="preserve"> </w:t>
            </w:r>
            <w:r w:rsidR="00F206EA" w:rsidRPr="00F206EA">
              <w:rPr>
                <w:rFonts w:cs="Calibri"/>
                <w:szCs w:val="22"/>
              </w:rPr>
              <w:t xml:space="preserve">Doors </w:t>
            </w:r>
            <w:r w:rsidR="00966B0C" w:rsidRPr="00F206EA">
              <w:rPr>
                <w:rFonts w:cs="Calibri"/>
                <w:szCs w:val="22"/>
              </w:rPr>
              <w:t>in</w:t>
            </w:r>
            <w:r w:rsidR="00F206EA" w:rsidRPr="00F206EA">
              <w:rPr>
                <w:rFonts w:cs="Calibri"/>
                <w:szCs w:val="22"/>
              </w:rPr>
              <w:t xml:space="preserve"> any occupied space are free of deadbolts or slide bolts and permit </w:t>
            </w:r>
            <w:r w:rsidR="00467355" w:rsidRPr="00F206EA">
              <w:rPr>
                <w:rFonts w:cs="Calibri"/>
                <w:szCs w:val="22"/>
              </w:rPr>
              <w:t>exit</w:t>
            </w:r>
            <w:r w:rsidR="00F206EA" w:rsidRPr="00F206EA">
              <w:rPr>
                <w:rFonts w:cs="Calibri"/>
                <w:szCs w:val="22"/>
              </w:rPr>
              <w:t xml:space="preserve"> without need of a key or special knowledge. </w:t>
            </w:r>
            <w:r w:rsidR="00625A20">
              <w:rPr>
                <w:rFonts w:cs="Calibri"/>
                <w:szCs w:val="22"/>
              </w:rPr>
              <w:t>N.J.A.C.</w:t>
            </w:r>
            <w:r w:rsidR="00F206EA" w:rsidRPr="00F206EA">
              <w:rPr>
                <w:rFonts w:cs="Calibri"/>
                <w:szCs w:val="22"/>
              </w:rPr>
              <w:t xml:space="preserve"> 6A:26-8.1</w:t>
            </w:r>
          </w:p>
        </w:tc>
        <w:tc>
          <w:tcPr>
            <w:tcW w:w="720" w:type="dxa"/>
          </w:tcPr>
          <w:p w14:paraId="47565D33" w14:textId="77777777" w:rsidR="007B5051" w:rsidRPr="00366B29" w:rsidRDefault="007B5051">
            <w:pPr>
              <w:jc w:val="center"/>
              <w:rPr>
                <w:rFonts w:cs="Calibri"/>
                <w:szCs w:val="22"/>
              </w:rPr>
            </w:pPr>
          </w:p>
        </w:tc>
        <w:tc>
          <w:tcPr>
            <w:tcW w:w="630" w:type="dxa"/>
          </w:tcPr>
          <w:p w14:paraId="57423D06" w14:textId="77777777" w:rsidR="007B5051" w:rsidRPr="00366B29" w:rsidRDefault="007B5051">
            <w:pPr>
              <w:jc w:val="center"/>
              <w:rPr>
                <w:rFonts w:cs="Calibri"/>
                <w:szCs w:val="22"/>
              </w:rPr>
            </w:pPr>
          </w:p>
        </w:tc>
        <w:tc>
          <w:tcPr>
            <w:tcW w:w="630" w:type="dxa"/>
          </w:tcPr>
          <w:p w14:paraId="232C04AB" w14:textId="77777777" w:rsidR="007B5051" w:rsidRPr="00366B29" w:rsidRDefault="007B5051">
            <w:pPr>
              <w:jc w:val="center"/>
              <w:rPr>
                <w:rFonts w:cs="Calibri"/>
                <w:szCs w:val="22"/>
              </w:rPr>
            </w:pPr>
          </w:p>
        </w:tc>
        <w:tc>
          <w:tcPr>
            <w:tcW w:w="2807" w:type="dxa"/>
          </w:tcPr>
          <w:p w14:paraId="6ABBE6C4" w14:textId="77777777" w:rsidR="004A2E40" w:rsidRPr="00366B29" w:rsidRDefault="004A2E40">
            <w:pPr>
              <w:spacing w:before="60"/>
              <w:rPr>
                <w:rFonts w:cs="Calibri"/>
                <w:szCs w:val="22"/>
              </w:rPr>
            </w:pPr>
          </w:p>
        </w:tc>
      </w:tr>
      <w:tr w:rsidR="007B5051" w:rsidRPr="00366B29" w14:paraId="66D0E827" w14:textId="77777777" w:rsidTr="003D5E76">
        <w:trPr>
          <w:trHeight w:val="284"/>
        </w:trPr>
        <w:tc>
          <w:tcPr>
            <w:tcW w:w="6228" w:type="dxa"/>
          </w:tcPr>
          <w:p w14:paraId="2DEECB1D" w14:textId="01D8DAA0" w:rsidR="00776629" w:rsidRPr="00AE48D8" w:rsidRDefault="00A44115" w:rsidP="00A44115">
            <w:pPr>
              <w:spacing w:after="120"/>
              <w:ind w:left="317" w:hanging="317"/>
              <w:rPr>
                <w:rFonts w:cs="Calibri"/>
                <w:szCs w:val="22"/>
              </w:rPr>
            </w:pPr>
            <w:r w:rsidRPr="00A44115">
              <w:rPr>
                <w:rFonts w:cs="Calibri"/>
                <w:b/>
                <w:bCs/>
                <w:szCs w:val="22"/>
              </w:rPr>
              <w:t>17.</w:t>
            </w:r>
            <w:r>
              <w:rPr>
                <w:rFonts w:cs="Calibri"/>
                <w:szCs w:val="22"/>
              </w:rPr>
              <w:t xml:space="preserve"> </w:t>
            </w:r>
            <w:r w:rsidR="007B5051" w:rsidRPr="00366B29">
              <w:rPr>
                <w:rFonts w:cs="Calibri"/>
                <w:szCs w:val="22"/>
              </w:rPr>
              <w:t>Unobstructed vision panels with code</w:t>
            </w:r>
            <w:r w:rsidR="00541FA4">
              <w:rPr>
                <w:rFonts w:cs="Calibri"/>
                <w:szCs w:val="22"/>
              </w:rPr>
              <w:t>-</w:t>
            </w:r>
            <w:r w:rsidR="007B5051" w:rsidRPr="00366B29">
              <w:rPr>
                <w:rFonts w:cs="Calibri"/>
                <w:szCs w:val="22"/>
              </w:rPr>
              <w:t>approved glass are installed in doors opening into corridors. Interior glazing shall be safety glazing.</w:t>
            </w:r>
            <w:r w:rsidR="007343DE" w:rsidRPr="00366B29">
              <w:rPr>
                <w:rFonts w:cs="Calibri"/>
                <w:szCs w:val="22"/>
              </w:rPr>
              <w:t xml:space="preserve"> </w:t>
            </w:r>
            <w:r w:rsidR="00625A20">
              <w:rPr>
                <w:rFonts w:cs="Calibri"/>
                <w:szCs w:val="22"/>
              </w:rPr>
              <w:t>N.J.A.C.</w:t>
            </w:r>
            <w:r w:rsidR="00541FA4" w:rsidRPr="00F206EA">
              <w:rPr>
                <w:rFonts w:cs="Calibri"/>
                <w:szCs w:val="22"/>
              </w:rPr>
              <w:t xml:space="preserve"> 6A:26-8.1</w:t>
            </w:r>
          </w:p>
        </w:tc>
        <w:tc>
          <w:tcPr>
            <w:tcW w:w="720" w:type="dxa"/>
          </w:tcPr>
          <w:p w14:paraId="3CF2D2BB" w14:textId="77777777" w:rsidR="007B5051" w:rsidRPr="00366B29" w:rsidRDefault="007B5051">
            <w:pPr>
              <w:jc w:val="center"/>
              <w:rPr>
                <w:rFonts w:cs="Calibri"/>
                <w:szCs w:val="22"/>
              </w:rPr>
            </w:pPr>
          </w:p>
        </w:tc>
        <w:tc>
          <w:tcPr>
            <w:tcW w:w="630" w:type="dxa"/>
          </w:tcPr>
          <w:p w14:paraId="4A8B1671" w14:textId="77777777" w:rsidR="007B5051" w:rsidRPr="00366B29" w:rsidRDefault="007B5051">
            <w:pPr>
              <w:jc w:val="center"/>
              <w:rPr>
                <w:rFonts w:cs="Calibri"/>
                <w:szCs w:val="22"/>
              </w:rPr>
            </w:pPr>
          </w:p>
        </w:tc>
        <w:tc>
          <w:tcPr>
            <w:tcW w:w="630" w:type="dxa"/>
          </w:tcPr>
          <w:p w14:paraId="54E8C3F7" w14:textId="77777777" w:rsidR="007B5051" w:rsidRPr="00366B29" w:rsidRDefault="007B5051">
            <w:pPr>
              <w:jc w:val="center"/>
              <w:rPr>
                <w:rFonts w:cs="Calibri"/>
                <w:szCs w:val="22"/>
              </w:rPr>
            </w:pPr>
          </w:p>
        </w:tc>
        <w:tc>
          <w:tcPr>
            <w:tcW w:w="2807" w:type="dxa"/>
          </w:tcPr>
          <w:p w14:paraId="00B2CF8C" w14:textId="77777777" w:rsidR="007B5051" w:rsidRPr="00366B29" w:rsidRDefault="007B5051">
            <w:pPr>
              <w:spacing w:before="60"/>
              <w:rPr>
                <w:rFonts w:cs="Calibri"/>
                <w:szCs w:val="22"/>
              </w:rPr>
            </w:pPr>
          </w:p>
        </w:tc>
      </w:tr>
      <w:tr w:rsidR="007B5051" w:rsidRPr="00366B29" w14:paraId="29ED7F85" w14:textId="77777777" w:rsidTr="003D5E76">
        <w:trPr>
          <w:trHeight w:val="284"/>
        </w:trPr>
        <w:tc>
          <w:tcPr>
            <w:tcW w:w="6228" w:type="dxa"/>
          </w:tcPr>
          <w:p w14:paraId="4663A6E9" w14:textId="187449FD" w:rsidR="00776629" w:rsidRPr="00AE48D8" w:rsidRDefault="00A44115" w:rsidP="00A44115">
            <w:pPr>
              <w:spacing w:after="120"/>
              <w:ind w:left="317" w:hanging="317"/>
              <w:rPr>
                <w:rFonts w:cs="Calibri"/>
                <w:szCs w:val="22"/>
              </w:rPr>
            </w:pPr>
            <w:r w:rsidRPr="00A44115">
              <w:rPr>
                <w:rFonts w:cs="Calibri"/>
                <w:b/>
                <w:bCs/>
                <w:szCs w:val="22"/>
              </w:rPr>
              <w:t>18.</w:t>
            </w:r>
            <w:r>
              <w:rPr>
                <w:rFonts w:cs="Calibri"/>
                <w:szCs w:val="22"/>
              </w:rPr>
              <w:t xml:space="preserve"> </w:t>
            </w:r>
            <w:r w:rsidR="007B5051" w:rsidRPr="00366B29">
              <w:rPr>
                <w:rFonts w:cs="Calibri"/>
                <w:szCs w:val="22"/>
              </w:rPr>
              <w:t>Kindergarten and Pre-K toilet requirements are met</w:t>
            </w:r>
            <w:r w:rsidR="00687001" w:rsidRPr="00366B29">
              <w:rPr>
                <w:rFonts w:cs="Calibri"/>
                <w:szCs w:val="22"/>
              </w:rPr>
              <w:t>.</w:t>
            </w:r>
            <w:r w:rsidR="00FE1455" w:rsidRPr="00366B29">
              <w:rPr>
                <w:rFonts w:cs="Calibri"/>
                <w:szCs w:val="22"/>
              </w:rPr>
              <w:t xml:space="preserve"> </w:t>
            </w:r>
            <w:r w:rsidR="00625A20">
              <w:rPr>
                <w:rFonts w:cs="Calibri"/>
                <w:szCs w:val="22"/>
              </w:rPr>
              <w:t>N.J.A.C.</w:t>
            </w:r>
            <w:r w:rsidR="00294E50" w:rsidRPr="00294E50">
              <w:rPr>
                <w:rFonts w:cs="Calibri"/>
                <w:szCs w:val="22"/>
              </w:rPr>
              <w:t xml:space="preserve"> 6A:26-6.3(h)4.</w:t>
            </w:r>
          </w:p>
        </w:tc>
        <w:tc>
          <w:tcPr>
            <w:tcW w:w="720" w:type="dxa"/>
          </w:tcPr>
          <w:p w14:paraId="78072104" w14:textId="77777777" w:rsidR="007B5051" w:rsidRPr="00366B29" w:rsidRDefault="007B5051">
            <w:pPr>
              <w:jc w:val="center"/>
              <w:rPr>
                <w:rFonts w:cs="Calibri"/>
                <w:szCs w:val="22"/>
              </w:rPr>
            </w:pPr>
          </w:p>
        </w:tc>
        <w:tc>
          <w:tcPr>
            <w:tcW w:w="630" w:type="dxa"/>
          </w:tcPr>
          <w:p w14:paraId="448A97A1" w14:textId="77777777" w:rsidR="007B5051" w:rsidRPr="00366B29" w:rsidRDefault="007B5051">
            <w:pPr>
              <w:jc w:val="center"/>
              <w:rPr>
                <w:rFonts w:cs="Calibri"/>
                <w:szCs w:val="22"/>
              </w:rPr>
            </w:pPr>
          </w:p>
        </w:tc>
        <w:tc>
          <w:tcPr>
            <w:tcW w:w="630" w:type="dxa"/>
          </w:tcPr>
          <w:p w14:paraId="13E7DB06" w14:textId="77777777" w:rsidR="007B5051" w:rsidRPr="00366B29" w:rsidRDefault="007B5051">
            <w:pPr>
              <w:jc w:val="center"/>
              <w:rPr>
                <w:rFonts w:cs="Calibri"/>
                <w:szCs w:val="22"/>
              </w:rPr>
            </w:pPr>
          </w:p>
        </w:tc>
        <w:tc>
          <w:tcPr>
            <w:tcW w:w="2807" w:type="dxa"/>
          </w:tcPr>
          <w:p w14:paraId="40CA3F5C" w14:textId="77777777" w:rsidR="007B5051" w:rsidRPr="00366B29" w:rsidRDefault="007B5051">
            <w:pPr>
              <w:spacing w:before="60"/>
              <w:rPr>
                <w:rFonts w:cs="Calibri"/>
                <w:szCs w:val="22"/>
              </w:rPr>
            </w:pPr>
          </w:p>
        </w:tc>
      </w:tr>
      <w:tr w:rsidR="007B5051" w:rsidRPr="00366B29" w14:paraId="0FD812E7" w14:textId="77777777" w:rsidTr="003D5E76">
        <w:trPr>
          <w:trHeight w:val="431"/>
        </w:trPr>
        <w:tc>
          <w:tcPr>
            <w:tcW w:w="6228" w:type="dxa"/>
          </w:tcPr>
          <w:p w14:paraId="53AE3452" w14:textId="13D3B520" w:rsidR="00776629" w:rsidRPr="00AE48D8" w:rsidRDefault="00A44115" w:rsidP="00A44115">
            <w:pPr>
              <w:spacing w:after="120"/>
              <w:ind w:left="317" w:hanging="317"/>
              <w:rPr>
                <w:rFonts w:cs="Calibri"/>
                <w:szCs w:val="22"/>
              </w:rPr>
            </w:pPr>
            <w:r w:rsidRPr="00A44115">
              <w:rPr>
                <w:rFonts w:cs="Calibri"/>
                <w:b/>
                <w:bCs/>
                <w:szCs w:val="22"/>
              </w:rPr>
              <w:t>19.</w:t>
            </w:r>
            <w:r>
              <w:rPr>
                <w:rFonts w:cs="Calibri"/>
                <w:szCs w:val="22"/>
              </w:rPr>
              <w:t xml:space="preserve"> </w:t>
            </w:r>
            <w:r w:rsidR="00422610" w:rsidRPr="00422610">
              <w:rPr>
                <w:rFonts w:cs="Calibri"/>
                <w:szCs w:val="22"/>
              </w:rPr>
              <w:t>District requested approvals as needed: Dual Use, Change-of-Use, Alternate (Toilet) Method of Compliance, Temporary sites (Temporary Classroom Units (TCUs) or rented facilities). Required DOE approvals in place.</w:t>
            </w:r>
          </w:p>
        </w:tc>
        <w:tc>
          <w:tcPr>
            <w:tcW w:w="720" w:type="dxa"/>
          </w:tcPr>
          <w:p w14:paraId="5D1A00A9" w14:textId="77777777" w:rsidR="007B5051" w:rsidRPr="00366B29" w:rsidRDefault="007B5051">
            <w:pPr>
              <w:jc w:val="center"/>
              <w:rPr>
                <w:rFonts w:cs="Calibri"/>
                <w:szCs w:val="22"/>
              </w:rPr>
            </w:pPr>
          </w:p>
        </w:tc>
        <w:tc>
          <w:tcPr>
            <w:tcW w:w="630" w:type="dxa"/>
          </w:tcPr>
          <w:p w14:paraId="49982930" w14:textId="77777777" w:rsidR="007B5051" w:rsidRPr="00366B29" w:rsidRDefault="007B5051">
            <w:pPr>
              <w:jc w:val="center"/>
              <w:rPr>
                <w:rFonts w:cs="Calibri"/>
                <w:szCs w:val="22"/>
              </w:rPr>
            </w:pPr>
          </w:p>
        </w:tc>
        <w:tc>
          <w:tcPr>
            <w:tcW w:w="630" w:type="dxa"/>
          </w:tcPr>
          <w:p w14:paraId="6D70EF73" w14:textId="77777777" w:rsidR="007B5051" w:rsidRPr="00366B29" w:rsidRDefault="007B5051">
            <w:pPr>
              <w:jc w:val="center"/>
              <w:rPr>
                <w:rFonts w:cs="Calibri"/>
                <w:szCs w:val="22"/>
              </w:rPr>
            </w:pPr>
          </w:p>
        </w:tc>
        <w:tc>
          <w:tcPr>
            <w:tcW w:w="2807" w:type="dxa"/>
          </w:tcPr>
          <w:p w14:paraId="209F06E4" w14:textId="77777777" w:rsidR="007B5051" w:rsidRPr="00366B29" w:rsidRDefault="007B5051">
            <w:pPr>
              <w:spacing w:before="60"/>
              <w:rPr>
                <w:rFonts w:cs="Calibri"/>
                <w:szCs w:val="22"/>
              </w:rPr>
            </w:pPr>
          </w:p>
        </w:tc>
      </w:tr>
      <w:tr w:rsidR="00C72791" w:rsidRPr="00366B29" w14:paraId="4B798A68" w14:textId="77777777" w:rsidTr="003D5E76">
        <w:tc>
          <w:tcPr>
            <w:tcW w:w="6228" w:type="dxa"/>
          </w:tcPr>
          <w:p w14:paraId="63F2327E" w14:textId="5BAFD3D9" w:rsidR="00200943" w:rsidRPr="00C12A3F" w:rsidRDefault="00A44115" w:rsidP="00A44115">
            <w:pPr>
              <w:spacing w:after="120"/>
              <w:ind w:left="317" w:hanging="317"/>
              <w:rPr>
                <w:rFonts w:cs="Calibri"/>
                <w:szCs w:val="22"/>
              </w:rPr>
            </w:pPr>
            <w:r w:rsidRPr="00A44115">
              <w:rPr>
                <w:rFonts w:cs="Calibri"/>
                <w:b/>
                <w:bCs/>
                <w:szCs w:val="22"/>
              </w:rPr>
              <w:t>20.</w:t>
            </w:r>
            <w:r>
              <w:rPr>
                <w:rFonts w:cs="Calibri"/>
                <w:szCs w:val="22"/>
              </w:rPr>
              <w:t xml:space="preserve"> </w:t>
            </w:r>
            <w:r w:rsidR="00C72791" w:rsidRPr="00366B29">
              <w:rPr>
                <w:rFonts w:cs="Calibri"/>
                <w:szCs w:val="22"/>
              </w:rPr>
              <w:t>Dangerous</w:t>
            </w:r>
            <w:r w:rsidR="000E0145" w:rsidRPr="00366B29">
              <w:rPr>
                <w:rFonts w:cs="Calibri"/>
                <w:szCs w:val="22"/>
              </w:rPr>
              <w:t xml:space="preserve"> chemical</w:t>
            </w:r>
            <w:r w:rsidR="004A2E40" w:rsidRPr="00366B29">
              <w:rPr>
                <w:rFonts w:cs="Calibri"/>
                <w:szCs w:val="22"/>
              </w:rPr>
              <w:t>s</w:t>
            </w:r>
            <w:r w:rsidR="000E0145" w:rsidRPr="00366B29">
              <w:rPr>
                <w:rFonts w:cs="Calibri"/>
                <w:szCs w:val="22"/>
              </w:rPr>
              <w:t xml:space="preserve"> (i.e.</w:t>
            </w:r>
            <w:r w:rsidR="00C91E5C">
              <w:rPr>
                <w:rFonts w:cs="Calibri"/>
                <w:szCs w:val="22"/>
              </w:rPr>
              <w:t xml:space="preserve">, </w:t>
            </w:r>
            <w:r w:rsidR="000E0145" w:rsidRPr="00366B29">
              <w:rPr>
                <w:rFonts w:cs="Calibri"/>
                <w:szCs w:val="22"/>
              </w:rPr>
              <w:t xml:space="preserve">liquefied petroleum </w:t>
            </w:r>
            <w:r w:rsidR="00903337">
              <w:rPr>
                <w:rFonts w:cs="Calibri"/>
                <w:szCs w:val="22"/>
              </w:rPr>
              <w:t>(LP) gas/</w:t>
            </w:r>
            <w:r w:rsidR="000E0145" w:rsidRPr="00366B29">
              <w:rPr>
                <w:rFonts w:cs="Calibri"/>
                <w:szCs w:val="22"/>
              </w:rPr>
              <w:t>propane) and/or explosive materials</w:t>
            </w:r>
            <w:r w:rsidR="00C72791" w:rsidRPr="00366B29">
              <w:rPr>
                <w:rFonts w:cs="Calibri"/>
                <w:szCs w:val="22"/>
              </w:rPr>
              <w:t xml:space="preserve"> </w:t>
            </w:r>
            <w:r w:rsidR="000E0145" w:rsidRPr="00366B29">
              <w:rPr>
                <w:rFonts w:cs="Calibri"/>
                <w:szCs w:val="22"/>
              </w:rPr>
              <w:t>(</w:t>
            </w:r>
            <w:r w:rsidR="00AE35DD" w:rsidRPr="00366B29">
              <w:rPr>
                <w:rFonts w:cs="Calibri"/>
                <w:szCs w:val="22"/>
              </w:rPr>
              <w:t>i.e.</w:t>
            </w:r>
            <w:r w:rsidR="00903337">
              <w:rPr>
                <w:rFonts w:cs="Calibri"/>
                <w:szCs w:val="22"/>
              </w:rPr>
              <w:t>,</w:t>
            </w:r>
            <w:r w:rsidR="000E0145" w:rsidRPr="00366B29">
              <w:rPr>
                <w:rFonts w:cs="Calibri"/>
                <w:szCs w:val="22"/>
              </w:rPr>
              <w:t xml:space="preserve"> gunpowder</w:t>
            </w:r>
            <w:r w:rsidR="0067549B">
              <w:rPr>
                <w:rFonts w:cs="Calibri"/>
                <w:szCs w:val="22"/>
              </w:rPr>
              <w:t>,</w:t>
            </w:r>
            <w:r w:rsidR="000E0145" w:rsidRPr="00366B29">
              <w:rPr>
                <w:rFonts w:cs="Calibri"/>
                <w:szCs w:val="22"/>
              </w:rPr>
              <w:t xml:space="preserve"> picric acid) </w:t>
            </w:r>
            <w:r w:rsidR="00C72791" w:rsidRPr="00366B29">
              <w:rPr>
                <w:rFonts w:cs="Calibri"/>
                <w:szCs w:val="22"/>
              </w:rPr>
              <w:t xml:space="preserve">are </w:t>
            </w:r>
            <w:r w:rsidR="00C91E5C" w:rsidRPr="00C91E5C">
              <w:rPr>
                <w:rFonts w:cs="Calibri"/>
                <w:i/>
                <w:szCs w:val="22"/>
              </w:rPr>
              <w:t>not</w:t>
            </w:r>
            <w:r w:rsidR="00C91E5C" w:rsidRPr="00366B29">
              <w:rPr>
                <w:rFonts w:cs="Calibri"/>
                <w:szCs w:val="22"/>
              </w:rPr>
              <w:t xml:space="preserve"> </w:t>
            </w:r>
            <w:r w:rsidR="00C72791" w:rsidRPr="00366B29">
              <w:rPr>
                <w:rFonts w:cs="Calibri"/>
                <w:szCs w:val="22"/>
              </w:rPr>
              <w:t>stored/present in the building</w:t>
            </w:r>
            <w:r w:rsidR="000E0145" w:rsidRPr="00366B29">
              <w:rPr>
                <w:rFonts w:cs="Calibri"/>
                <w:szCs w:val="22"/>
              </w:rPr>
              <w:t xml:space="preserve">. If needed, </w:t>
            </w:r>
            <w:r w:rsidR="00040895" w:rsidRPr="00366B29">
              <w:rPr>
                <w:rFonts w:cs="Calibri"/>
                <w:szCs w:val="22"/>
              </w:rPr>
              <w:t>flammable and combustible materials are properly stored/maintained</w:t>
            </w:r>
            <w:r w:rsidR="000E0145" w:rsidRPr="00366B29">
              <w:rPr>
                <w:rFonts w:cs="Calibri"/>
                <w:szCs w:val="22"/>
              </w:rPr>
              <w:t xml:space="preserve"> (</w:t>
            </w:r>
            <w:r w:rsidR="00AE35DD" w:rsidRPr="00366B29">
              <w:rPr>
                <w:rFonts w:cs="Calibri"/>
                <w:szCs w:val="22"/>
              </w:rPr>
              <w:t>i.e.</w:t>
            </w:r>
            <w:r w:rsidR="00C91E5C">
              <w:rPr>
                <w:rFonts w:cs="Calibri"/>
                <w:szCs w:val="22"/>
              </w:rPr>
              <w:t>,</w:t>
            </w:r>
            <w:r w:rsidR="000E0145" w:rsidRPr="00366B29">
              <w:rPr>
                <w:rFonts w:cs="Calibri"/>
                <w:szCs w:val="22"/>
              </w:rPr>
              <w:t xml:space="preserve"> in properly rated </w:t>
            </w:r>
            <w:r w:rsidR="00AE35DD" w:rsidRPr="00366B29">
              <w:rPr>
                <w:rFonts w:cs="Calibri"/>
                <w:szCs w:val="22"/>
              </w:rPr>
              <w:t>cabinets</w:t>
            </w:r>
            <w:r w:rsidR="000E0145" w:rsidRPr="00366B29">
              <w:rPr>
                <w:rFonts w:cs="Calibri"/>
                <w:szCs w:val="22"/>
              </w:rPr>
              <w:t xml:space="preserve">; </w:t>
            </w:r>
            <w:r w:rsidR="00AF721A" w:rsidRPr="00AF721A">
              <w:rPr>
                <w:rStyle w:val="Strong"/>
              </w:rPr>
              <w:t>not</w:t>
            </w:r>
            <w:r w:rsidR="00AF721A">
              <w:rPr>
                <w:rFonts w:cs="Calibri"/>
                <w:szCs w:val="22"/>
              </w:rPr>
              <w:t xml:space="preserve"> </w:t>
            </w:r>
            <w:r w:rsidR="000E0145" w:rsidRPr="00366B29">
              <w:rPr>
                <w:rFonts w:cs="Calibri"/>
                <w:szCs w:val="22"/>
              </w:rPr>
              <w:t>in boiler room/</w:t>
            </w:r>
            <w:r w:rsidR="00695FF4">
              <w:rPr>
                <w:rFonts w:cs="Calibri"/>
                <w:szCs w:val="22"/>
              </w:rPr>
              <w:t>high-</w:t>
            </w:r>
            <w:r w:rsidR="000E0145" w:rsidRPr="00366B29">
              <w:rPr>
                <w:rFonts w:cs="Calibri"/>
                <w:szCs w:val="22"/>
              </w:rPr>
              <w:t>hazard areas).</w:t>
            </w:r>
          </w:p>
        </w:tc>
        <w:tc>
          <w:tcPr>
            <w:tcW w:w="720" w:type="dxa"/>
          </w:tcPr>
          <w:p w14:paraId="5D87FB0A" w14:textId="77777777" w:rsidR="00C72791" w:rsidRPr="00366B29" w:rsidRDefault="00C72791" w:rsidP="002D7E4C">
            <w:pPr>
              <w:jc w:val="center"/>
              <w:rPr>
                <w:rFonts w:cs="Calibri"/>
                <w:szCs w:val="22"/>
              </w:rPr>
            </w:pPr>
          </w:p>
        </w:tc>
        <w:tc>
          <w:tcPr>
            <w:tcW w:w="630" w:type="dxa"/>
          </w:tcPr>
          <w:p w14:paraId="44B6A4B8" w14:textId="77777777" w:rsidR="00C72791" w:rsidRPr="00366B29" w:rsidRDefault="00C72791" w:rsidP="002D7E4C">
            <w:pPr>
              <w:jc w:val="center"/>
              <w:rPr>
                <w:rFonts w:cs="Calibri"/>
                <w:szCs w:val="22"/>
              </w:rPr>
            </w:pPr>
          </w:p>
        </w:tc>
        <w:tc>
          <w:tcPr>
            <w:tcW w:w="630" w:type="dxa"/>
          </w:tcPr>
          <w:p w14:paraId="2DDA0AE0" w14:textId="77777777" w:rsidR="00C72791" w:rsidRPr="00366B29" w:rsidRDefault="00C72791" w:rsidP="002D7E4C">
            <w:pPr>
              <w:jc w:val="center"/>
              <w:rPr>
                <w:rFonts w:cs="Calibri"/>
                <w:szCs w:val="22"/>
              </w:rPr>
            </w:pPr>
          </w:p>
        </w:tc>
        <w:tc>
          <w:tcPr>
            <w:tcW w:w="2807" w:type="dxa"/>
          </w:tcPr>
          <w:p w14:paraId="20DFF9A9" w14:textId="77777777" w:rsidR="004A2E40" w:rsidRPr="00366B29" w:rsidRDefault="004A2E40" w:rsidP="002E1F0F">
            <w:pPr>
              <w:spacing w:before="60"/>
              <w:rPr>
                <w:rFonts w:cs="Calibri"/>
                <w:szCs w:val="22"/>
              </w:rPr>
            </w:pPr>
          </w:p>
        </w:tc>
      </w:tr>
      <w:tr w:rsidR="00AB45FF" w:rsidRPr="00366B29" w14:paraId="3FBF584F" w14:textId="77777777" w:rsidTr="003D5E76">
        <w:tc>
          <w:tcPr>
            <w:tcW w:w="6228" w:type="dxa"/>
          </w:tcPr>
          <w:p w14:paraId="2067B0C1" w14:textId="55F979F2" w:rsidR="00AB45FF" w:rsidRPr="00C91E5C" w:rsidRDefault="00A44115" w:rsidP="004C45B1">
            <w:pPr>
              <w:rPr>
                <w:rFonts w:cs="Calibri"/>
                <w:szCs w:val="22"/>
              </w:rPr>
            </w:pPr>
            <w:r w:rsidRPr="00A44115">
              <w:rPr>
                <w:rFonts w:cs="Calibri"/>
                <w:b/>
                <w:bCs/>
                <w:szCs w:val="22"/>
              </w:rPr>
              <w:t>21.</w:t>
            </w:r>
            <w:r>
              <w:rPr>
                <w:rFonts w:cs="Calibri"/>
                <w:szCs w:val="22"/>
              </w:rPr>
              <w:t xml:space="preserve"> </w:t>
            </w:r>
            <w:r w:rsidR="00AB45FF" w:rsidRPr="00C91E5C">
              <w:rPr>
                <w:rFonts w:cs="Calibri"/>
                <w:szCs w:val="22"/>
              </w:rPr>
              <w:t xml:space="preserve">Carbon Monoxide </w:t>
            </w:r>
            <w:r w:rsidR="004C45B1">
              <w:rPr>
                <w:rFonts w:cs="Calibri"/>
                <w:szCs w:val="22"/>
              </w:rPr>
              <w:t xml:space="preserve">(CO) </w:t>
            </w:r>
            <w:r w:rsidR="00AB45FF" w:rsidRPr="00C91E5C">
              <w:rPr>
                <w:rFonts w:cs="Calibri"/>
                <w:szCs w:val="22"/>
              </w:rPr>
              <w:t>Detectors</w:t>
            </w:r>
            <w:r w:rsidR="004C45B1">
              <w:rPr>
                <w:rFonts w:cs="Calibri"/>
                <w:szCs w:val="22"/>
              </w:rPr>
              <w:t xml:space="preserve"> m</w:t>
            </w:r>
            <w:r w:rsidR="00AB45FF" w:rsidRPr="00C91E5C">
              <w:rPr>
                <w:rFonts w:cs="Calibri"/>
                <w:szCs w:val="22"/>
              </w:rPr>
              <w:t>ust be in the vicinity of</w:t>
            </w:r>
            <w:r w:rsidR="00AB45FF" w:rsidRPr="00AF721A">
              <w:rPr>
                <w:rStyle w:val="Strong"/>
              </w:rPr>
              <w:t xml:space="preserve"> </w:t>
            </w:r>
            <w:r w:rsidR="00AF721A" w:rsidRPr="00AF721A">
              <w:rPr>
                <w:rStyle w:val="Strong"/>
              </w:rPr>
              <w:t>all</w:t>
            </w:r>
            <w:r w:rsidR="00AB45FF" w:rsidRPr="00C91E5C">
              <w:rPr>
                <w:rFonts w:cs="Calibri"/>
                <w:szCs w:val="22"/>
              </w:rPr>
              <w:t xml:space="preserve"> fuel burning appliances.</w:t>
            </w:r>
          </w:p>
          <w:p w14:paraId="44F4A64B" w14:textId="78F36B17" w:rsidR="00AB45FF" w:rsidRPr="00C91E5C" w:rsidRDefault="00AB45FF" w:rsidP="004C45B1">
            <w:pPr>
              <w:numPr>
                <w:ilvl w:val="0"/>
                <w:numId w:val="35"/>
              </w:numPr>
              <w:rPr>
                <w:rFonts w:cs="Calibri"/>
                <w:szCs w:val="22"/>
              </w:rPr>
            </w:pPr>
            <w:r w:rsidRPr="00C91E5C">
              <w:rPr>
                <w:rFonts w:cs="Calibri"/>
                <w:szCs w:val="22"/>
              </w:rPr>
              <w:t xml:space="preserve">Gas and oil heating systems: </w:t>
            </w:r>
            <w:r w:rsidR="004C45B1">
              <w:rPr>
                <w:rFonts w:cs="Calibri"/>
                <w:szCs w:val="22"/>
              </w:rPr>
              <w:t>b</w:t>
            </w:r>
            <w:r w:rsidRPr="00C91E5C">
              <w:rPr>
                <w:rFonts w:cs="Calibri"/>
                <w:szCs w:val="22"/>
              </w:rPr>
              <w:t xml:space="preserve">oilers, </w:t>
            </w:r>
            <w:r w:rsidR="004C45B1">
              <w:rPr>
                <w:rFonts w:cs="Calibri"/>
                <w:szCs w:val="22"/>
              </w:rPr>
              <w:t>f</w:t>
            </w:r>
            <w:r w:rsidRPr="00C91E5C">
              <w:rPr>
                <w:rFonts w:cs="Calibri"/>
                <w:szCs w:val="22"/>
              </w:rPr>
              <w:t xml:space="preserve">urnaces, central and unitary equipment. </w:t>
            </w:r>
          </w:p>
          <w:p w14:paraId="789C5E57" w14:textId="7B0C3D86" w:rsidR="00AB45FF" w:rsidRPr="00C91E5C" w:rsidRDefault="00AB45FF" w:rsidP="004C45B1">
            <w:pPr>
              <w:numPr>
                <w:ilvl w:val="0"/>
                <w:numId w:val="35"/>
              </w:numPr>
              <w:rPr>
                <w:rFonts w:cs="Calibri"/>
                <w:szCs w:val="22"/>
              </w:rPr>
            </w:pPr>
            <w:r w:rsidRPr="00C91E5C">
              <w:rPr>
                <w:rFonts w:cs="Calibri"/>
                <w:szCs w:val="22"/>
              </w:rPr>
              <w:t>Generators: portable and permanent.</w:t>
            </w:r>
          </w:p>
          <w:p w14:paraId="21DC1A4E" w14:textId="6F0D844C" w:rsidR="00AB45FF" w:rsidRPr="00C91E5C" w:rsidRDefault="00AB45FF" w:rsidP="004C45B1">
            <w:pPr>
              <w:numPr>
                <w:ilvl w:val="0"/>
                <w:numId w:val="35"/>
              </w:numPr>
              <w:rPr>
                <w:rFonts w:cs="Calibri"/>
                <w:szCs w:val="22"/>
              </w:rPr>
            </w:pPr>
            <w:r w:rsidRPr="00C91E5C">
              <w:rPr>
                <w:rFonts w:cs="Calibri"/>
                <w:szCs w:val="22"/>
              </w:rPr>
              <w:lastRenderedPageBreak/>
              <w:t xml:space="preserve">Natural gas and propane appliances: </w:t>
            </w:r>
            <w:r w:rsidR="0067549B">
              <w:rPr>
                <w:rFonts w:cs="Calibri"/>
                <w:szCs w:val="22"/>
              </w:rPr>
              <w:t>w</w:t>
            </w:r>
            <w:r w:rsidRPr="00C91E5C">
              <w:rPr>
                <w:rFonts w:cs="Calibri"/>
                <w:szCs w:val="22"/>
              </w:rPr>
              <w:t>ater heaters, ranges, stoves, ovens, laundry washers and dryers</w:t>
            </w:r>
          </w:p>
          <w:p w14:paraId="13E9EEFE" w14:textId="77777777" w:rsidR="00AB45FF" w:rsidRPr="00C91E5C" w:rsidRDefault="00AB45FF" w:rsidP="004C45B1">
            <w:pPr>
              <w:numPr>
                <w:ilvl w:val="0"/>
                <w:numId w:val="35"/>
              </w:numPr>
              <w:rPr>
                <w:rFonts w:cs="Calibri"/>
                <w:szCs w:val="22"/>
              </w:rPr>
            </w:pPr>
            <w:r w:rsidRPr="00C91E5C">
              <w:rPr>
                <w:rFonts w:cs="Calibri"/>
                <w:szCs w:val="22"/>
              </w:rPr>
              <w:t>Fireplaces</w:t>
            </w:r>
          </w:p>
          <w:p w14:paraId="108232C9" w14:textId="0532F2D5" w:rsidR="006A770D" w:rsidRPr="00C91E5C" w:rsidRDefault="0067549B" w:rsidP="0067549B">
            <w:pPr>
              <w:numPr>
                <w:ilvl w:val="0"/>
                <w:numId w:val="35"/>
              </w:numPr>
              <w:spacing w:after="120"/>
              <w:rPr>
                <w:rFonts w:cs="Calibri"/>
              </w:rPr>
            </w:pPr>
            <w:r>
              <w:rPr>
                <w:rFonts w:cs="Calibri"/>
                <w:szCs w:val="22"/>
              </w:rPr>
              <w:t>I</w:t>
            </w:r>
            <w:r w:rsidR="00AB45FF" w:rsidRPr="00C91E5C">
              <w:rPr>
                <w:rFonts w:cs="Calibri"/>
                <w:szCs w:val="22"/>
              </w:rPr>
              <w:t>n hallways connected to space with the source</w:t>
            </w:r>
          </w:p>
          <w:p w14:paraId="37622CCB" w14:textId="28881F2B" w:rsidR="00776629" w:rsidRPr="0067549B" w:rsidRDefault="00000000" w:rsidP="0067549B">
            <w:hyperlink r:id="rId14">
              <w:r w:rsidR="00625A20">
                <w:rPr>
                  <w:rStyle w:val="Hyperlink"/>
                  <w:rFonts w:eastAsia="Calibri"/>
                </w:rPr>
                <w:t>N.J.A.C.</w:t>
              </w:r>
              <w:r w:rsidR="0067549B" w:rsidRPr="0067549B">
                <w:rPr>
                  <w:rStyle w:val="Hyperlink"/>
                  <w:rFonts w:eastAsia="Calibri"/>
                </w:rPr>
                <w:t xml:space="preserve"> 5:70-4.3(a),</w:t>
              </w:r>
            </w:hyperlink>
            <w:r w:rsidR="0067549B" w:rsidRPr="0067549B">
              <w:rPr>
                <w:rFonts w:eastAsia="Calibri"/>
              </w:rPr>
              <w:t xml:space="preserve"> and </w:t>
            </w:r>
            <w:hyperlink r:id="rId15">
              <w:r w:rsidR="00625A20">
                <w:rPr>
                  <w:rStyle w:val="Hyperlink"/>
                  <w:rFonts w:eastAsia="Calibri"/>
                </w:rPr>
                <w:t>N.J.A.C.</w:t>
              </w:r>
              <w:r w:rsidR="0067549B" w:rsidRPr="0067549B">
                <w:rPr>
                  <w:rStyle w:val="Hyperlink"/>
                  <w:rFonts w:eastAsia="Calibri"/>
                </w:rPr>
                <w:t xml:space="preserve"> 5:70-4.9(d)</w:t>
              </w:r>
            </w:hyperlink>
          </w:p>
        </w:tc>
        <w:tc>
          <w:tcPr>
            <w:tcW w:w="720" w:type="dxa"/>
          </w:tcPr>
          <w:p w14:paraId="4C5D397E" w14:textId="77777777" w:rsidR="00AB45FF" w:rsidRPr="00366B29" w:rsidRDefault="00AB45FF" w:rsidP="002D7E4C">
            <w:pPr>
              <w:jc w:val="center"/>
              <w:rPr>
                <w:rFonts w:cs="Calibri"/>
                <w:szCs w:val="22"/>
              </w:rPr>
            </w:pPr>
          </w:p>
        </w:tc>
        <w:tc>
          <w:tcPr>
            <w:tcW w:w="630" w:type="dxa"/>
          </w:tcPr>
          <w:p w14:paraId="2F737722" w14:textId="77777777" w:rsidR="00AB45FF" w:rsidRPr="00366B29" w:rsidRDefault="00AB45FF" w:rsidP="002D7E4C">
            <w:pPr>
              <w:jc w:val="center"/>
              <w:rPr>
                <w:rFonts w:cs="Calibri"/>
                <w:szCs w:val="22"/>
              </w:rPr>
            </w:pPr>
          </w:p>
        </w:tc>
        <w:tc>
          <w:tcPr>
            <w:tcW w:w="630" w:type="dxa"/>
          </w:tcPr>
          <w:p w14:paraId="7BAE1D74" w14:textId="77777777" w:rsidR="00AB45FF" w:rsidRPr="00366B29" w:rsidRDefault="00AB45FF" w:rsidP="002D7E4C">
            <w:pPr>
              <w:jc w:val="center"/>
              <w:rPr>
                <w:rFonts w:cs="Calibri"/>
                <w:szCs w:val="22"/>
              </w:rPr>
            </w:pPr>
          </w:p>
        </w:tc>
        <w:tc>
          <w:tcPr>
            <w:tcW w:w="2807" w:type="dxa"/>
          </w:tcPr>
          <w:p w14:paraId="61ACDDA1" w14:textId="77777777" w:rsidR="00AB45FF" w:rsidRPr="00366B29" w:rsidRDefault="00AB45FF" w:rsidP="002E1F0F">
            <w:pPr>
              <w:spacing w:before="60"/>
              <w:rPr>
                <w:rFonts w:cs="Calibri"/>
                <w:szCs w:val="22"/>
              </w:rPr>
            </w:pPr>
          </w:p>
        </w:tc>
      </w:tr>
    </w:tbl>
    <w:p w14:paraId="7A0B8C95" w14:textId="77777777" w:rsidR="006F6A6C" w:rsidRPr="006F6A6C" w:rsidRDefault="006F6A6C">
      <w:pPr>
        <w:rPr>
          <w:sz w:val="4"/>
          <w:szCs w:val="4"/>
        </w:rPr>
      </w:pPr>
    </w:p>
    <w:tbl>
      <w:tblPr>
        <w:tblStyle w:val="TableGrid"/>
        <w:tblW w:w="11015" w:type="dxa"/>
        <w:tblLayout w:type="fixed"/>
        <w:tblLook w:val="0020" w:firstRow="1" w:lastRow="0" w:firstColumn="0" w:lastColumn="0" w:noHBand="0" w:noVBand="0"/>
      </w:tblPr>
      <w:tblGrid>
        <w:gridCol w:w="6228"/>
        <w:gridCol w:w="720"/>
        <w:gridCol w:w="630"/>
        <w:gridCol w:w="630"/>
        <w:gridCol w:w="2807"/>
      </w:tblGrid>
      <w:tr w:rsidR="007B5051" w:rsidRPr="00366B29" w14:paraId="558B06B2" w14:textId="77777777" w:rsidTr="003D5E76">
        <w:trPr>
          <w:tblHeader/>
        </w:trPr>
        <w:tc>
          <w:tcPr>
            <w:tcW w:w="6228" w:type="dxa"/>
            <w:shd w:val="clear" w:color="auto" w:fill="F2F2F2" w:themeFill="background1" w:themeFillShade="F2"/>
          </w:tcPr>
          <w:p w14:paraId="2AAB9AFA" w14:textId="77F2A168" w:rsidR="007B5051" w:rsidRPr="00366B29" w:rsidRDefault="00C91E5C" w:rsidP="009D6C95">
            <w:pPr>
              <w:tabs>
                <w:tab w:val="num" w:pos="360"/>
              </w:tabs>
              <w:ind w:left="360" w:hanging="360"/>
              <w:jc w:val="both"/>
              <w:rPr>
                <w:rFonts w:cs="Calibri"/>
                <w:b/>
                <w:szCs w:val="22"/>
              </w:rPr>
            </w:pPr>
            <w:r w:rsidRPr="00366B29">
              <w:rPr>
                <w:rFonts w:cs="Calibri"/>
                <w:b/>
                <w:szCs w:val="22"/>
              </w:rPr>
              <w:t xml:space="preserve">Vocational/Laboratories </w:t>
            </w:r>
            <w:r w:rsidR="00D95275" w:rsidRPr="00366B29">
              <w:rPr>
                <w:rFonts w:cs="Calibri"/>
                <w:b/>
                <w:szCs w:val="22"/>
              </w:rPr>
              <w:t>#22</w:t>
            </w:r>
            <w:r w:rsidR="006F6A6C">
              <w:rPr>
                <w:rFonts w:cs="Calibri"/>
                <w:b/>
                <w:szCs w:val="22"/>
              </w:rPr>
              <w:t xml:space="preserve"> to</w:t>
            </w:r>
            <w:r w:rsidR="002A0550" w:rsidRPr="00366B29">
              <w:rPr>
                <w:rFonts w:cs="Calibri"/>
                <w:b/>
                <w:szCs w:val="22"/>
              </w:rPr>
              <w:t xml:space="preserve"> #</w:t>
            </w:r>
            <w:r w:rsidR="00D95275" w:rsidRPr="00366B29">
              <w:rPr>
                <w:rFonts w:cs="Calibri"/>
                <w:b/>
                <w:szCs w:val="22"/>
              </w:rPr>
              <w:t>25</w:t>
            </w:r>
          </w:p>
        </w:tc>
        <w:tc>
          <w:tcPr>
            <w:tcW w:w="720" w:type="dxa"/>
          </w:tcPr>
          <w:p w14:paraId="14653F37" w14:textId="77777777" w:rsidR="007B5051" w:rsidRPr="00366B29" w:rsidRDefault="004D52D1">
            <w:pPr>
              <w:rPr>
                <w:rFonts w:cs="Calibri"/>
                <w:b/>
                <w:szCs w:val="22"/>
              </w:rPr>
            </w:pPr>
            <w:r w:rsidRPr="004D52D1">
              <w:rPr>
                <w:rFonts w:cs="Calibri"/>
                <w:b/>
                <w:szCs w:val="22"/>
              </w:rPr>
              <w:t>Yes</w:t>
            </w:r>
          </w:p>
        </w:tc>
        <w:tc>
          <w:tcPr>
            <w:tcW w:w="630" w:type="dxa"/>
          </w:tcPr>
          <w:p w14:paraId="0B36E505" w14:textId="77777777" w:rsidR="007B5051" w:rsidRPr="00366B29" w:rsidRDefault="004D52D1">
            <w:pPr>
              <w:rPr>
                <w:rFonts w:cs="Calibri"/>
                <w:b/>
                <w:szCs w:val="22"/>
              </w:rPr>
            </w:pPr>
            <w:r w:rsidRPr="004D52D1">
              <w:rPr>
                <w:rFonts w:cs="Calibri"/>
                <w:b/>
                <w:szCs w:val="22"/>
              </w:rPr>
              <w:t>No</w:t>
            </w:r>
          </w:p>
        </w:tc>
        <w:tc>
          <w:tcPr>
            <w:tcW w:w="630" w:type="dxa"/>
          </w:tcPr>
          <w:p w14:paraId="53FCA198" w14:textId="77777777" w:rsidR="007B5051" w:rsidRPr="00366B29" w:rsidRDefault="00FF4937">
            <w:pPr>
              <w:rPr>
                <w:rFonts w:cs="Calibri"/>
                <w:b/>
                <w:szCs w:val="22"/>
              </w:rPr>
            </w:pPr>
            <w:r w:rsidRPr="00366B29">
              <w:rPr>
                <w:rFonts w:cs="Calibri"/>
                <w:b/>
                <w:szCs w:val="22"/>
              </w:rPr>
              <w:t>N/A</w:t>
            </w:r>
          </w:p>
        </w:tc>
        <w:tc>
          <w:tcPr>
            <w:tcW w:w="2807" w:type="dxa"/>
          </w:tcPr>
          <w:p w14:paraId="1DD02793" w14:textId="77777777" w:rsidR="007B5051" w:rsidRPr="00366B29" w:rsidRDefault="00C91E5C">
            <w:pPr>
              <w:rPr>
                <w:rFonts w:cs="Calibri"/>
                <w:b/>
                <w:szCs w:val="22"/>
              </w:rPr>
            </w:pPr>
            <w:r w:rsidRPr="00366B29">
              <w:rPr>
                <w:rFonts w:cs="Calibri"/>
                <w:b/>
                <w:szCs w:val="22"/>
              </w:rPr>
              <w:t>Violation Location</w:t>
            </w:r>
          </w:p>
        </w:tc>
      </w:tr>
      <w:tr w:rsidR="002A1043" w:rsidRPr="00366B29" w14:paraId="5CC850D5" w14:textId="77777777" w:rsidTr="003D5E76">
        <w:tc>
          <w:tcPr>
            <w:tcW w:w="6228" w:type="dxa"/>
          </w:tcPr>
          <w:p w14:paraId="518CC1C4" w14:textId="147B1D51" w:rsidR="002A1043" w:rsidRPr="00366B29" w:rsidRDefault="006571E8" w:rsidP="006571E8">
            <w:pPr>
              <w:ind w:left="317" w:hanging="317"/>
              <w:rPr>
                <w:rFonts w:cs="Calibri"/>
                <w:szCs w:val="22"/>
              </w:rPr>
            </w:pPr>
            <w:r w:rsidRPr="006571E8">
              <w:rPr>
                <w:rFonts w:cs="Calibri"/>
                <w:b/>
                <w:bCs/>
                <w:szCs w:val="22"/>
              </w:rPr>
              <w:t>22</w:t>
            </w:r>
            <w:r>
              <w:rPr>
                <w:rFonts w:cs="Calibri"/>
                <w:szCs w:val="22"/>
              </w:rPr>
              <w:t xml:space="preserve">. </w:t>
            </w:r>
            <w:r w:rsidR="002A1043" w:rsidRPr="00366B29">
              <w:rPr>
                <w:rFonts w:cs="Calibri"/>
                <w:szCs w:val="22"/>
              </w:rPr>
              <w:t>Power machinery and equipment, as well as science lab</w:t>
            </w:r>
            <w:r w:rsidR="00F24ECC">
              <w:rPr>
                <w:rFonts w:cs="Calibri"/>
                <w:szCs w:val="22"/>
              </w:rPr>
              <w:t>oratories</w:t>
            </w:r>
            <w:r w:rsidR="002A1043" w:rsidRPr="00366B29">
              <w:rPr>
                <w:rFonts w:cs="Calibri"/>
                <w:szCs w:val="22"/>
              </w:rPr>
              <w:t>, have appropriate safety features in place including</w:t>
            </w:r>
            <w:r w:rsidR="00F24ECC">
              <w:rPr>
                <w:rFonts w:cs="Calibri"/>
                <w:szCs w:val="22"/>
              </w:rPr>
              <w:t>,</w:t>
            </w:r>
            <w:r w:rsidR="008331B6" w:rsidRPr="00366B29">
              <w:rPr>
                <w:rFonts w:cs="Calibri"/>
                <w:szCs w:val="22"/>
              </w:rPr>
              <w:t xml:space="preserve"> as applicable</w:t>
            </w:r>
            <w:r w:rsidR="002A1043" w:rsidRPr="00366B29">
              <w:rPr>
                <w:rFonts w:cs="Calibri"/>
                <w:szCs w:val="22"/>
              </w:rPr>
              <w:t xml:space="preserve">: </w:t>
            </w:r>
          </w:p>
          <w:p w14:paraId="1FF253A6" w14:textId="2D499260" w:rsidR="002A1043" w:rsidRPr="00366B29" w:rsidRDefault="002A1043" w:rsidP="00C91E5C">
            <w:pPr>
              <w:numPr>
                <w:ilvl w:val="0"/>
                <w:numId w:val="6"/>
              </w:numPr>
              <w:rPr>
                <w:rFonts w:cs="Calibri"/>
                <w:szCs w:val="22"/>
              </w:rPr>
            </w:pPr>
            <w:r w:rsidRPr="00366B29">
              <w:rPr>
                <w:rFonts w:cs="Calibri"/>
                <w:szCs w:val="22"/>
              </w:rPr>
              <w:t xml:space="preserve">Appropriate placement on the floor and required </w:t>
            </w:r>
            <w:r w:rsidR="00F24ECC">
              <w:rPr>
                <w:rFonts w:cs="Calibri"/>
                <w:szCs w:val="22"/>
              </w:rPr>
              <w:br/>
            </w:r>
            <w:r w:rsidRPr="00366B29">
              <w:rPr>
                <w:rFonts w:cs="Calibri"/>
                <w:szCs w:val="22"/>
              </w:rPr>
              <w:t>point</w:t>
            </w:r>
            <w:r w:rsidR="00F24ECC">
              <w:rPr>
                <w:rFonts w:cs="Calibri"/>
                <w:szCs w:val="22"/>
              </w:rPr>
              <w:t>-</w:t>
            </w:r>
            <w:r w:rsidRPr="00366B29">
              <w:rPr>
                <w:rFonts w:cs="Calibri"/>
                <w:szCs w:val="22"/>
              </w:rPr>
              <w:t>of</w:t>
            </w:r>
            <w:r w:rsidR="00F24ECC">
              <w:rPr>
                <w:rFonts w:cs="Calibri"/>
                <w:szCs w:val="22"/>
              </w:rPr>
              <w:t>-</w:t>
            </w:r>
            <w:r w:rsidRPr="00366B29">
              <w:rPr>
                <w:rFonts w:cs="Calibri"/>
                <w:szCs w:val="22"/>
              </w:rPr>
              <w:t>operation guards to protect users from injury due to moving parts.</w:t>
            </w:r>
          </w:p>
          <w:p w14:paraId="2E7FB9CF" w14:textId="7305993F" w:rsidR="002A1043" w:rsidRPr="00366B29" w:rsidRDefault="002A1043" w:rsidP="00C91E5C">
            <w:pPr>
              <w:numPr>
                <w:ilvl w:val="0"/>
                <w:numId w:val="6"/>
              </w:numPr>
              <w:rPr>
                <w:rFonts w:cs="Calibri"/>
                <w:szCs w:val="22"/>
              </w:rPr>
            </w:pPr>
            <w:r w:rsidRPr="00366B29">
              <w:rPr>
                <w:rFonts w:cs="Calibri"/>
                <w:szCs w:val="22"/>
              </w:rPr>
              <w:t>Clearly visible and accessible push-type emergency cut-</w:t>
            </w:r>
            <w:r w:rsidR="000669F1">
              <w:rPr>
                <w:rFonts w:cs="Calibri"/>
                <w:szCs w:val="22"/>
              </w:rPr>
              <w:t>off</w:t>
            </w:r>
            <w:r w:rsidRPr="00366B29">
              <w:rPr>
                <w:rFonts w:cs="Calibri"/>
                <w:szCs w:val="22"/>
              </w:rPr>
              <w:t xml:space="preserve"> switches at appropriate locations within shops to </w:t>
            </w:r>
            <w:r w:rsidR="00F05EBD">
              <w:rPr>
                <w:rFonts w:cs="Calibri"/>
                <w:szCs w:val="22"/>
              </w:rPr>
              <w:br/>
            </w:r>
            <w:r w:rsidRPr="00366B29">
              <w:rPr>
                <w:rFonts w:cs="Calibri"/>
                <w:szCs w:val="22"/>
              </w:rPr>
              <w:t>de-energize electrical supply to non</w:t>
            </w:r>
            <w:r w:rsidR="00F05EBD">
              <w:rPr>
                <w:rFonts w:cs="Calibri"/>
                <w:szCs w:val="22"/>
              </w:rPr>
              <w:t>-</w:t>
            </w:r>
            <w:r w:rsidRPr="00366B29">
              <w:rPr>
                <w:rFonts w:cs="Calibri"/>
                <w:szCs w:val="22"/>
              </w:rPr>
              <w:t>portable machinery.</w:t>
            </w:r>
          </w:p>
          <w:p w14:paraId="7507FE02" w14:textId="77777777" w:rsidR="002A1043" w:rsidRPr="00366B29" w:rsidRDefault="002A1043" w:rsidP="00C91E5C">
            <w:pPr>
              <w:numPr>
                <w:ilvl w:val="0"/>
                <w:numId w:val="6"/>
              </w:numPr>
              <w:rPr>
                <w:rFonts w:cs="Calibri"/>
                <w:szCs w:val="22"/>
              </w:rPr>
            </w:pPr>
            <w:r w:rsidRPr="00366B29">
              <w:rPr>
                <w:rFonts w:cs="Calibri"/>
                <w:szCs w:val="22"/>
              </w:rPr>
              <w:t>Non-portable machinery provided with magnetic type switches to prevent automatic restart upon restoration of power after an electrical failure or reactivation of the emergency cut-off switch.</w:t>
            </w:r>
          </w:p>
          <w:p w14:paraId="30900EDF" w14:textId="746165A4" w:rsidR="00776629" w:rsidRPr="00CA0F4E" w:rsidRDefault="002A1043" w:rsidP="00CA0F4E">
            <w:pPr>
              <w:numPr>
                <w:ilvl w:val="0"/>
                <w:numId w:val="6"/>
              </w:numPr>
              <w:spacing w:after="120"/>
              <w:rPr>
                <w:rFonts w:cs="Calibri"/>
                <w:szCs w:val="22"/>
              </w:rPr>
            </w:pPr>
            <w:r w:rsidRPr="00366B29">
              <w:rPr>
                <w:rFonts w:cs="Calibri"/>
                <w:szCs w:val="22"/>
              </w:rPr>
              <w:t>Key-operated electric solenoid shut-off valves on natural gas lines in science laboratories and shops constructed after 1979</w:t>
            </w:r>
            <w:r w:rsidR="008838DC">
              <w:rPr>
                <w:rFonts w:cs="Calibri"/>
                <w:szCs w:val="22"/>
              </w:rPr>
              <w:t xml:space="preserve">. </w:t>
            </w:r>
            <w:r w:rsidRPr="00366B29">
              <w:rPr>
                <w:rFonts w:cs="Calibri"/>
                <w:szCs w:val="22"/>
              </w:rPr>
              <w:t>On all other gas lines there is an emergency shut</w:t>
            </w:r>
            <w:r w:rsidR="002636D4">
              <w:rPr>
                <w:rFonts w:cs="Calibri"/>
                <w:szCs w:val="22"/>
              </w:rPr>
              <w:t>-</w:t>
            </w:r>
            <w:r w:rsidRPr="00366B29">
              <w:rPr>
                <w:rFonts w:cs="Calibri"/>
                <w:szCs w:val="22"/>
              </w:rPr>
              <w:t>off valve which is clearly marked and accessible.</w:t>
            </w:r>
          </w:p>
        </w:tc>
        <w:tc>
          <w:tcPr>
            <w:tcW w:w="720" w:type="dxa"/>
          </w:tcPr>
          <w:p w14:paraId="2197542F" w14:textId="77777777" w:rsidR="002A1043" w:rsidRPr="00366B29" w:rsidRDefault="002A1043" w:rsidP="00F05A99">
            <w:pPr>
              <w:jc w:val="center"/>
              <w:rPr>
                <w:rFonts w:cs="Calibri"/>
                <w:szCs w:val="22"/>
              </w:rPr>
            </w:pPr>
          </w:p>
        </w:tc>
        <w:tc>
          <w:tcPr>
            <w:tcW w:w="630" w:type="dxa"/>
          </w:tcPr>
          <w:p w14:paraId="45855A61" w14:textId="77777777" w:rsidR="002A1043" w:rsidRPr="00366B29" w:rsidRDefault="002A1043" w:rsidP="00F05A99">
            <w:pPr>
              <w:jc w:val="center"/>
              <w:rPr>
                <w:rFonts w:cs="Calibri"/>
                <w:szCs w:val="22"/>
              </w:rPr>
            </w:pPr>
          </w:p>
        </w:tc>
        <w:tc>
          <w:tcPr>
            <w:tcW w:w="630" w:type="dxa"/>
          </w:tcPr>
          <w:p w14:paraId="27E903C5" w14:textId="77777777" w:rsidR="002A1043" w:rsidRPr="00366B29" w:rsidRDefault="002A1043" w:rsidP="00F05A99">
            <w:pPr>
              <w:jc w:val="center"/>
              <w:rPr>
                <w:rFonts w:cs="Calibri"/>
                <w:szCs w:val="22"/>
              </w:rPr>
            </w:pPr>
          </w:p>
        </w:tc>
        <w:tc>
          <w:tcPr>
            <w:tcW w:w="2807" w:type="dxa"/>
          </w:tcPr>
          <w:p w14:paraId="31426FD0" w14:textId="77777777" w:rsidR="002A1043" w:rsidRPr="00366B29" w:rsidRDefault="002A1043" w:rsidP="00F05A99">
            <w:pPr>
              <w:spacing w:before="60"/>
              <w:rPr>
                <w:rFonts w:cs="Calibri"/>
                <w:szCs w:val="22"/>
              </w:rPr>
            </w:pPr>
          </w:p>
        </w:tc>
      </w:tr>
      <w:tr w:rsidR="006A0564" w:rsidRPr="00366B29" w14:paraId="7D03DF9D" w14:textId="77777777" w:rsidTr="003D5E76">
        <w:tc>
          <w:tcPr>
            <w:tcW w:w="6228" w:type="dxa"/>
          </w:tcPr>
          <w:p w14:paraId="6AC99BB2" w14:textId="4051CCFD" w:rsidR="00AF721A" w:rsidRPr="00CA0F4E" w:rsidRDefault="006571E8" w:rsidP="006571E8">
            <w:pPr>
              <w:spacing w:after="120"/>
              <w:ind w:left="317" w:hanging="317"/>
              <w:rPr>
                <w:rFonts w:cs="Calibri"/>
                <w:szCs w:val="22"/>
              </w:rPr>
            </w:pPr>
            <w:r w:rsidRPr="006571E8">
              <w:rPr>
                <w:rFonts w:cs="Calibri"/>
                <w:b/>
                <w:bCs/>
                <w:szCs w:val="22"/>
              </w:rPr>
              <w:t>23</w:t>
            </w:r>
            <w:r>
              <w:rPr>
                <w:rFonts w:cs="Calibri"/>
                <w:szCs w:val="22"/>
              </w:rPr>
              <w:t xml:space="preserve">. </w:t>
            </w:r>
            <w:r w:rsidR="006A0564" w:rsidRPr="00366B29">
              <w:rPr>
                <w:rFonts w:cs="Calibri"/>
                <w:szCs w:val="22"/>
              </w:rPr>
              <w:t xml:space="preserve">At a minimum, one #20 </w:t>
            </w:r>
            <w:r w:rsidR="00725278">
              <w:rPr>
                <w:rFonts w:cs="Calibri"/>
                <w:szCs w:val="22"/>
              </w:rPr>
              <w:t>A</w:t>
            </w:r>
            <w:r w:rsidR="006A0564" w:rsidRPr="00366B29">
              <w:rPr>
                <w:rFonts w:cs="Calibri"/>
                <w:szCs w:val="22"/>
              </w:rPr>
              <w:t>BC</w:t>
            </w:r>
            <w:r w:rsidR="00725278">
              <w:rPr>
                <w:rFonts w:cs="Calibri"/>
                <w:szCs w:val="22"/>
              </w:rPr>
              <w:t>-</w:t>
            </w:r>
            <w:r w:rsidR="006A0564" w:rsidRPr="00366B29">
              <w:rPr>
                <w:rFonts w:cs="Calibri"/>
                <w:szCs w:val="22"/>
              </w:rPr>
              <w:t>rated fire extinguisher is provided in each laboratory and vocational area.</w:t>
            </w:r>
          </w:p>
        </w:tc>
        <w:tc>
          <w:tcPr>
            <w:tcW w:w="720" w:type="dxa"/>
          </w:tcPr>
          <w:p w14:paraId="5366DAD2" w14:textId="77777777" w:rsidR="006A0564" w:rsidRPr="00366B29" w:rsidRDefault="006A0564">
            <w:pPr>
              <w:jc w:val="center"/>
              <w:rPr>
                <w:rFonts w:cs="Calibri"/>
                <w:szCs w:val="22"/>
              </w:rPr>
            </w:pPr>
          </w:p>
        </w:tc>
        <w:tc>
          <w:tcPr>
            <w:tcW w:w="630" w:type="dxa"/>
          </w:tcPr>
          <w:p w14:paraId="2BE59E81" w14:textId="77777777" w:rsidR="006A0564" w:rsidRPr="00366B29" w:rsidRDefault="006A0564">
            <w:pPr>
              <w:jc w:val="center"/>
              <w:rPr>
                <w:rFonts w:cs="Calibri"/>
                <w:szCs w:val="22"/>
              </w:rPr>
            </w:pPr>
          </w:p>
        </w:tc>
        <w:tc>
          <w:tcPr>
            <w:tcW w:w="630" w:type="dxa"/>
          </w:tcPr>
          <w:p w14:paraId="22FE8A24" w14:textId="77777777" w:rsidR="006A0564" w:rsidRPr="00366B29" w:rsidRDefault="006A0564">
            <w:pPr>
              <w:jc w:val="center"/>
              <w:rPr>
                <w:rFonts w:cs="Calibri"/>
                <w:szCs w:val="22"/>
              </w:rPr>
            </w:pPr>
          </w:p>
        </w:tc>
        <w:tc>
          <w:tcPr>
            <w:tcW w:w="2807" w:type="dxa"/>
          </w:tcPr>
          <w:p w14:paraId="1A06414D" w14:textId="77777777" w:rsidR="006A0564" w:rsidRPr="00366B29" w:rsidRDefault="006A0564">
            <w:pPr>
              <w:spacing w:before="60"/>
              <w:rPr>
                <w:rFonts w:cs="Calibri"/>
                <w:szCs w:val="22"/>
              </w:rPr>
            </w:pPr>
          </w:p>
        </w:tc>
      </w:tr>
      <w:tr w:rsidR="006A0564" w:rsidRPr="00366B29" w14:paraId="6C69203A" w14:textId="77777777" w:rsidTr="003D5E76">
        <w:tc>
          <w:tcPr>
            <w:tcW w:w="6228" w:type="dxa"/>
          </w:tcPr>
          <w:p w14:paraId="18A69687" w14:textId="695BAB1C" w:rsidR="006A0564" w:rsidRPr="00366B29" w:rsidRDefault="006571E8" w:rsidP="006571E8">
            <w:pPr>
              <w:rPr>
                <w:rFonts w:cs="Calibri"/>
                <w:szCs w:val="22"/>
              </w:rPr>
            </w:pPr>
            <w:r w:rsidRPr="006571E8">
              <w:rPr>
                <w:rFonts w:cs="Calibri"/>
                <w:b/>
                <w:bCs/>
                <w:szCs w:val="22"/>
              </w:rPr>
              <w:t xml:space="preserve">24. </w:t>
            </w:r>
            <w:r w:rsidR="006A0564" w:rsidRPr="00366B29">
              <w:rPr>
                <w:rFonts w:cs="Calibri"/>
                <w:szCs w:val="22"/>
              </w:rPr>
              <w:t xml:space="preserve">Adequate eye and body protection </w:t>
            </w:r>
            <w:r w:rsidR="0084323A">
              <w:rPr>
                <w:rFonts w:cs="Calibri"/>
                <w:szCs w:val="22"/>
              </w:rPr>
              <w:t>are</w:t>
            </w:r>
            <w:r w:rsidR="006A0564" w:rsidRPr="00366B29">
              <w:rPr>
                <w:rFonts w:cs="Calibri"/>
                <w:szCs w:val="22"/>
              </w:rPr>
              <w:t xml:space="preserve"> provided, including:</w:t>
            </w:r>
          </w:p>
          <w:p w14:paraId="49E982B2" w14:textId="77777777" w:rsidR="006A0564" w:rsidRPr="00366B29" w:rsidRDefault="006A0564" w:rsidP="00C91E5C">
            <w:pPr>
              <w:numPr>
                <w:ilvl w:val="0"/>
                <w:numId w:val="4"/>
              </w:numPr>
              <w:rPr>
                <w:rFonts w:cs="Calibri"/>
                <w:szCs w:val="22"/>
              </w:rPr>
            </w:pPr>
            <w:r w:rsidRPr="00366B29">
              <w:rPr>
                <w:rFonts w:cs="Calibri"/>
                <w:szCs w:val="22"/>
              </w:rPr>
              <w:t>Eye protection devices (glasses, goggles) for students and faculty in each laboratory and shop area, including appropriate provision for their sanitation.</w:t>
            </w:r>
          </w:p>
          <w:p w14:paraId="1E47D5B6" w14:textId="77777777" w:rsidR="006A0564" w:rsidRPr="00366B29" w:rsidRDefault="006A0564" w:rsidP="00C91E5C">
            <w:pPr>
              <w:numPr>
                <w:ilvl w:val="0"/>
                <w:numId w:val="4"/>
              </w:numPr>
              <w:rPr>
                <w:rFonts w:cs="Calibri"/>
                <w:szCs w:val="22"/>
              </w:rPr>
            </w:pPr>
            <w:r w:rsidRPr="00366B29">
              <w:rPr>
                <w:rFonts w:cs="Calibri"/>
                <w:szCs w:val="22"/>
              </w:rPr>
              <w:t>Emergency eyewash device(s), with 15 minutes continuous flow, where caustic or corrosive materials are used.</w:t>
            </w:r>
          </w:p>
          <w:p w14:paraId="57A86F80" w14:textId="3D124410" w:rsidR="00FC3851" w:rsidRPr="007F4947" w:rsidRDefault="006A0564" w:rsidP="007F4947">
            <w:pPr>
              <w:numPr>
                <w:ilvl w:val="0"/>
                <w:numId w:val="4"/>
              </w:numPr>
              <w:spacing w:after="120"/>
              <w:rPr>
                <w:rFonts w:cs="Calibri"/>
                <w:szCs w:val="22"/>
              </w:rPr>
            </w:pPr>
            <w:r w:rsidRPr="00366B29">
              <w:rPr>
                <w:rFonts w:cs="Calibri"/>
                <w:szCs w:val="22"/>
              </w:rPr>
              <w:t>An emergency cold-water shower for chemistry laboratory if constructed after October 198</w:t>
            </w:r>
            <w:r w:rsidR="00FC3851">
              <w:rPr>
                <w:rFonts w:cs="Calibri"/>
                <w:szCs w:val="22"/>
              </w:rPr>
              <w:t xml:space="preserve">5. </w:t>
            </w:r>
            <w:r w:rsidR="00625A20">
              <w:rPr>
                <w:rFonts w:cs="Calibri"/>
                <w:szCs w:val="22"/>
              </w:rPr>
              <w:t>N.J.A.C.</w:t>
            </w:r>
            <w:r w:rsidR="00FC3851">
              <w:rPr>
                <w:rFonts w:cs="Calibri"/>
                <w:szCs w:val="22"/>
              </w:rPr>
              <w:t xml:space="preserve"> 6A:</w:t>
            </w:r>
            <w:r w:rsidR="00E900F4">
              <w:rPr>
                <w:rFonts w:cs="Calibri"/>
                <w:szCs w:val="22"/>
              </w:rPr>
              <w:t>26-</w:t>
            </w:r>
            <w:r w:rsidR="00FC3851">
              <w:rPr>
                <w:rFonts w:cs="Calibri"/>
                <w:szCs w:val="22"/>
              </w:rPr>
              <w:t>12.5</w:t>
            </w:r>
            <w:r w:rsidR="00E900F4">
              <w:rPr>
                <w:rFonts w:cs="Calibri"/>
                <w:szCs w:val="22"/>
              </w:rPr>
              <w:t>(d)</w:t>
            </w:r>
          </w:p>
        </w:tc>
        <w:tc>
          <w:tcPr>
            <w:tcW w:w="720" w:type="dxa"/>
          </w:tcPr>
          <w:p w14:paraId="73CA7470" w14:textId="77777777" w:rsidR="006A0564" w:rsidRPr="00366B29" w:rsidRDefault="006A0564">
            <w:pPr>
              <w:jc w:val="center"/>
              <w:rPr>
                <w:rFonts w:cs="Calibri"/>
                <w:szCs w:val="22"/>
              </w:rPr>
            </w:pPr>
          </w:p>
        </w:tc>
        <w:tc>
          <w:tcPr>
            <w:tcW w:w="630" w:type="dxa"/>
          </w:tcPr>
          <w:p w14:paraId="38E1DEF4" w14:textId="77777777" w:rsidR="006A0564" w:rsidRPr="00366B29" w:rsidRDefault="006A0564">
            <w:pPr>
              <w:jc w:val="center"/>
              <w:rPr>
                <w:rFonts w:cs="Calibri"/>
                <w:szCs w:val="22"/>
              </w:rPr>
            </w:pPr>
          </w:p>
        </w:tc>
        <w:tc>
          <w:tcPr>
            <w:tcW w:w="630" w:type="dxa"/>
          </w:tcPr>
          <w:p w14:paraId="4C3310A1" w14:textId="77777777" w:rsidR="006A0564" w:rsidRPr="00366B29" w:rsidRDefault="006A0564">
            <w:pPr>
              <w:jc w:val="center"/>
              <w:rPr>
                <w:rFonts w:cs="Calibri"/>
                <w:szCs w:val="22"/>
              </w:rPr>
            </w:pPr>
          </w:p>
        </w:tc>
        <w:tc>
          <w:tcPr>
            <w:tcW w:w="2807" w:type="dxa"/>
          </w:tcPr>
          <w:p w14:paraId="5E11D018" w14:textId="77777777" w:rsidR="006A0564" w:rsidRPr="00366B29" w:rsidRDefault="006A0564" w:rsidP="00682B69">
            <w:pPr>
              <w:spacing w:before="60"/>
              <w:rPr>
                <w:rFonts w:cs="Calibri"/>
                <w:szCs w:val="22"/>
              </w:rPr>
            </w:pPr>
          </w:p>
        </w:tc>
      </w:tr>
      <w:tr w:rsidR="006A0564" w:rsidRPr="00366B29" w14:paraId="7D3D94A4" w14:textId="77777777" w:rsidTr="003D5E76">
        <w:tc>
          <w:tcPr>
            <w:tcW w:w="6228" w:type="dxa"/>
          </w:tcPr>
          <w:p w14:paraId="18064669" w14:textId="3853FE54" w:rsidR="006A0564" w:rsidRPr="00366B29" w:rsidRDefault="006571E8" w:rsidP="006571E8">
            <w:pPr>
              <w:ind w:left="317" w:hanging="317"/>
              <w:rPr>
                <w:rFonts w:cs="Calibri"/>
                <w:szCs w:val="22"/>
              </w:rPr>
            </w:pPr>
            <w:r w:rsidRPr="006571E8">
              <w:rPr>
                <w:rFonts w:cs="Calibri"/>
                <w:b/>
                <w:bCs/>
                <w:szCs w:val="22"/>
              </w:rPr>
              <w:t>25</w:t>
            </w:r>
            <w:r>
              <w:rPr>
                <w:rFonts w:cs="Calibri"/>
                <w:szCs w:val="22"/>
              </w:rPr>
              <w:t xml:space="preserve">. </w:t>
            </w:r>
            <w:r w:rsidR="00703E86">
              <w:rPr>
                <w:rFonts w:cs="Calibri"/>
                <w:szCs w:val="22"/>
              </w:rPr>
              <w:t>Provision of</w:t>
            </w:r>
            <w:r w:rsidR="006A0564" w:rsidRPr="00366B29">
              <w:rPr>
                <w:rFonts w:cs="Calibri"/>
                <w:szCs w:val="22"/>
              </w:rPr>
              <w:t xml:space="preserve"> proper local or general ventilation and/or exhausti</w:t>
            </w:r>
            <w:r w:rsidR="00703E86">
              <w:rPr>
                <w:rFonts w:cs="Calibri"/>
                <w:szCs w:val="22"/>
              </w:rPr>
              <w:t>ng</w:t>
            </w:r>
            <w:r w:rsidR="006A0564" w:rsidRPr="00366B29">
              <w:rPr>
                <w:rFonts w:cs="Calibri"/>
                <w:szCs w:val="22"/>
              </w:rPr>
              <w:t xml:space="preserve"> of toxic and/or dangerous fumes and/or odors, including for the following activities, as applicable: </w:t>
            </w:r>
          </w:p>
          <w:p w14:paraId="43C7EF01" w14:textId="74E43B98" w:rsidR="006A0564" w:rsidRPr="00366B29" w:rsidRDefault="006A0564" w:rsidP="00C91E5C">
            <w:pPr>
              <w:numPr>
                <w:ilvl w:val="0"/>
                <w:numId w:val="5"/>
              </w:numPr>
              <w:rPr>
                <w:rFonts w:cs="Calibri"/>
                <w:szCs w:val="22"/>
              </w:rPr>
            </w:pPr>
            <w:r w:rsidRPr="00366B29">
              <w:rPr>
                <w:rFonts w:cs="Calibri"/>
                <w:szCs w:val="22"/>
              </w:rPr>
              <w:t>For science activities (i.e.</w:t>
            </w:r>
            <w:r w:rsidR="00703E86">
              <w:rPr>
                <w:rFonts w:cs="Calibri"/>
                <w:szCs w:val="22"/>
              </w:rPr>
              <w:t>,</w:t>
            </w:r>
            <w:r w:rsidRPr="00366B29">
              <w:rPr>
                <w:rFonts w:cs="Calibri"/>
                <w:szCs w:val="22"/>
              </w:rPr>
              <w:t xml:space="preserve"> via fume hoods)</w:t>
            </w:r>
          </w:p>
          <w:p w14:paraId="6828D06E" w14:textId="0C293AEF" w:rsidR="006A0564" w:rsidRPr="00366B29" w:rsidRDefault="006A0564" w:rsidP="00C91E5C">
            <w:pPr>
              <w:numPr>
                <w:ilvl w:val="0"/>
                <w:numId w:val="5"/>
              </w:numPr>
              <w:rPr>
                <w:rFonts w:cs="Calibri"/>
                <w:szCs w:val="22"/>
              </w:rPr>
            </w:pPr>
            <w:r w:rsidRPr="00366B29">
              <w:rPr>
                <w:rFonts w:cs="Calibri"/>
                <w:szCs w:val="22"/>
              </w:rPr>
              <w:t>For welding operations</w:t>
            </w:r>
          </w:p>
          <w:p w14:paraId="794FA279" w14:textId="77777777" w:rsidR="006571E8" w:rsidRDefault="006A0564" w:rsidP="006571E8">
            <w:pPr>
              <w:numPr>
                <w:ilvl w:val="0"/>
                <w:numId w:val="5"/>
              </w:numPr>
              <w:rPr>
                <w:rFonts w:cs="Calibri"/>
                <w:szCs w:val="22"/>
              </w:rPr>
            </w:pPr>
            <w:r w:rsidRPr="00366B29">
              <w:rPr>
                <w:rFonts w:cs="Calibri"/>
                <w:szCs w:val="22"/>
              </w:rPr>
              <w:t>For paint spraying operations:</w:t>
            </w:r>
          </w:p>
          <w:p w14:paraId="098BBC8B" w14:textId="3D11AFF0" w:rsidR="006571E8" w:rsidRDefault="006A0564" w:rsidP="006571E8">
            <w:pPr>
              <w:numPr>
                <w:ilvl w:val="1"/>
                <w:numId w:val="5"/>
              </w:numPr>
              <w:ind w:left="1080"/>
              <w:rPr>
                <w:rFonts w:cs="Calibri"/>
                <w:szCs w:val="22"/>
              </w:rPr>
            </w:pPr>
            <w:r w:rsidRPr="006571E8">
              <w:rPr>
                <w:rFonts w:cs="Calibri"/>
                <w:szCs w:val="22"/>
              </w:rPr>
              <w:t>Auto</w:t>
            </w:r>
            <w:r w:rsidR="00703E86">
              <w:rPr>
                <w:rFonts w:cs="Calibri"/>
                <w:szCs w:val="22"/>
              </w:rPr>
              <w:t>motive</w:t>
            </w:r>
            <w:r w:rsidRPr="006571E8">
              <w:rPr>
                <w:rFonts w:cs="Calibri"/>
                <w:szCs w:val="22"/>
              </w:rPr>
              <w:t xml:space="preserve">: should have </w:t>
            </w:r>
            <w:r w:rsidR="00703E86">
              <w:rPr>
                <w:rFonts w:cs="Calibri"/>
                <w:szCs w:val="22"/>
              </w:rPr>
              <w:t xml:space="preserve">a </w:t>
            </w:r>
            <w:r w:rsidRPr="006571E8">
              <w:rPr>
                <w:rFonts w:cs="Calibri"/>
                <w:szCs w:val="22"/>
              </w:rPr>
              <w:t>separate exhaust system.</w:t>
            </w:r>
          </w:p>
          <w:p w14:paraId="4DCE641D" w14:textId="5E2DDA14" w:rsidR="006A0564" w:rsidRPr="006571E8" w:rsidRDefault="006A0564" w:rsidP="006571E8">
            <w:pPr>
              <w:numPr>
                <w:ilvl w:val="1"/>
                <w:numId w:val="5"/>
              </w:numPr>
              <w:ind w:left="1080"/>
              <w:rPr>
                <w:rFonts w:cs="Calibri"/>
                <w:szCs w:val="22"/>
              </w:rPr>
            </w:pPr>
            <w:r w:rsidRPr="006571E8">
              <w:rPr>
                <w:rFonts w:cs="Calibri"/>
                <w:szCs w:val="22"/>
              </w:rPr>
              <w:t>Art: proper ventilation for spray</w:t>
            </w:r>
            <w:r w:rsidR="00703E86">
              <w:rPr>
                <w:rFonts w:cs="Calibri"/>
                <w:szCs w:val="22"/>
              </w:rPr>
              <w:t xml:space="preserve"> </w:t>
            </w:r>
            <w:r w:rsidRPr="006571E8">
              <w:rPr>
                <w:rFonts w:cs="Calibri"/>
                <w:szCs w:val="22"/>
              </w:rPr>
              <w:t>paint with fumes</w:t>
            </w:r>
          </w:p>
          <w:p w14:paraId="01E392F7" w14:textId="49FACC13" w:rsidR="006A0564" w:rsidRPr="00366B29" w:rsidRDefault="006A0564" w:rsidP="00C91E5C">
            <w:pPr>
              <w:numPr>
                <w:ilvl w:val="0"/>
                <w:numId w:val="5"/>
              </w:numPr>
              <w:rPr>
                <w:rFonts w:cs="Calibri"/>
                <w:szCs w:val="22"/>
              </w:rPr>
            </w:pPr>
            <w:r w:rsidRPr="00366B29">
              <w:rPr>
                <w:rFonts w:cs="Calibri"/>
                <w:szCs w:val="22"/>
              </w:rPr>
              <w:t xml:space="preserve">Art: </w:t>
            </w:r>
            <w:r w:rsidR="004B3DF7">
              <w:rPr>
                <w:rFonts w:cs="Calibri"/>
                <w:szCs w:val="22"/>
              </w:rPr>
              <w:t>Designated sa</w:t>
            </w:r>
            <w:r w:rsidR="003E204B">
              <w:rPr>
                <w:rFonts w:cs="Calibri"/>
                <w:szCs w:val="22"/>
              </w:rPr>
              <w:t>f</w:t>
            </w:r>
            <w:r w:rsidR="004B3DF7">
              <w:rPr>
                <w:rFonts w:cs="Calibri"/>
                <w:szCs w:val="22"/>
              </w:rPr>
              <w:t>e</w:t>
            </w:r>
            <w:r w:rsidRPr="00366B29">
              <w:rPr>
                <w:rFonts w:cs="Calibri"/>
                <w:szCs w:val="22"/>
              </w:rPr>
              <w:t xml:space="preserve"> space/room for kilns with proper ventilation </w:t>
            </w:r>
          </w:p>
          <w:p w14:paraId="4B836BE2" w14:textId="1479C68B" w:rsidR="00776629" w:rsidRPr="00CA0F4E" w:rsidRDefault="004B3DF7" w:rsidP="00CA0F4E">
            <w:pPr>
              <w:numPr>
                <w:ilvl w:val="0"/>
                <w:numId w:val="5"/>
              </w:numPr>
              <w:spacing w:after="120"/>
              <w:rPr>
                <w:rFonts w:cs="Calibri"/>
                <w:b/>
                <w:szCs w:val="22"/>
              </w:rPr>
            </w:pPr>
            <w:r>
              <w:rPr>
                <w:rFonts w:cs="Calibri"/>
                <w:szCs w:val="22"/>
              </w:rPr>
              <w:t>In</w:t>
            </w:r>
            <w:r w:rsidR="006A0564" w:rsidRPr="00366B29">
              <w:rPr>
                <w:rFonts w:cs="Calibri"/>
                <w:szCs w:val="22"/>
              </w:rPr>
              <w:t xml:space="preserve"> dust generating operations, such as wood working, a dust collecting system which should be either single or multi-use vacuum packs or a </w:t>
            </w:r>
            <w:r w:rsidR="00966B0C" w:rsidRPr="00366B29">
              <w:rPr>
                <w:rFonts w:cs="Calibri"/>
                <w:szCs w:val="22"/>
              </w:rPr>
              <w:t>central dust</w:t>
            </w:r>
            <w:r w:rsidR="00200943" w:rsidRPr="00366B29">
              <w:rPr>
                <w:rFonts w:cs="Calibri"/>
                <w:szCs w:val="22"/>
              </w:rPr>
              <w:t xml:space="preserve"> </w:t>
            </w:r>
            <w:r w:rsidR="006A0564" w:rsidRPr="00366B29">
              <w:rPr>
                <w:rFonts w:cs="Calibri"/>
                <w:szCs w:val="22"/>
              </w:rPr>
              <w:t>collection system</w:t>
            </w:r>
          </w:p>
        </w:tc>
        <w:tc>
          <w:tcPr>
            <w:tcW w:w="720" w:type="dxa"/>
          </w:tcPr>
          <w:p w14:paraId="0BCE948C" w14:textId="77777777" w:rsidR="006A0564" w:rsidRPr="00366B29" w:rsidRDefault="006A0564">
            <w:pPr>
              <w:jc w:val="center"/>
              <w:rPr>
                <w:rFonts w:cs="Calibri"/>
                <w:szCs w:val="22"/>
              </w:rPr>
            </w:pPr>
          </w:p>
        </w:tc>
        <w:tc>
          <w:tcPr>
            <w:tcW w:w="630" w:type="dxa"/>
          </w:tcPr>
          <w:p w14:paraId="0F25715D" w14:textId="77777777" w:rsidR="006A0564" w:rsidRPr="00366B29" w:rsidRDefault="006A0564">
            <w:pPr>
              <w:jc w:val="center"/>
              <w:rPr>
                <w:rFonts w:cs="Calibri"/>
                <w:szCs w:val="22"/>
              </w:rPr>
            </w:pPr>
          </w:p>
        </w:tc>
        <w:tc>
          <w:tcPr>
            <w:tcW w:w="630" w:type="dxa"/>
          </w:tcPr>
          <w:p w14:paraId="2A7AC099" w14:textId="77777777" w:rsidR="006A0564" w:rsidRPr="00366B29" w:rsidRDefault="006A0564">
            <w:pPr>
              <w:jc w:val="center"/>
              <w:rPr>
                <w:rFonts w:cs="Calibri"/>
                <w:szCs w:val="22"/>
              </w:rPr>
            </w:pPr>
          </w:p>
        </w:tc>
        <w:tc>
          <w:tcPr>
            <w:tcW w:w="2807" w:type="dxa"/>
          </w:tcPr>
          <w:p w14:paraId="423B6FD2" w14:textId="77777777" w:rsidR="006A0564" w:rsidRPr="00366B29" w:rsidRDefault="006A0564">
            <w:pPr>
              <w:spacing w:before="60"/>
              <w:rPr>
                <w:rFonts w:cs="Calibri"/>
                <w:szCs w:val="22"/>
              </w:rPr>
            </w:pPr>
          </w:p>
        </w:tc>
      </w:tr>
    </w:tbl>
    <w:p w14:paraId="03B4CC22" w14:textId="77777777" w:rsidR="00FC0F7F" w:rsidRPr="00FC0F7F" w:rsidRDefault="00FC0F7F">
      <w:pPr>
        <w:rPr>
          <w:sz w:val="4"/>
          <w:szCs w:val="4"/>
        </w:rPr>
      </w:pPr>
    </w:p>
    <w:tbl>
      <w:tblPr>
        <w:tblStyle w:val="TableGrid"/>
        <w:tblW w:w="8208" w:type="dxa"/>
        <w:tblLayout w:type="fixed"/>
        <w:tblLook w:val="0020" w:firstRow="1" w:lastRow="0" w:firstColumn="0" w:lastColumn="0" w:noHBand="0" w:noVBand="0"/>
      </w:tblPr>
      <w:tblGrid>
        <w:gridCol w:w="6228"/>
        <w:gridCol w:w="720"/>
        <w:gridCol w:w="630"/>
        <w:gridCol w:w="630"/>
      </w:tblGrid>
      <w:tr w:rsidR="00211585" w:rsidRPr="00366B29" w14:paraId="18CBEBA4" w14:textId="77777777" w:rsidTr="003D5E76">
        <w:trPr>
          <w:tblHeader/>
        </w:trPr>
        <w:tc>
          <w:tcPr>
            <w:tcW w:w="6228" w:type="dxa"/>
          </w:tcPr>
          <w:p w14:paraId="0908BB9D" w14:textId="517F554C" w:rsidR="00211585" w:rsidRPr="00FC0F7F" w:rsidRDefault="00F77B79" w:rsidP="00F77B79">
            <w:pPr>
              <w:rPr>
                <w:rFonts w:cs="Calibri"/>
                <w:b/>
                <w:sz w:val="28"/>
                <w:szCs w:val="22"/>
              </w:rPr>
            </w:pPr>
            <w:r w:rsidRPr="009C1345">
              <w:rPr>
                <w:rFonts w:cs="Calibri"/>
                <w:b/>
                <w:color w:val="000000" w:themeColor="text1"/>
                <w:sz w:val="28"/>
                <w:szCs w:val="22"/>
              </w:rPr>
              <w:lastRenderedPageBreak/>
              <w:t>Total</w:t>
            </w:r>
          </w:p>
        </w:tc>
        <w:tc>
          <w:tcPr>
            <w:tcW w:w="720" w:type="dxa"/>
          </w:tcPr>
          <w:p w14:paraId="2F122817" w14:textId="7B932C9C" w:rsidR="00211585" w:rsidRPr="00FC0F7F" w:rsidRDefault="00211585" w:rsidP="00FC0F7F">
            <w:pPr>
              <w:jc w:val="center"/>
              <w:rPr>
                <w:rFonts w:cs="Calibri"/>
                <w:b/>
                <w:szCs w:val="24"/>
              </w:rPr>
            </w:pPr>
            <w:r w:rsidRPr="00FC0F7F">
              <w:rPr>
                <w:rFonts w:cs="Calibri"/>
                <w:b/>
                <w:szCs w:val="24"/>
              </w:rPr>
              <w:t>Yes</w:t>
            </w:r>
          </w:p>
        </w:tc>
        <w:tc>
          <w:tcPr>
            <w:tcW w:w="630" w:type="dxa"/>
          </w:tcPr>
          <w:p w14:paraId="6698BAB8" w14:textId="5F33349B" w:rsidR="00211585" w:rsidRPr="00FC0F7F" w:rsidRDefault="00211585" w:rsidP="00FC0F7F">
            <w:pPr>
              <w:jc w:val="center"/>
              <w:rPr>
                <w:rFonts w:cs="Calibri"/>
                <w:b/>
                <w:szCs w:val="24"/>
              </w:rPr>
            </w:pPr>
            <w:r w:rsidRPr="00FC0F7F">
              <w:rPr>
                <w:rFonts w:cs="Calibri"/>
                <w:b/>
                <w:szCs w:val="24"/>
              </w:rPr>
              <w:t>No</w:t>
            </w:r>
          </w:p>
        </w:tc>
        <w:tc>
          <w:tcPr>
            <w:tcW w:w="630" w:type="dxa"/>
          </w:tcPr>
          <w:p w14:paraId="0C3FFFCF" w14:textId="3E8D14B5" w:rsidR="00211585" w:rsidRPr="00FC0F7F" w:rsidRDefault="00211585" w:rsidP="00FC0F7F">
            <w:pPr>
              <w:jc w:val="center"/>
              <w:rPr>
                <w:rFonts w:cs="Calibri"/>
                <w:b/>
                <w:szCs w:val="24"/>
              </w:rPr>
            </w:pPr>
            <w:r w:rsidRPr="00FC0F7F">
              <w:rPr>
                <w:rFonts w:cs="Calibri"/>
                <w:b/>
                <w:szCs w:val="24"/>
              </w:rPr>
              <w:t>N/A</w:t>
            </w:r>
          </w:p>
        </w:tc>
      </w:tr>
      <w:tr w:rsidR="00211585" w:rsidRPr="00366B29" w14:paraId="5A948539" w14:textId="77777777" w:rsidTr="003D5E76">
        <w:tc>
          <w:tcPr>
            <w:tcW w:w="6228" w:type="dxa"/>
          </w:tcPr>
          <w:p w14:paraId="3E7C511D" w14:textId="77777777" w:rsidR="00211585" w:rsidRPr="00366B29" w:rsidRDefault="00211585">
            <w:pPr>
              <w:jc w:val="both"/>
              <w:rPr>
                <w:rFonts w:cs="Calibri"/>
                <w:b/>
                <w:szCs w:val="22"/>
              </w:rPr>
            </w:pPr>
            <w:r w:rsidRPr="00FC0F7F">
              <w:rPr>
                <w:rFonts w:cs="Calibri"/>
                <w:b/>
                <w:sz w:val="28"/>
                <w:szCs w:val="22"/>
              </w:rPr>
              <w:t>100% Items Total</w:t>
            </w:r>
          </w:p>
        </w:tc>
        <w:tc>
          <w:tcPr>
            <w:tcW w:w="720" w:type="dxa"/>
          </w:tcPr>
          <w:p w14:paraId="424090FD" w14:textId="77777777" w:rsidR="00211585" w:rsidRPr="00366B29" w:rsidRDefault="00211585">
            <w:pPr>
              <w:jc w:val="center"/>
              <w:rPr>
                <w:rFonts w:cs="Calibri"/>
                <w:b/>
                <w:szCs w:val="22"/>
              </w:rPr>
            </w:pPr>
          </w:p>
        </w:tc>
        <w:tc>
          <w:tcPr>
            <w:tcW w:w="630" w:type="dxa"/>
          </w:tcPr>
          <w:p w14:paraId="42071061" w14:textId="77777777" w:rsidR="00211585" w:rsidRPr="00366B29" w:rsidRDefault="00211585">
            <w:pPr>
              <w:jc w:val="center"/>
              <w:rPr>
                <w:rFonts w:cs="Calibri"/>
                <w:b/>
                <w:szCs w:val="22"/>
              </w:rPr>
            </w:pPr>
          </w:p>
        </w:tc>
        <w:tc>
          <w:tcPr>
            <w:tcW w:w="630" w:type="dxa"/>
          </w:tcPr>
          <w:p w14:paraId="240C243E" w14:textId="77777777" w:rsidR="00211585" w:rsidRPr="00366B29" w:rsidRDefault="00211585">
            <w:pPr>
              <w:jc w:val="center"/>
              <w:rPr>
                <w:rFonts w:cs="Calibri"/>
                <w:b/>
                <w:szCs w:val="22"/>
              </w:rPr>
            </w:pPr>
          </w:p>
        </w:tc>
      </w:tr>
    </w:tbl>
    <w:p w14:paraId="51B501F7" w14:textId="77777777" w:rsidR="00D85920" w:rsidRDefault="0097291F" w:rsidP="0097291F">
      <w:pPr>
        <w:spacing w:before="240"/>
        <w:rPr>
          <w:b/>
          <w:bCs/>
          <w:sz w:val="24"/>
          <w:szCs w:val="22"/>
        </w:rPr>
      </w:pPr>
      <w:r>
        <w:rPr>
          <w:b/>
          <w:bCs/>
          <w:sz w:val="24"/>
          <w:szCs w:val="22"/>
        </w:rPr>
        <w:t>Space for Notes:</w:t>
      </w:r>
    </w:p>
    <w:p w14:paraId="6D9AA5AC" w14:textId="77777777" w:rsidR="00545FF9" w:rsidRDefault="00545FF9" w:rsidP="0097291F">
      <w:pPr>
        <w:spacing w:before="240"/>
        <w:rPr>
          <w:b/>
          <w:bCs/>
          <w:sz w:val="24"/>
          <w:szCs w:val="22"/>
        </w:rPr>
      </w:pPr>
    </w:p>
    <w:p w14:paraId="77AE5D96" w14:textId="28194C8E" w:rsidR="00545FF9" w:rsidRDefault="00545FF9" w:rsidP="0097291F">
      <w:pPr>
        <w:spacing w:before="240"/>
        <w:rPr>
          <w:b/>
          <w:bCs/>
          <w:sz w:val="24"/>
          <w:szCs w:val="22"/>
        </w:rPr>
        <w:sectPr w:rsidR="00545FF9" w:rsidSect="001F1670">
          <w:headerReference w:type="default" r:id="rId16"/>
          <w:headerReference w:type="first" r:id="rId17"/>
          <w:footerReference w:type="first" r:id="rId18"/>
          <w:pgSz w:w="12240" w:h="15840" w:code="1"/>
          <w:pgMar w:top="720" w:right="720" w:bottom="720" w:left="720" w:header="720" w:footer="432" w:gutter="0"/>
          <w:cols w:space="720"/>
          <w:titlePg/>
          <w:docGrid w:linePitch="299"/>
        </w:sectPr>
      </w:pPr>
    </w:p>
    <w:p w14:paraId="26BA42A2" w14:textId="7C740143" w:rsidR="00EE1B0A" w:rsidRPr="00CE5B14" w:rsidRDefault="00C91E5C" w:rsidP="0097291F">
      <w:pPr>
        <w:pStyle w:val="Heading2"/>
        <w:rPr>
          <w:sz w:val="24"/>
          <w:szCs w:val="20"/>
        </w:rPr>
      </w:pPr>
      <w:r w:rsidRPr="00366B29">
        <w:lastRenderedPageBreak/>
        <w:t>Section</w:t>
      </w:r>
      <w:r w:rsidR="006A0564" w:rsidRPr="00366B29">
        <w:t xml:space="preserve"> B: 80% Items</w:t>
      </w:r>
      <w:r w:rsidR="00EE1B0A" w:rsidRPr="00366B29">
        <w:t xml:space="preserve"> </w:t>
      </w:r>
    </w:p>
    <w:p w14:paraId="529AFC0B" w14:textId="0EA99905" w:rsidR="000B0FA0" w:rsidRPr="00100F60" w:rsidRDefault="00EE1B0A" w:rsidP="0025670F">
      <w:pPr>
        <w:rPr>
          <w:rFonts w:cs="Calibri"/>
          <w:sz w:val="28"/>
          <w:szCs w:val="32"/>
        </w:rPr>
      </w:pPr>
      <w:r w:rsidRPr="00100F60">
        <w:rPr>
          <w:rFonts w:cs="Calibri"/>
          <w:sz w:val="28"/>
          <w:szCs w:val="32"/>
        </w:rPr>
        <w:t>Must be compliant with 80% of these items to pass</w:t>
      </w:r>
      <w:r w:rsidR="00100F60" w:rsidRPr="00100F60">
        <w:rPr>
          <w:rFonts w:cs="Calibri"/>
          <w:sz w:val="28"/>
          <w:szCs w:val="32"/>
        </w:rPr>
        <w:t>.</w:t>
      </w:r>
    </w:p>
    <w:p w14:paraId="26DD9F75" w14:textId="1C916876" w:rsidR="00FC0F7F" w:rsidRPr="00366B29" w:rsidRDefault="00FC0F7F" w:rsidP="00FC0F7F">
      <w:pPr>
        <w:pStyle w:val="Heading3"/>
        <w:ind w:left="0" w:right="-180"/>
        <w:rPr>
          <w:szCs w:val="24"/>
        </w:rPr>
      </w:pPr>
      <w:r w:rsidRPr="00366B29">
        <w:t>80% Compliance</w:t>
      </w:r>
    </w:p>
    <w:tbl>
      <w:tblPr>
        <w:tblStyle w:val="TableGrid"/>
        <w:tblW w:w="11015" w:type="dxa"/>
        <w:tblLayout w:type="fixed"/>
        <w:tblLook w:val="0020" w:firstRow="1" w:lastRow="0" w:firstColumn="0" w:lastColumn="0" w:noHBand="0" w:noVBand="0"/>
      </w:tblPr>
      <w:tblGrid>
        <w:gridCol w:w="6228"/>
        <w:gridCol w:w="720"/>
        <w:gridCol w:w="630"/>
        <w:gridCol w:w="630"/>
        <w:gridCol w:w="2807"/>
      </w:tblGrid>
      <w:tr w:rsidR="00AE3090" w:rsidRPr="00366B29" w14:paraId="609639DD" w14:textId="77777777" w:rsidTr="003D5E76">
        <w:trPr>
          <w:tblHeader/>
        </w:trPr>
        <w:tc>
          <w:tcPr>
            <w:tcW w:w="6228" w:type="dxa"/>
            <w:shd w:val="clear" w:color="auto" w:fill="F2F2F2" w:themeFill="background1" w:themeFillShade="F2"/>
          </w:tcPr>
          <w:p w14:paraId="435AB760" w14:textId="449B65B6" w:rsidR="00AE3090" w:rsidRPr="00366B29" w:rsidRDefault="00C91E5C">
            <w:pPr>
              <w:jc w:val="both"/>
              <w:rPr>
                <w:rFonts w:cs="Calibri"/>
                <w:b/>
                <w:szCs w:val="22"/>
              </w:rPr>
            </w:pPr>
            <w:r w:rsidRPr="00366B29">
              <w:rPr>
                <w:rFonts w:cs="Calibri"/>
                <w:b/>
                <w:szCs w:val="22"/>
              </w:rPr>
              <w:t xml:space="preserve">Exits/Exterior </w:t>
            </w:r>
            <w:r w:rsidR="00D95275" w:rsidRPr="00366B29">
              <w:rPr>
                <w:rFonts w:cs="Calibri"/>
                <w:b/>
                <w:szCs w:val="22"/>
              </w:rPr>
              <w:t>#1</w:t>
            </w:r>
            <w:r w:rsidR="002A0550" w:rsidRPr="00366B29">
              <w:rPr>
                <w:rFonts w:cs="Calibri"/>
                <w:b/>
                <w:szCs w:val="22"/>
              </w:rPr>
              <w:t xml:space="preserve"> </w:t>
            </w:r>
            <w:r w:rsidR="00A939E5">
              <w:rPr>
                <w:rFonts w:cs="Calibri"/>
                <w:b/>
                <w:szCs w:val="22"/>
              </w:rPr>
              <w:t>to</w:t>
            </w:r>
            <w:r w:rsidR="002A0550" w:rsidRPr="00366B29">
              <w:rPr>
                <w:rFonts w:cs="Calibri"/>
                <w:b/>
                <w:szCs w:val="22"/>
              </w:rPr>
              <w:t xml:space="preserve"> #</w:t>
            </w:r>
            <w:r w:rsidR="009564E2">
              <w:rPr>
                <w:rFonts w:cs="Calibri"/>
                <w:b/>
                <w:szCs w:val="22"/>
              </w:rPr>
              <w:t>4</w:t>
            </w:r>
          </w:p>
        </w:tc>
        <w:tc>
          <w:tcPr>
            <w:tcW w:w="720" w:type="dxa"/>
          </w:tcPr>
          <w:p w14:paraId="0A39C26F" w14:textId="77777777" w:rsidR="00AE3090" w:rsidRPr="00366B29" w:rsidRDefault="004D52D1" w:rsidP="002D7E4C">
            <w:pPr>
              <w:jc w:val="center"/>
              <w:rPr>
                <w:rFonts w:cs="Calibri"/>
                <w:b/>
                <w:szCs w:val="22"/>
              </w:rPr>
            </w:pPr>
            <w:r w:rsidRPr="004D52D1">
              <w:rPr>
                <w:rFonts w:cs="Calibri"/>
                <w:b/>
                <w:szCs w:val="22"/>
              </w:rPr>
              <w:t>Yes</w:t>
            </w:r>
          </w:p>
        </w:tc>
        <w:tc>
          <w:tcPr>
            <w:tcW w:w="630" w:type="dxa"/>
          </w:tcPr>
          <w:p w14:paraId="64E4C6A8" w14:textId="77777777" w:rsidR="00AE3090" w:rsidRPr="00366B29" w:rsidRDefault="004D52D1" w:rsidP="002D7E4C">
            <w:pPr>
              <w:jc w:val="center"/>
              <w:rPr>
                <w:rFonts w:cs="Calibri"/>
                <w:b/>
                <w:szCs w:val="22"/>
              </w:rPr>
            </w:pPr>
            <w:r w:rsidRPr="004D52D1">
              <w:rPr>
                <w:rFonts w:cs="Calibri"/>
                <w:b/>
                <w:szCs w:val="22"/>
              </w:rPr>
              <w:t>No</w:t>
            </w:r>
          </w:p>
        </w:tc>
        <w:tc>
          <w:tcPr>
            <w:tcW w:w="630" w:type="dxa"/>
          </w:tcPr>
          <w:p w14:paraId="37A60CEC" w14:textId="77777777" w:rsidR="00AE3090" w:rsidRPr="00366B29" w:rsidRDefault="00AE3090" w:rsidP="002D7E4C">
            <w:pPr>
              <w:jc w:val="center"/>
              <w:rPr>
                <w:rFonts w:cs="Calibri"/>
                <w:b/>
                <w:szCs w:val="22"/>
              </w:rPr>
            </w:pPr>
            <w:r w:rsidRPr="00366B29">
              <w:rPr>
                <w:rFonts w:cs="Calibri"/>
                <w:b/>
                <w:szCs w:val="22"/>
              </w:rPr>
              <w:t>N/A</w:t>
            </w:r>
          </w:p>
        </w:tc>
        <w:tc>
          <w:tcPr>
            <w:tcW w:w="2807" w:type="dxa"/>
          </w:tcPr>
          <w:p w14:paraId="784A972B" w14:textId="77777777" w:rsidR="00AE3090" w:rsidRPr="00366B29" w:rsidRDefault="00C91E5C" w:rsidP="002D7E4C">
            <w:pPr>
              <w:rPr>
                <w:rFonts w:cs="Calibri"/>
                <w:b/>
                <w:szCs w:val="22"/>
              </w:rPr>
            </w:pPr>
            <w:r w:rsidRPr="00366B29">
              <w:rPr>
                <w:rFonts w:cs="Calibri"/>
                <w:b/>
                <w:szCs w:val="22"/>
              </w:rPr>
              <w:t xml:space="preserve">Violation Location </w:t>
            </w:r>
          </w:p>
        </w:tc>
      </w:tr>
      <w:tr w:rsidR="003A58E9" w:rsidRPr="00366B29" w14:paraId="3F5C0611" w14:textId="77777777" w:rsidTr="003D5E76">
        <w:trPr>
          <w:trHeight w:val="712"/>
        </w:trPr>
        <w:tc>
          <w:tcPr>
            <w:tcW w:w="6228" w:type="dxa"/>
          </w:tcPr>
          <w:p w14:paraId="7E36CD31" w14:textId="1DC0A776" w:rsidR="001679A6" w:rsidRPr="00366B29" w:rsidRDefault="00012B2D" w:rsidP="00012B2D">
            <w:pPr>
              <w:ind w:left="331" w:hanging="216"/>
              <w:rPr>
                <w:rFonts w:cs="Calibri"/>
                <w:szCs w:val="22"/>
              </w:rPr>
            </w:pPr>
            <w:r w:rsidRPr="00012B2D">
              <w:rPr>
                <w:rFonts w:cs="Calibri"/>
                <w:b/>
                <w:bCs/>
                <w:szCs w:val="22"/>
              </w:rPr>
              <w:t>1</w:t>
            </w:r>
            <w:r>
              <w:rPr>
                <w:rFonts w:cs="Calibri"/>
                <w:szCs w:val="22"/>
              </w:rPr>
              <w:t xml:space="preserve">. </w:t>
            </w:r>
            <w:r w:rsidR="001679A6" w:rsidRPr="00366B29">
              <w:rPr>
                <w:rFonts w:cs="Calibri"/>
                <w:szCs w:val="22"/>
              </w:rPr>
              <w:t>No evidence of major exterior building structural damage. Example(s)</w:t>
            </w:r>
            <w:r w:rsidR="008331B6" w:rsidRPr="00366B29">
              <w:rPr>
                <w:rFonts w:cs="Calibri"/>
                <w:szCs w:val="22"/>
              </w:rPr>
              <w:t xml:space="preserve"> would include</w:t>
            </w:r>
            <w:r w:rsidR="001679A6" w:rsidRPr="00366B29">
              <w:rPr>
                <w:rFonts w:cs="Calibri"/>
                <w:szCs w:val="22"/>
              </w:rPr>
              <w:t>:</w:t>
            </w:r>
          </w:p>
          <w:p w14:paraId="176ABEF3" w14:textId="77777777" w:rsidR="001679A6" w:rsidRPr="00366B29" w:rsidRDefault="003A58E9" w:rsidP="00C91E5C">
            <w:pPr>
              <w:numPr>
                <w:ilvl w:val="0"/>
                <w:numId w:val="7"/>
              </w:numPr>
              <w:rPr>
                <w:rFonts w:cs="Calibri"/>
                <w:szCs w:val="22"/>
              </w:rPr>
            </w:pPr>
            <w:r w:rsidRPr="00366B29">
              <w:rPr>
                <w:rFonts w:cs="Calibri"/>
                <w:szCs w:val="22"/>
              </w:rPr>
              <w:t>Exterior walls a</w:t>
            </w:r>
            <w:r w:rsidR="001679A6" w:rsidRPr="00366B29">
              <w:rPr>
                <w:rFonts w:cs="Calibri"/>
                <w:szCs w:val="22"/>
              </w:rPr>
              <w:t>ppear</w:t>
            </w:r>
            <w:r w:rsidRPr="00366B29">
              <w:rPr>
                <w:rFonts w:cs="Calibri"/>
                <w:szCs w:val="22"/>
              </w:rPr>
              <w:t xml:space="preserve"> free of structural cracks, loose masonry and crumbling parapets</w:t>
            </w:r>
            <w:r w:rsidR="001679A6" w:rsidRPr="00366B29">
              <w:rPr>
                <w:rFonts w:cs="Calibri"/>
                <w:szCs w:val="22"/>
              </w:rPr>
              <w:t>; l</w:t>
            </w:r>
            <w:r w:rsidRPr="00366B29">
              <w:rPr>
                <w:rFonts w:cs="Calibri"/>
                <w:szCs w:val="22"/>
              </w:rPr>
              <w:t xml:space="preserve">intels </w:t>
            </w:r>
            <w:r w:rsidR="001679A6" w:rsidRPr="00366B29">
              <w:rPr>
                <w:rFonts w:cs="Calibri"/>
                <w:szCs w:val="22"/>
              </w:rPr>
              <w:t>appear</w:t>
            </w:r>
            <w:r w:rsidRPr="00366B29">
              <w:rPr>
                <w:rFonts w:cs="Calibri"/>
                <w:szCs w:val="22"/>
              </w:rPr>
              <w:t xml:space="preserve"> free of rust and flaking</w:t>
            </w:r>
            <w:r w:rsidR="008838DC">
              <w:rPr>
                <w:rFonts w:cs="Calibri"/>
                <w:szCs w:val="22"/>
              </w:rPr>
              <w:t xml:space="preserve">. </w:t>
            </w:r>
          </w:p>
          <w:p w14:paraId="397B73C0" w14:textId="629DC0F1" w:rsidR="00776629" w:rsidRPr="008E1FE1" w:rsidRDefault="001679A6" w:rsidP="00F474BC">
            <w:pPr>
              <w:numPr>
                <w:ilvl w:val="0"/>
                <w:numId w:val="7"/>
              </w:numPr>
              <w:spacing w:after="160"/>
              <w:rPr>
                <w:rFonts w:cs="Calibri"/>
                <w:szCs w:val="22"/>
              </w:rPr>
            </w:pPr>
            <w:r w:rsidRPr="00366B29">
              <w:rPr>
                <w:rFonts w:cs="Calibri"/>
                <w:szCs w:val="22"/>
              </w:rPr>
              <w:t>Gutters and downspouts appear to be in good condition and are secured to the building</w:t>
            </w:r>
            <w:r w:rsidR="00C16FEC" w:rsidRPr="00366B29">
              <w:rPr>
                <w:rFonts w:cs="Calibri"/>
                <w:szCs w:val="22"/>
              </w:rPr>
              <w:t xml:space="preserve">; </w:t>
            </w:r>
            <w:r w:rsidRPr="00366B29">
              <w:rPr>
                <w:rFonts w:cs="Calibri"/>
                <w:szCs w:val="22"/>
              </w:rPr>
              <w:t xml:space="preserve">runoff does not appear to be obstructed or create </w:t>
            </w:r>
            <w:r w:rsidR="00A050DA">
              <w:rPr>
                <w:rFonts w:cs="Calibri"/>
                <w:szCs w:val="22"/>
              </w:rPr>
              <w:t xml:space="preserve">poor </w:t>
            </w:r>
            <w:r w:rsidRPr="00366B29">
              <w:rPr>
                <w:rFonts w:cs="Calibri"/>
                <w:szCs w:val="22"/>
              </w:rPr>
              <w:t>drainage or soil erosion.</w:t>
            </w:r>
          </w:p>
        </w:tc>
        <w:tc>
          <w:tcPr>
            <w:tcW w:w="720" w:type="dxa"/>
          </w:tcPr>
          <w:p w14:paraId="50146BAF" w14:textId="77777777" w:rsidR="003A58E9" w:rsidRPr="00366B29" w:rsidRDefault="003A58E9">
            <w:pPr>
              <w:jc w:val="center"/>
              <w:rPr>
                <w:rFonts w:cs="Calibri"/>
                <w:szCs w:val="22"/>
              </w:rPr>
            </w:pPr>
          </w:p>
        </w:tc>
        <w:tc>
          <w:tcPr>
            <w:tcW w:w="630" w:type="dxa"/>
          </w:tcPr>
          <w:p w14:paraId="3A73F7BC" w14:textId="77777777" w:rsidR="003A58E9" w:rsidRPr="00366B29" w:rsidRDefault="003A58E9">
            <w:pPr>
              <w:jc w:val="center"/>
              <w:rPr>
                <w:rFonts w:cs="Calibri"/>
                <w:szCs w:val="22"/>
              </w:rPr>
            </w:pPr>
          </w:p>
        </w:tc>
        <w:tc>
          <w:tcPr>
            <w:tcW w:w="630" w:type="dxa"/>
          </w:tcPr>
          <w:p w14:paraId="0DF3B500" w14:textId="77777777" w:rsidR="003A58E9" w:rsidRPr="00366B29" w:rsidRDefault="003A58E9">
            <w:pPr>
              <w:jc w:val="center"/>
              <w:rPr>
                <w:rFonts w:cs="Calibri"/>
                <w:szCs w:val="22"/>
              </w:rPr>
            </w:pPr>
          </w:p>
        </w:tc>
        <w:tc>
          <w:tcPr>
            <w:tcW w:w="2807" w:type="dxa"/>
          </w:tcPr>
          <w:p w14:paraId="59738256" w14:textId="77777777" w:rsidR="00751446" w:rsidRPr="00366B29" w:rsidRDefault="00751446" w:rsidP="00751446">
            <w:pPr>
              <w:spacing w:before="60"/>
              <w:rPr>
                <w:rFonts w:cs="Calibri"/>
                <w:szCs w:val="22"/>
              </w:rPr>
            </w:pPr>
          </w:p>
        </w:tc>
      </w:tr>
      <w:tr w:rsidR="003A58E9" w:rsidRPr="00366B29" w14:paraId="797FC57D" w14:textId="77777777" w:rsidTr="003D5E76">
        <w:trPr>
          <w:trHeight w:val="284"/>
        </w:trPr>
        <w:tc>
          <w:tcPr>
            <w:tcW w:w="6228" w:type="dxa"/>
          </w:tcPr>
          <w:p w14:paraId="6321C77E" w14:textId="7AF0783F" w:rsidR="00776629" w:rsidRPr="008E1FE1" w:rsidRDefault="00012B2D" w:rsidP="00012B2D">
            <w:pPr>
              <w:spacing w:after="160"/>
              <w:ind w:left="331" w:hanging="216"/>
              <w:rPr>
                <w:rFonts w:cs="Calibri"/>
                <w:szCs w:val="22"/>
              </w:rPr>
            </w:pPr>
            <w:r>
              <w:rPr>
                <w:rFonts w:cs="Calibri"/>
                <w:b/>
                <w:bCs/>
                <w:szCs w:val="22"/>
              </w:rPr>
              <w:t>2.</w:t>
            </w:r>
            <w:r w:rsidR="00F96B18">
              <w:rPr>
                <w:rFonts w:cs="Calibri"/>
                <w:szCs w:val="22"/>
              </w:rPr>
              <w:t xml:space="preserve"> </w:t>
            </w:r>
            <w:r w:rsidR="008D41EB" w:rsidRPr="00366B29">
              <w:rPr>
                <w:rFonts w:cs="Calibri"/>
                <w:szCs w:val="22"/>
              </w:rPr>
              <w:t>All exterior receptacles are GF</w:t>
            </w:r>
            <w:r w:rsidR="008655C7">
              <w:rPr>
                <w:rFonts w:cs="Calibri"/>
                <w:szCs w:val="22"/>
              </w:rPr>
              <w:t>CI-</w:t>
            </w:r>
            <w:r w:rsidR="008D41EB" w:rsidRPr="00366B29">
              <w:rPr>
                <w:rFonts w:cs="Calibri"/>
                <w:szCs w:val="22"/>
              </w:rPr>
              <w:t>protected</w:t>
            </w:r>
            <w:r w:rsidR="003A58E9" w:rsidRPr="00366B29">
              <w:rPr>
                <w:rFonts w:cs="Calibri"/>
                <w:szCs w:val="22"/>
              </w:rPr>
              <w:t xml:space="preserve"> in accordance with code.</w:t>
            </w:r>
          </w:p>
        </w:tc>
        <w:tc>
          <w:tcPr>
            <w:tcW w:w="720" w:type="dxa"/>
          </w:tcPr>
          <w:p w14:paraId="21EF1F91" w14:textId="77777777" w:rsidR="003A58E9" w:rsidRPr="00366B29" w:rsidRDefault="003A58E9">
            <w:pPr>
              <w:jc w:val="center"/>
              <w:rPr>
                <w:rFonts w:cs="Calibri"/>
                <w:szCs w:val="22"/>
              </w:rPr>
            </w:pPr>
          </w:p>
        </w:tc>
        <w:tc>
          <w:tcPr>
            <w:tcW w:w="630" w:type="dxa"/>
          </w:tcPr>
          <w:p w14:paraId="6D9ABBA4" w14:textId="77777777" w:rsidR="003A58E9" w:rsidRPr="00366B29" w:rsidRDefault="003A58E9">
            <w:pPr>
              <w:jc w:val="center"/>
              <w:rPr>
                <w:rFonts w:cs="Calibri"/>
                <w:szCs w:val="22"/>
              </w:rPr>
            </w:pPr>
          </w:p>
        </w:tc>
        <w:tc>
          <w:tcPr>
            <w:tcW w:w="630" w:type="dxa"/>
          </w:tcPr>
          <w:p w14:paraId="641D64BB" w14:textId="77777777" w:rsidR="003A58E9" w:rsidRPr="00366B29" w:rsidRDefault="003A58E9">
            <w:pPr>
              <w:jc w:val="center"/>
              <w:rPr>
                <w:rFonts w:cs="Calibri"/>
                <w:szCs w:val="22"/>
              </w:rPr>
            </w:pPr>
          </w:p>
        </w:tc>
        <w:tc>
          <w:tcPr>
            <w:tcW w:w="2807" w:type="dxa"/>
          </w:tcPr>
          <w:p w14:paraId="56AE5856" w14:textId="77777777" w:rsidR="003A58E9" w:rsidRPr="00366B29" w:rsidRDefault="003A58E9">
            <w:pPr>
              <w:spacing w:before="60"/>
              <w:rPr>
                <w:rFonts w:cs="Calibri"/>
                <w:szCs w:val="22"/>
              </w:rPr>
            </w:pPr>
          </w:p>
        </w:tc>
      </w:tr>
      <w:tr w:rsidR="003A58E9" w:rsidRPr="00366B29" w14:paraId="20A07403" w14:textId="77777777" w:rsidTr="003D5E76">
        <w:tc>
          <w:tcPr>
            <w:tcW w:w="6228" w:type="dxa"/>
          </w:tcPr>
          <w:p w14:paraId="5DB1D17E" w14:textId="7A8D6D8C" w:rsidR="00776629" w:rsidRPr="008E1FE1" w:rsidRDefault="00F96B18" w:rsidP="00F96B18">
            <w:pPr>
              <w:spacing w:after="160"/>
              <w:ind w:left="331" w:hanging="216"/>
              <w:rPr>
                <w:rFonts w:cs="Calibri"/>
                <w:szCs w:val="22"/>
              </w:rPr>
            </w:pPr>
            <w:r w:rsidRPr="00F96B18">
              <w:rPr>
                <w:rFonts w:cs="Calibri"/>
                <w:b/>
                <w:bCs/>
                <w:szCs w:val="22"/>
              </w:rPr>
              <w:t>3</w:t>
            </w:r>
            <w:r>
              <w:rPr>
                <w:rFonts w:cs="Calibri"/>
                <w:szCs w:val="22"/>
              </w:rPr>
              <w:t xml:space="preserve">. </w:t>
            </w:r>
            <w:r w:rsidR="00422C0A" w:rsidRPr="00422C0A">
              <w:rPr>
                <w:rFonts w:cs="Calibri"/>
                <w:szCs w:val="22"/>
              </w:rPr>
              <w:t>All school grounds, including general purpose play areas and athletic fields, are free of holes, glass, stumps, roots, rocks and other hazardous obstacles. Fences are maintained and are free of holes. The outside physical education area for students shall include, but not be limited to, sufficient space, equipment, and safe surfaces for students and program needs and are protected from hazards or traffic conditions.</w:t>
            </w:r>
          </w:p>
        </w:tc>
        <w:tc>
          <w:tcPr>
            <w:tcW w:w="720" w:type="dxa"/>
          </w:tcPr>
          <w:p w14:paraId="09BEA94A" w14:textId="77777777" w:rsidR="003A58E9" w:rsidRPr="00366B29" w:rsidRDefault="003A58E9">
            <w:pPr>
              <w:jc w:val="center"/>
              <w:rPr>
                <w:rFonts w:cs="Calibri"/>
                <w:szCs w:val="22"/>
              </w:rPr>
            </w:pPr>
          </w:p>
        </w:tc>
        <w:tc>
          <w:tcPr>
            <w:tcW w:w="630" w:type="dxa"/>
          </w:tcPr>
          <w:p w14:paraId="72713F8A" w14:textId="77777777" w:rsidR="003A58E9" w:rsidRPr="00366B29" w:rsidRDefault="003A58E9">
            <w:pPr>
              <w:jc w:val="center"/>
              <w:rPr>
                <w:rFonts w:cs="Calibri"/>
                <w:szCs w:val="22"/>
              </w:rPr>
            </w:pPr>
          </w:p>
        </w:tc>
        <w:tc>
          <w:tcPr>
            <w:tcW w:w="630" w:type="dxa"/>
          </w:tcPr>
          <w:p w14:paraId="7D9F9228" w14:textId="77777777" w:rsidR="003A58E9" w:rsidRPr="00366B29" w:rsidRDefault="003A58E9">
            <w:pPr>
              <w:jc w:val="center"/>
              <w:rPr>
                <w:rFonts w:cs="Calibri"/>
                <w:szCs w:val="22"/>
              </w:rPr>
            </w:pPr>
          </w:p>
        </w:tc>
        <w:tc>
          <w:tcPr>
            <w:tcW w:w="2807" w:type="dxa"/>
          </w:tcPr>
          <w:p w14:paraId="6DB700A4" w14:textId="77777777" w:rsidR="003A58E9" w:rsidRPr="00366B29" w:rsidRDefault="003A58E9" w:rsidP="00AA2E12">
            <w:pPr>
              <w:spacing w:before="60"/>
              <w:rPr>
                <w:rFonts w:cs="Calibri"/>
                <w:szCs w:val="22"/>
              </w:rPr>
            </w:pPr>
          </w:p>
        </w:tc>
      </w:tr>
      <w:tr w:rsidR="00E24EBB" w:rsidRPr="00366B29" w14:paraId="66F16ABD" w14:textId="77777777" w:rsidTr="003D5E76">
        <w:tc>
          <w:tcPr>
            <w:tcW w:w="6228" w:type="dxa"/>
          </w:tcPr>
          <w:p w14:paraId="2F12E3A6" w14:textId="668D7C49" w:rsidR="00E24EBB" w:rsidRPr="00E24EBB" w:rsidRDefault="00F96B18" w:rsidP="00F96B18">
            <w:pPr>
              <w:spacing w:after="160"/>
              <w:ind w:left="331" w:hanging="216"/>
              <w:rPr>
                <w:rFonts w:cs="Calibri"/>
                <w:szCs w:val="22"/>
              </w:rPr>
            </w:pPr>
            <w:r w:rsidRPr="00F96B18">
              <w:rPr>
                <w:rFonts w:cs="Calibri"/>
                <w:b/>
                <w:bCs/>
                <w:szCs w:val="22"/>
              </w:rPr>
              <w:t>4</w:t>
            </w:r>
            <w:r>
              <w:rPr>
                <w:rFonts w:cs="Calibri"/>
                <w:szCs w:val="22"/>
              </w:rPr>
              <w:t xml:space="preserve">. </w:t>
            </w:r>
            <w:r w:rsidR="00E24EBB" w:rsidRPr="00CD6B3F">
              <w:rPr>
                <w:rFonts w:cs="Calibri"/>
                <w:szCs w:val="22"/>
              </w:rPr>
              <w:t xml:space="preserve">Playground area and equipment appear to be in safe operating condition and in compliance with code and </w:t>
            </w:r>
            <w:r w:rsidR="009625CF">
              <w:rPr>
                <w:rFonts w:cs="Calibri"/>
                <w:szCs w:val="22"/>
              </w:rPr>
              <w:t xml:space="preserve">the </w:t>
            </w:r>
            <w:r w:rsidR="00E24EBB" w:rsidRPr="00CD6B3F">
              <w:rPr>
                <w:rFonts w:cs="Calibri"/>
                <w:szCs w:val="22"/>
              </w:rPr>
              <w:t>district maintains documentation of compliance and regular (annual and/or monthly) inspections.</w:t>
            </w:r>
          </w:p>
        </w:tc>
        <w:tc>
          <w:tcPr>
            <w:tcW w:w="720" w:type="dxa"/>
          </w:tcPr>
          <w:p w14:paraId="02B41DF7" w14:textId="77777777" w:rsidR="00E24EBB" w:rsidRPr="00366B29" w:rsidRDefault="00E24EBB">
            <w:pPr>
              <w:jc w:val="center"/>
              <w:rPr>
                <w:rFonts w:cs="Calibri"/>
                <w:szCs w:val="22"/>
              </w:rPr>
            </w:pPr>
          </w:p>
        </w:tc>
        <w:tc>
          <w:tcPr>
            <w:tcW w:w="630" w:type="dxa"/>
          </w:tcPr>
          <w:p w14:paraId="52EE4B38" w14:textId="77777777" w:rsidR="00E24EBB" w:rsidRPr="00366B29" w:rsidRDefault="00E24EBB">
            <w:pPr>
              <w:jc w:val="center"/>
              <w:rPr>
                <w:rFonts w:cs="Calibri"/>
                <w:szCs w:val="22"/>
              </w:rPr>
            </w:pPr>
          </w:p>
        </w:tc>
        <w:tc>
          <w:tcPr>
            <w:tcW w:w="630" w:type="dxa"/>
          </w:tcPr>
          <w:p w14:paraId="1AC88FEB" w14:textId="77777777" w:rsidR="00E24EBB" w:rsidRPr="00366B29" w:rsidRDefault="00E24EBB">
            <w:pPr>
              <w:jc w:val="center"/>
              <w:rPr>
                <w:rFonts w:cs="Calibri"/>
                <w:szCs w:val="22"/>
              </w:rPr>
            </w:pPr>
          </w:p>
        </w:tc>
        <w:tc>
          <w:tcPr>
            <w:tcW w:w="2807" w:type="dxa"/>
          </w:tcPr>
          <w:p w14:paraId="1B45FC6C" w14:textId="77777777" w:rsidR="00E24EBB" w:rsidRPr="00366B29" w:rsidRDefault="00E24EBB" w:rsidP="00AA2E12">
            <w:pPr>
              <w:spacing w:before="60"/>
              <w:rPr>
                <w:rFonts w:cs="Calibri"/>
                <w:szCs w:val="22"/>
              </w:rPr>
            </w:pPr>
          </w:p>
        </w:tc>
      </w:tr>
    </w:tbl>
    <w:p w14:paraId="4A668A1E" w14:textId="77777777" w:rsidR="00A939E5" w:rsidRPr="00A939E5" w:rsidRDefault="00A939E5">
      <w:pPr>
        <w:rPr>
          <w:sz w:val="4"/>
          <w:szCs w:val="4"/>
        </w:rPr>
      </w:pPr>
    </w:p>
    <w:tbl>
      <w:tblPr>
        <w:tblStyle w:val="TableGrid"/>
        <w:tblW w:w="11015" w:type="dxa"/>
        <w:tblLayout w:type="fixed"/>
        <w:tblLook w:val="0020" w:firstRow="1" w:lastRow="0" w:firstColumn="0" w:lastColumn="0" w:noHBand="0" w:noVBand="0"/>
      </w:tblPr>
      <w:tblGrid>
        <w:gridCol w:w="6228"/>
        <w:gridCol w:w="720"/>
        <w:gridCol w:w="630"/>
        <w:gridCol w:w="630"/>
        <w:gridCol w:w="2807"/>
      </w:tblGrid>
      <w:tr w:rsidR="00C3606F" w:rsidRPr="00366B29" w14:paraId="13E580D7" w14:textId="77777777" w:rsidTr="009C1345">
        <w:trPr>
          <w:tblHeader/>
        </w:trPr>
        <w:tc>
          <w:tcPr>
            <w:tcW w:w="6228" w:type="dxa"/>
            <w:shd w:val="clear" w:color="auto" w:fill="F2F2F2" w:themeFill="background1" w:themeFillShade="F2"/>
          </w:tcPr>
          <w:p w14:paraId="29D55D93" w14:textId="456EF2CF" w:rsidR="00C3606F" w:rsidRPr="00366B29" w:rsidRDefault="00C91E5C" w:rsidP="009C1345">
            <w:pPr>
              <w:tabs>
                <w:tab w:val="num" w:pos="360"/>
              </w:tabs>
              <w:ind w:left="360" w:hanging="360"/>
              <w:jc w:val="both"/>
              <w:rPr>
                <w:rFonts w:cs="Calibri"/>
                <w:b/>
                <w:szCs w:val="22"/>
              </w:rPr>
            </w:pPr>
            <w:r w:rsidRPr="00366B29">
              <w:rPr>
                <w:rFonts w:cs="Calibri"/>
                <w:b/>
                <w:szCs w:val="22"/>
              </w:rPr>
              <w:t xml:space="preserve">Interior Items </w:t>
            </w:r>
            <w:r w:rsidR="002A0550" w:rsidRPr="00366B29">
              <w:rPr>
                <w:rFonts w:cs="Calibri"/>
                <w:b/>
                <w:szCs w:val="22"/>
              </w:rPr>
              <w:t>#</w:t>
            </w:r>
            <w:r w:rsidR="00E24EBB">
              <w:rPr>
                <w:rFonts w:cs="Calibri"/>
                <w:b/>
                <w:szCs w:val="22"/>
              </w:rPr>
              <w:t>5</w:t>
            </w:r>
            <w:r w:rsidR="002A0550" w:rsidRPr="00366B29">
              <w:rPr>
                <w:rFonts w:cs="Calibri"/>
                <w:b/>
                <w:szCs w:val="22"/>
              </w:rPr>
              <w:t xml:space="preserve"> </w:t>
            </w:r>
            <w:r w:rsidR="00A939E5">
              <w:rPr>
                <w:rFonts w:cs="Calibri"/>
                <w:b/>
                <w:szCs w:val="22"/>
              </w:rPr>
              <w:t>to</w:t>
            </w:r>
            <w:r w:rsidR="002A0550" w:rsidRPr="00366B29">
              <w:rPr>
                <w:rFonts w:cs="Calibri"/>
                <w:b/>
                <w:szCs w:val="22"/>
              </w:rPr>
              <w:t xml:space="preserve"> #</w:t>
            </w:r>
            <w:r w:rsidR="00D95275" w:rsidRPr="00366B29">
              <w:rPr>
                <w:rFonts w:cs="Calibri"/>
                <w:b/>
                <w:szCs w:val="22"/>
              </w:rPr>
              <w:t>2</w:t>
            </w:r>
            <w:r w:rsidR="00E24EBB">
              <w:rPr>
                <w:rFonts w:cs="Calibri"/>
                <w:b/>
                <w:szCs w:val="22"/>
              </w:rPr>
              <w:t>6</w:t>
            </w:r>
          </w:p>
        </w:tc>
        <w:tc>
          <w:tcPr>
            <w:tcW w:w="720" w:type="dxa"/>
          </w:tcPr>
          <w:p w14:paraId="797387D9" w14:textId="77777777" w:rsidR="00C3606F" w:rsidRPr="00366B29" w:rsidRDefault="004D52D1" w:rsidP="009C1345">
            <w:pPr>
              <w:rPr>
                <w:rFonts w:cs="Calibri"/>
                <w:b/>
                <w:szCs w:val="22"/>
              </w:rPr>
            </w:pPr>
            <w:r w:rsidRPr="004D52D1">
              <w:rPr>
                <w:rFonts w:cs="Calibri"/>
                <w:b/>
                <w:szCs w:val="22"/>
              </w:rPr>
              <w:t>Yes</w:t>
            </w:r>
          </w:p>
        </w:tc>
        <w:tc>
          <w:tcPr>
            <w:tcW w:w="630" w:type="dxa"/>
          </w:tcPr>
          <w:p w14:paraId="602F798E" w14:textId="77777777" w:rsidR="00C3606F" w:rsidRPr="00366B29" w:rsidRDefault="004D52D1" w:rsidP="009C1345">
            <w:pPr>
              <w:rPr>
                <w:rFonts w:cs="Calibri"/>
                <w:b/>
                <w:szCs w:val="22"/>
              </w:rPr>
            </w:pPr>
            <w:r w:rsidRPr="004D52D1">
              <w:rPr>
                <w:rFonts w:cs="Calibri"/>
                <w:b/>
                <w:szCs w:val="22"/>
              </w:rPr>
              <w:t>No</w:t>
            </w:r>
          </w:p>
        </w:tc>
        <w:tc>
          <w:tcPr>
            <w:tcW w:w="630" w:type="dxa"/>
          </w:tcPr>
          <w:p w14:paraId="185721D1" w14:textId="77777777" w:rsidR="00C3606F" w:rsidRPr="00366B29" w:rsidRDefault="00D95275" w:rsidP="009C1345">
            <w:pPr>
              <w:rPr>
                <w:rFonts w:cs="Calibri"/>
                <w:b/>
                <w:szCs w:val="22"/>
              </w:rPr>
            </w:pPr>
            <w:r w:rsidRPr="00366B29">
              <w:rPr>
                <w:rFonts w:cs="Calibri"/>
                <w:b/>
                <w:szCs w:val="22"/>
              </w:rPr>
              <w:t>N/A</w:t>
            </w:r>
          </w:p>
        </w:tc>
        <w:tc>
          <w:tcPr>
            <w:tcW w:w="2807" w:type="dxa"/>
          </w:tcPr>
          <w:p w14:paraId="61B9119C" w14:textId="77777777" w:rsidR="00C3606F" w:rsidRPr="00366B29" w:rsidRDefault="00C91E5C" w:rsidP="009C1345">
            <w:pPr>
              <w:rPr>
                <w:rFonts w:cs="Calibri"/>
                <w:b/>
                <w:szCs w:val="22"/>
              </w:rPr>
            </w:pPr>
            <w:r w:rsidRPr="00366B29">
              <w:rPr>
                <w:rFonts w:cs="Calibri"/>
                <w:b/>
                <w:szCs w:val="22"/>
              </w:rPr>
              <w:t>Violation Location</w:t>
            </w:r>
          </w:p>
        </w:tc>
      </w:tr>
      <w:tr w:rsidR="00C3606F" w:rsidRPr="00366B29" w14:paraId="1DE5683D" w14:textId="77777777" w:rsidTr="009C1345">
        <w:tc>
          <w:tcPr>
            <w:tcW w:w="6228" w:type="dxa"/>
          </w:tcPr>
          <w:p w14:paraId="351358C6" w14:textId="38B97AB1" w:rsidR="00776629" w:rsidRPr="00152648" w:rsidRDefault="0097291F" w:rsidP="009C1345">
            <w:pPr>
              <w:spacing w:after="160"/>
              <w:ind w:left="331" w:hanging="216"/>
              <w:rPr>
                <w:rFonts w:cs="Calibri"/>
                <w:szCs w:val="22"/>
              </w:rPr>
            </w:pPr>
            <w:r w:rsidRPr="0097291F">
              <w:rPr>
                <w:rFonts w:cs="Calibri"/>
                <w:b/>
                <w:bCs/>
                <w:szCs w:val="22"/>
              </w:rPr>
              <w:t xml:space="preserve">5. </w:t>
            </w:r>
            <w:r w:rsidR="00C3606F" w:rsidRPr="00366B29">
              <w:rPr>
                <w:rFonts w:cs="Calibri"/>
                <w:szCs w:val="22"/>
              </w:rPr>
              <w:t>All interior exits and corridors are in good condition</w:t>
            </w:r>
            <w:r w:rsidR="002E6D73">
              <w:rPr>
                <w:rFonts w:cs="Calibri"/>
                <w:szCs w:val="22"/>
              </w:rPr>
              <w:t>,</w:t>
            </w:r>
            <w:r w:rsidR="00C3606F" w:rsidRPr="00366B29">
              <w:rPr>
                <w:rFonts w:cs="Calibri"/>
                <w:szCs w:val="22"/>
              </w:rPr>
              <w:t xml:space="preserve"> readily accessible</w:t>
            </w:r>
            <w:r w:rsidR="002E6D73">
              <w:rPr>
                <w:rFonts w:cs="Calibri"/>
                <w:szCs w:val="22"/>
              </w:rPr>
              <w:t>,</w:t>
            </w:r>
            <w:r w:rsidR="00C3606F" w:rsidRPr="00366B29">
              <w:rPr>
                <w:rFonts w:cs="Calibri"/>
                <w:szCs w:val="22"/>
              </w:rPr>
              <w:t xml:space="preserve"> and free of obstructions and/or excessive materials </w:t>
            </w:r>
            <w:r w:rsidR="00CC22C5">
              <w:rPr>
                <w:rFonts w:cs="Calibri"/>
                <w:szCs w:val="22"/>
              </w:rPr>
              <w:t>that</w:t>
            </w:r>
            <w:r w:rsidR="00C3606F" w:rsidRPr="00366B29">
              <w:rPr>
                <w:rFonts w:cs="Calibri"/>
                <w:szCs w:val="22"/>
              </w:rPr>
              <w:t xml:space="preserve"> would hinder </w:t>
            </w:r>
            <w:r w:rsidR="005F189C" w:rsidRPr="00366B29">
              <w:rPr>
                <w:rFonts w:cs="Calibri"/>
                <w:szCs w:val="22"/>
              </w:rPr>
              <w:t>exit</w:t>
            </w:r>
            <w:r w:rsidR="00C3606F" w:rsidRPr="00366B29">
              <w:rPr>
                <w:rFonts w:cs="Calibri"/>
                <w:szCs w:val="22"/>
              </w:rPr>
              <w:t xml:space="preserve">. </w:t>
            </w:r>
          </w:p>
        </w:tc>
        <w:tc>
          <w:tcPr>
            <w:tcW w:w="720" w:type="dxa"/>
          </w:tcPr>
          <w:p w14:paraId="42417DB2" w14:textId="77777777" w:rsidR="00C3606F" w:rsidRPr="00366B29" w:rsidRDefault="00C3606F" w:rsidP="009C1345">
            <w:pPr>
              <w:jc w:val="center"/>
              <w:rPr>
                <w:rFonts w:cs="Calibri"/>
                <w:szCs w:val="22"/>
              </w:rPr>
            </w:pPr>
          </w:p>
        </w:tc>
        <w:tc>
          <w:tcPr>
            <w:tcW w:w="630" w:type="dxa"/>
          </w:tcPr>
          <w:p w14:paraId="657FE05E" w14:textId="77777777" w:rsidR="00C3606F" w:rsidRPr="00366B29" w:rsidRDefault="00C3606F" w:rsidP="009C1345">
            <w:pPr>
              <w:jc w:val="center"/>
              <w:rPr>
                <w:rFonts w:cs="Calibri"/>
                <w:szCs w:val="22"/>
              </w:rPr>
            </w:pPr>
          </w:p>
        </w:tc>
        <w:tc>
          <w:tcPr>
            <w:tcW w:w="630" w:type="dxa"/>
          </w:tcPr>
          <w:p w14:paraId="75CF53A8" w14:textId="77777777" w:rsidR="00C3606F" w:rsidRPr="00366B29" w:rsidRDefault="00C3606F" w:rsidP="009C1345">
            <w:pPr>
              <w:jc w:val="center"/>
              <w:rPr>
                <w:rFonts w:cs="Calibri"/>
                <w:szCs w:val="22"/>
              </w:rPr>
            </w:pPr>
          </w:p>
        </w:tc>
        <w:tc>
          <w:tcPr>
            <w:tcW w:w="2807" w:type="dxa"/>
          </w:tcPr>
          <w:p w14:paraId="2DC9483F" w14:textId="77777777" w:rsidR="00C3606F" w:rsidRPr="00366B29" w:rsidRDefault="00C3606F" w:rsidP="009C1345">
            <w:pPr>
              <w:spacing w:before="60"/>
              <w:rPr>
                <w:rFonts w:cs="Calibri"/>
                <w:szCs w:val="22"/>
              </w:rPr>
            </w:pPr>
          </w:p>
        </w:tc>
      </w:tr>
      <w:tr w:rsidR="00C3606F" w:rsidRPr="00366B29" w14:paraId="36976B6E" w14:textId="77777777" w:rsidTr="009C1345">
        <w:tc>
          <w:tcPr>
            <w:tcW w:w="6228" w:type="dxa"/>
          </w:tcPr>
          <w:p w14:paraId="20F30A39" w14:textId="5AB16357" w:rsidR="00776629" w:rsidRPr="00152648" w:rsidRDefault="0097291F" w:rsidP="009C1345">
            <w:pPr>
              <w:spacing w:after="160"/>
              <w:ind w:left="331" w:hanging="216"/>
              <w:rPr>
                <w:rFonts w:cs="Calibri"/>
                <w:szCs w:val="22"/>
              </w:rPr>
            </w:pPr>
            <w:r w:rsidRPr="0097291F">
              <w:rPr>
                <w:rFonts w:cs="Calibri"/>
                <w:b/>
                <w:bCs/>
                <w:szCs w:val="22"/>
              </w:rPr>
              <w:t>6.</w:t>
            </w:r>
            <w:r>
              <w:rPr>
                <w:rFonts w:cs="Calibri"/>
                <w:szCs w:val="22"/>
              </w:rPr>
              <w:t xml:space="preserve"> </w:t>
            </w:r>
            <w:r w:rsidR="00C3606F" w:rsidRPr="00366B29">
              <w:rPr>
                <w:rFonts w:cs="Calibri"/>
                <w:szCs w:val="22"/>
              </w:rPr>
              <w:t xml:space="preserve">Emergency evacuation egress procedures are posted at a visible height and standard location in all areas. </w:t>
            </w:r>
          </w:p>
        </w:tc>
        <w:tc>
          <w:tcPr>
            <w:tcW w:w="720" w:type="dxa"/>
          </w:tcPr>
          <w:p w14:paraId="26DBECD9" w14:textId="77777777" w:rsidR="00C3606F" w:rsidRPr="00366B29" w:rsidRDefault="00C3606F" w:rsidP="009C1345">
            <w:pPr>
              <w:jc w:val="center"/>
              <w:rPr>
                <w:rFonts w:cs="Calibri"/>
                <w:szCs w:val="22"/>
              </w:rPr>
            </w:pPr>
          </w:p>
        </w:tc>
        <w:tc>
          <w:tcPr>
            <w:tcW w:w="630" w:type="dxa"/>
          </w:tcPr>
          <w:p w14:paraId="5E1A06E3" w14:textId="77777777" w:rsidR="00C3606F" w:rsidRPr="00366B29" w:rsidRDefault="00C3606F" w:rsidP="009C1345">
            <w:pPr>
              <w:jc w:val="center"/>
              <w:rPr>
                <w:rFonts w:cs="Calibri"/>
                <w:szCs w:val="22"/>
              </w:rPr>
            </w:pPr>
          </w:p>
        </w:tc>
        <w:tc>
          <w:tcPr>
            <w:tcW w:w="630" w:type="dxa"/>
          </w:tcPr>
          <w:p w14:paraId="27872C4D" w14:textId="77777777" w:rsidR="00C3606F" w:rsidRPr="00366B29" w:rsidRDefault="00C3606F" w:rsidP="009C1345">
            <w:pPr>
              <w:jc w:val="center"/>
              <w:rPr>
                <w:rFonts w:cs="Calibri"/>
                <w:szCs w:val="22"/>
              </w:rPr>
            </w:pPr>
          </w:p>
        </w:tc>
        <w:tc>
          <w:tcPr>
            <w:tcW w:w="2807" w:type="dxa"/>
          </w:tcPr>
          <w:p w14:paraId="07BB46CA" w14:textId="77777777" w:rsidR="00C3606F" w:rsidRPr="00366B29" w:rsidRDefault="00C3606F" w:rsidP="009C1345">
            <w:pPr>
              <w:spacing w:before="60"/>
              <w:rPr>
                <w:rFonts w:cs="Calibri"/>
                <w:szCs w:val="22"/>
              </w:rPr>
            </w:pPr>
          </w:p>
        </w:tc>
      </w:tr>
      <w:tr w:rsidR="00C3606F" w:rsidRPr="00366B29" w14:paraId="19D5B5C4" w14:textId="77777777" w:rsidTr="009C1345">
        <w:tc>
          <w:tcPr>
            <w:tcW w:w="6228" w:type="dxa"/>
          </w:tcPr>
          <w:p w14:paraId="4A8FF6F0" w14:textId="06BD7CF3" w:rsidR="00776629" w:rsidRPr="00152648" w:rsidRDefault="0097291F" w:rsidP="009C1345">
            <w:pPr>
              <w:spacing w:after="160"/>
              <w:ind w:left="331" w:hanging="216"/>
              <w:rPr>
                <w:rFonts w:cs="Calibri"/>
                <w:szCs w:val="22"/>
              </w:rPr>
            </w:pPr>
            <w:r w:rsidRPr="0097291F">
              <w:rPr>
                <w:rFonts w:cs="Calibri"/>
                <w:b/>
                <w:bCs/>
                <w:szCs w:val="22"/>
              </w:rPr>
              <w:t>7</w:t>
            </w:r>
            <w:r>
              <w:rPr>
                <w:rFonts w:cs="Calibri"/>
                <w:szCs w:val="22"/>
              </w:rPr>
              <w:t xml:space="preserve">. </w:t>
            </w:r>
            <w:r w:rsidR="00F006DC" w:rsidRPr="00F006DC">
              <w:rPr>
                <w:rFonts w:cs="Calibri"/>
                <w:szCs w:val="22"/>
              </w:rPr>
              <w:t>Doors leading to interior courtyards are clearly marked: "Not an Exit” and such doors should open into the corridor.</w:t>
            </w:r>
          </w:p>
        </w:tc>
        <w:tc>
          <w:tcPr>
            <w:tcW w:w="720" w:type="dxa"/>
          </w:tcPr>
          <w:p w14:paraId="10013A45" w14:textId="77777777" w:rsidR="00C3606F" w:rsidRPr="00366B29" w:rsidRDefault="00C3606F" w:rsidP="009C1345">
            <w:pPr>
              <w:jc w:val="center"/>
              <w:rPr>
                <w:rFonts w:cs="Calibri"/>
                <w:szCs w:val="22"/>
              </w:rPr>
            </w:pPr>
          </w:p>
        </w:tc>
        <w:tc>
          <w:tcPr>
            <w:tcW w:w="630" w:type="dxa"/>
          </w:tcPr>
          <w:p w14:paraId="1A251DD2" w14:textId="77777777" w:rsidR="00C3606F" w:rsidRPr="00366B29" w:rsidRDefault="00C3606F" w:rsidP="009C1345">
            <w:pPr>
              <w:jc w:val="center"/>
              <w:rPr>
                <w:rFonts w:cs="Calibri"/>
                <w:szCs w:val="22"/>
              </w:rPr>
            </w:pPr>
          </w:p>
        </w:tc>
        <w:tc>
          <w:tcPr>
            <w:tcW w:w="630" w:type="dxa"/>
          </w:tcPr>
          <w:p w14:paraId="1CF5AFF9" w14:textId="77777777" w:rsidR="00C3606F" w:rsidRPr="00366B29" w:rsidRDefault="00C3606F" w:rsidP="009C1345">
            <w:pPr>
              <w:jc w:val="center"/>
              <w:rPr>
                <w:rFonts w:cs="Calibri"/>
                <w:szCs w:val="22"/>
              </w:rPr>
            </w:pPr>
          </w:p>
        </w:tc>
        <w:tc>
          <w:tcPr>
            <w:tcW w:w="2807" w:type="dxa"/>
          </w:tcPr>
          <w:p w14:paraId="186C9D28" w14:textId="77777777" w:rsidR="00C3606F" w:rsidRPr="00366B29" w:rsidRDefault="00C3606F" w:rsidP="009C1345">
            <w:pPr>
              <w:spacing w:before="60"/>
              <w:rPr>
                <w:rFonts w:cs="Calibri"/>
                <w:szCs w:val="22"/>
              </w:rPr>
            </w:pPr>
          </w:p>
        </w:tc>
      </w:tr>
      <w:tr w:rsidR="00C3606F" w:rsidRPr="00366B29" w14:paraId="39E4D9F4" w14:textId="77777777" w:rsidTr="009C1345">
        <w:tc>
          <w:tcPr>
            <w:tcW w:w="6228" w:type="dxa"/>
          </w:tcPr>
          <w:p w14:paraId="52F1E719" w14:textId="2F4D772A" w:rsidR="00776629" w:rsidRPr="00152648" w:rsidRDefault="0097291F" w:rsidP="009C1345">
            <w:pPr>
              <w:spacing w:after="160"/>
              <w:ind w:left="331" w:hanging="216"/>
              <w:rPr>
                <w:rFonts w:cs="Calibri"/>
                <w:szCs w:val="22"/>
              </w:rPr>
            </w:pPr>
            <w:r w:rsidRPr="0097291F">
              <w:rPr>
                <w:rFonts w:cs="Calibri"/>
                <w:b/>
                <w:bCs/>
                <w:szCs w:val="22"/>
              </w:rPr>
              <w:t>8</w:t>
            </w:r>
            <w:r>
              <w:rPr>
                <w:rFonts w:cs="Calibri"/>
                <w:szCs w:val="22"/>
              </w:rPr>
              <w:t xml:space="preserve">. </w:t>
            </w:r>
            <w:r w:rsidR="00C3606F" w:rsidRPr="00366B29">
              <w:rPr>
                <w:rFonts w:cs="Calibri"/>
                <w:szCs w:val="22"/>
              </w:rPr>
              <w:t xml:space="preserve">Handrails on both sides of interior stairways, guardrails and interior stair treads are free of surface features </w:t>
            </w:r>
            <w:r w:rsidR="002E6D73">
              <w:rPr>
                <w:rFonts w:cs="Calibri"/>
                <w:szCs w:val="22"/>
              </w:rPr>
              <w:t>that</w:t>
            </w:r>
            <w:r w:rsidR="00C3606F" w:rsidRPr="00366B29">
              <w:rPr>
                <w:rFonts w:cs="Calibri"/>
                <w:szCs w:val="22"/>
              </w:rPr>
              <w:t xml:space="preserve"> may cause injury and/or are properly secured. Interior stair treads do not show evidence of extensive wear and are generally in good repair</w:t>
            </w:r>
            <w:r w:rsidR="00152648">
              <w:rPr>
                <w:rFonts w:cs="Calibri"/>
                <w:szCs w:val="22"/>
              </w:rPr>
              <w:t>.</w:t>
            </w:r>
          </w:p>
        </w:tc>
        <w:tc>
          <w:tcPr>
            <w:tcW w:w="720" w:type="dxa"/>
          </w:tcPr>
          <w:p w14:paraId="253B8473" w14:textId="77777777" w:rsidR="00C3606F" w:rsidRPr="00366B29" w:rsidRDefault="00C3606F" w:rsidP="009C1345">
            <w:pPr>
              <w:jc w:val="center"/>
              <w:rPr>
                <w:rFonts w:cs="Calibri"/>
                <w:szCs w:val="22"/>
              </w:rPr>
            </w:pPr>
          </w:p>
        </w:tc>
        <w:tc>
          <w:tcPr>
            <w:tcW w:w="630" w:type="dxa"/>
          </w:tcPr>
          <w:p w14:paraId="7754E57F" w14:textId="77777777" w:rsidR="00C3606F" w:rsidRPr="00366B29" w:rsidRDefault="00C3606F" w:rsidP="009C1345">
            <w:pPr>
              <w:jc w:val="center"/>
              <w:rPr>
                <w:rFonts w:cs="Calibri"/>
                <w:szCs w:val="22"/>
              </w:rPr>
            </w:pPr>
          </w:p>
        </w:tc>
        <w:tc>
          <w:tcPr>
            <w:tcW w:w="630" w:type="dxa"/>
          </w:tcPr>
          <w:p w14:paraId="0EF54269" w14:textId="77777777" w:rsidR="00C3606F" w:rsidRPr="00366B29" w:rsidRDefault="00C3606F" w:rsidP="009C1345">
            <w:pPr>
              <w:jc w:val="center"/>
              <w:rPr>
                <w:rFonts w:cs="Calibri"/>
                <w:szCs w:val="22"/>
              </w:rPr>
            </w:pPr>
          </w:p>
        </w:tc>
        <w:tc>
          <w:tcPr>
            <w:tcW w:w="2807" w:type="dxa"/>
          </w:tcPr>
          <w:p w14:paraId="720160A0" w14:textId="77777777" w:rsidR="00C3606F" w:rsidRPr="00366B29" w:rsidRDefault="00C3606F" w:rsidP="009C1345">
            <w:pPr>
              <w:spacing w:before="60"/>
              <w:rPr>
                <w:rFonts w:cs="Calibri"/>
                <w:szCs w:val="22"/>
              </w:rPr>
            </w:pPr>
          </w:p>
        </w:tc>
      </w:tr>
      <w:tr w:rsidR="00C3606F" w:rsidRPr="00366B29" w14:paraId="55F121FD" w14:textId="77777777" w:rsidTr="009C1345">
        <w:tc>
          <w:tcPr>
            <w:tcW w:w="6228" w:type="dxa"/>
          </w:tcPr>
          <w:p w14:paraId="2105AB1E" w14:textId="7022BC3C" w:rsidR="00776629" w:rsidRPr="00152648" w:rsidRDefault="0097291F" w:rsidP="009C1345">
            <w:pPr>
              <w:spacing w:after="160"/>
              <w:ind w:left="331" w:hanging="216"/>
              <w:rPr>
                <w:rFonts w:cs="Calibri"/>
                <w:szCs w:val="22"/>
              </w:rPr>
            </w:pPr>
            <w:r w:rsidRPr="0097291F">
              <w:rPr>
                <w:rFonts w:cs="Calibri"/>
                <w:b/>
                <w:bCs/>
                <w:szCs w:val="22"/>
              </w:rPr>
              <w:t>9.</w:t>
            </w:r>
            <w:r>
              <w:rPr>
                <w:rFonts w:cs="Calibri"/>
                <w:szCs w:val="22"/>
              </w:rPr>
              <w:t xml:space="preserve"> </w:t>
            </w:r>
            <w:r w:rsidR="00C3606F" w:rsidRPr="00366B29">
              <w:rPr>
                <w:rFonts w:cs="Calibri"/>
                <w:szCs w:val="22"/>
              </w:rPr>
              <w:t xml:space="preserve">Stage curtains </w:t>
            </w:r>
            <w:r w:rsidR="00FE1455" w:rsidRPr="00366B29">
              <w:rPr>
                <w:rFonts w:cs="Calibri"/>
                <w:szCs w:val="22"/>
              </w:rPr>
              <w:t xml:space="preserve">need to indicate </w:t>
            </w:r>
            <w:r w:rsidR="00C3606F" w:rsidRPr="00366B29">
              <w:rPr>
                <w:rFonts w:cs="Calibri"/>
                <w:szCs w:val="22"/>
              </w:rPr>
              <w:t xml:space="preserve">flame proof or flame </w:t>
            </w:r>
            <w:proofErr w:type="gramStart"/>
            <w:r w:rsidR="00C3606F" w:rsidRPr="00366B29">
              <w:rPr>
                <w:rFonts w:cs="Calibri"/>
                <w:szCs w:val="22"/>
              </w:rPr>
              <w:t>retardant</w:t>
            </w:r>
            <w:proofErr w:type="gramEnd"/>
            <w:r w:rsidR="00C3606F" w:rsidRPr="00366B29">
              <w:rPr>
                <w:rFonts w:cs="Calibri"/>
                <w:szCs w:val="22"/>
              </w:rPr>
              <w:t xml:space="preserve"> and certificates are on file.</w:t>
            </w:r>
          </w:p>
        </w:tc>
        <w:tc>
          <w:tcPr>
            <w:tcW w:w="720" w:type="dxa"/>
          </w:tcPr>
          <w:p w14:paraId="71826201" w14:textId="77777777" w:rsidR="00C3606F" w:rsidRPr="00366B29" w:rsidRDefault="00C3606F" w:rsidP="009C1345">
            <w:pPr>
              <w:jc w:val="center"/>
              <w:rPr>
                <w:rFonts w:cs="Calibri"/>
                <w:szCs w:val="22"/>
              </w:rPr>
            </w:pPr>
          </w:p>
        </w:tc>
        <w:tc>
          <w:tcPr>
            <w:tcW w:w="630" w:type="dxa"/>
          </w:tcPr>
          <w:p w14:paraId="31F6C4D6" w14:textId="77777777" w:rsidR="00C3606F" w:rsidRPr="00366B29" w:rsidRDefault="00C3606F" w:rsidP="009C1345">
            <w:pPr>
              <w:jc w:val="center"/>
              <w:rPr>
                <w:rFonts w:cs="Calibri"/>
                <w:szCs w:val="22"/>
              </w:rPr>
            </w:pPr>
          </w:p>
        </w:tc>
        <w:tc>
          <w:tcPr>
            <w:tcW w:w="630" w:type="dxa"/>
          </w:tcPr>
          <w:p w14:paraId="62EA24F9" w14:textId="77777777" w:rsidR="00C3606F" w:rsidRPr="00366B29" w:rsidRDefault="00C3606F" w:rsidP="009C1345">
            <w:pPr>
              <w:jc w:val="center"/>
              <w:rPr>
                <w:rFonts w:cs="Calibri"/>
                <w:szCs w:val="22"/>
              </w:rPr>
            </w:pPr>
          </w:p>
        </w:tc>
        <w:tc>
          <w:tcPr>
            <w:tcW w:w="2807" w:type="dxa"/>
          </w:tcPr>
          <w:p w14:paraId="4B995F7D" w14:textId="77777777" w:rsidR="00C3606F" w:rsidRPr="00366B29" w:rsidRDefault="00C3606F" w:rsidP="009C1345">
            <w:pPr>
              <w:spacing w:before="60"/>
              <w:rPr>
                <w:rFonts w:cs="Calibri"/>
                <w:szCs w:val="22"/>
              </w:rPr>
            </w:pPr>
          </w:p>
        </w:tc>
      </w:tr>
      <w:tr w:rsidR="00C3606F" w:rsidRPr="00366B29" w14:paraId="74909643" w14:textId="77777777" w:rsidTr="009C1345">
        <w:tc>
          <w:tcPr>
            <w:tcW w:w="6228" w:type="dxa"/>
          </w:tcPr>
          <w:p w14:paraId="08556F37" w14:textId="081E6FF0" w:rsidR="00776629" w:rsidRPr="00152648" w:rsidRDefault="0097291F" w:rsidP="009C1345">
            <w:pPr>
              <w:spacing w:after="120"/>
              <w:ind w:left="317" w:hanging="317"/>
              <w:rPr>
                <w:rFonts w:cs="Calibri"/>
                <w:szCs w:val="22"/>
              </w:rPr>
            </w:pPr>
            <w:r w:rsidRPr="0097291F">
              <w:rPr>
                <w:rFonts w:cs="Calibri"/>
                <w:b/>
                <w:bCs/>
                <w:szCs w:val="22"/>
              </w:rPr>
              <w:lastRenderedPageBreak/>
              <w:t>10</w:t>
            </w:r>
            <w:r>
              <w:rPr>
                <w:rFonts w:cs="Calibri"/>
                <w:szCs w:val="22"/>
              </w:rPr>
              <w:t xml:space="preserve">. </w:t>
            </w:r>
            <w:r w:rsidR="00C3606F" w:rsidRPr="00366B29">
              <w:rPr>
                <w:rFonts w:cs="Calibri"/>
                <w:szCs w:val="22"/>
              </w:rPr>
              <w:t>All education spaces shall be equipped with a communication devi</w:t>
            </w:r>
            <w:r w:rsidR="003A047A">
              <w:rPr>
                <w:rFonts w:cs="Calibri"/>
                <w:szCs w:val="22"/>
              </w:rPr>
              <w:t>c</w:t>
            </w:r>
            <w:r w:rsidR="00C3606F" w:rsidRPr="00366B29">
              <w:rPr>
                <w:rFonts w:cs="Calibri"/>
                <w:szCs w:val="22"/>
              </w:rPr>
              <w:t>e/system connected to the main office and capable of emergency communication to local authorities or 9-1-1</w:t>
            </w:r>
            <w:r w:rsidR="008838DC">
              <w:rPr>
                <w:rFonts w:cs="Calibri"/>
                <w:szCs w:val="22"/>
              </w:rPr>
              <w:t xml:space="preserve">. </w:t>
            </w:r>
          </w:p>
        </w:tc>
        <w:tc>
          <w:tcPr>
            <w:tcW w:w="720" w:type="dxa"/>
          </w:tcPr>
          <w:p w14:paraId="509838EB" w14:textId="77777777" w:rsidR="00C3606F" w:rsidRPr="00366B29" w:rsidRDefault="00C3606F" w:rsidP="009C1345">
            <w:pPr>
              <w:jc w:val="center"/>
              <w:rPr>
                <w:rFonts w:cs="Calibri"/>
                <w:szCs w:val="22"/>
              </w:rPr>
            </w:pPr>
          </w:p>
        </w:tc>
        <w:tc>
          <w:tcPr>
            <w:tcW w:w="630" w:type="dxa"/>
          </w:tcPr>
          <w:p w14:paraId="7ACC6217" w14:textId="77777777" w:rsidR="00C3606F" w:rsidRPr="00366B29" w:rsidRDefault="00C3606F" w:rsidP="009C1345">
            <w:pPr>
              <w:jc w:val="center"/>
              <w:rPr>
                <w:rFonts w:cs="Calibri"/>
                <w:szCs w:val="22"/>
              </w:rPr>
            </w:pPr>
          </w:p>
        </w:tc>
        <w:tc>
          <w:tcPr>
            <w:tcW w:w="630" w:type="dxa"/>
          </w:tcPr>
          <w:p w14:paraId="0DDBFA94" w14:textId="77777777" w:rsidR="00C3606F" w:rsidRPr="00366B29" w:rsidRDefault="00C3606F" w:rsidP="009C1345">
            <w:pPr>
              <w:jc w:val="center"/>
              <w:rPr>
                <w:rFonts w:cs="Calibri"/>
                <w:szCs w:val="22"/>
              </w:rPr>
            </w:pPr>
          </w:p>
        </w:tc>
        <w:tc>
          <w:tcPr>
            <w:tcW w:w="2807" w:type="dxa"/>
          </w:tcPr>
          <w:p w14:paraId="4B28BABC" w14:textId="77777777" w:rsidR="00C3606F" w:rsidRPr="00366B29" w:rsidRDefault="00C3606F" w:rsidP="009C1345">
            <w:pPr>
              <w:spacing w:before="60"/>
              <w:rPr>
                <w:rFonts w:cs="Calibri"/>
                <w:szCs w:val="22"/>
              </w:rPr>
            </w:pPr>
          </w:p>
        </w:tc>
      </w:tr>
      <w:tr w:rsidR="00C3606F" w:rsidRPr="00366B29" w14:paraId="0A7C1EFD" w14:textId="77777777" w:rsidTr="009C1345">
        <w:tc>
          <w:tcPr>
            <w:tcW w:w="6228" w:type="dxa"/>
          </w:tcPr>
          <w:p w14:paraId="69E16B9E" w14:textId="6A1DF6C7" w:rsidR="00C3606F" w:rsidRPr="0097291F" w:rsidRDefault="0097291F" w:rsidP="009C1345">
            <w:pPr>
              <w:spacing w:after="120"/>
            </w:pPr>
            <w:r w:rsidRPr="0097291F">
              <w:rPr>
                <w:b/>
                <w:bCs/>
              </w:rPr>
              <w:t>11</w:t>
            </w:r>
            <w:r>
              <w:t xml:space="preserve">. </w:t>
            </w:r>
            <w:r w:rsidR="00C3606F" w:rsidRPr="0097291F">
              <w:t xml:space="preserve">Electric outlets and/or wiring appear appropriate, including: </w:t>
            </w:r>
          </w:p>
          <w:p w14:paraId="07EA802B" w14:textId="2D263D59" w:rsidR="00C3606F" w:rsidRPr="0097291F" w:rsidRDefault="00C3606F" w:rsidP="009C1345">
            <w:pPr>
              <w:pStyle w:val="ListParagraph"/>
              <w:numPr>
                <w:ilvl w:val="0"/>
                <w:numId w:val="26"/>
              </w:numPr>
              <w:spacing w:after="240"/>
              <w:ind w:left="936"/>
            </w:pPr>
            <w:r w:rsidRPr="0097291F">
              <w:t>GFI protection for receptacle(s) within 6 f</w:t>
            </w:r>
            <w:r w:rsidR="00365D8E">
              <w:t xml:space="preserve">eet </w:t>
            </w:r>
            <w:r w:rsidRPr="0097291F">
              <w:t>of water in accordance with code.</w:t>
            </w:r>
          </w:p>
          <w:p w14:paraId="4A439716" w14:textId="3EAA4F36" w:rsidR="00C3606F" w:rsidRPr="0097291F" w:rsidRDefault="00C3606F" w:rsidP="009C1345">
            <w:pPr>
              <w:pStyle w:val="ListParagraph"/>
              <w:numPr>
                <w:ilvl w:val="0"/>
                <w:numId w:val="26"/>
              </w:numPr>
              <w:spacing w:after="240"/>
              <w:ind w:left="936"/>
            </w:pPr>
            <w:r w:rsidRPr="0097291F">
              <w:t xml:space="preserve">Electrical extension cords and surge protectors used appropriately, with extension cords only used </w:t>
            </w:r>
            <w:r w:rsidR="00365D8E" w:rsidRPr="00365D8E">
              <w:rPr>
                <w:rStyle w:val="Emphasis"/>
              </w:rPr>
              <w:t>temporarily</w:t>
            </w:r>
            <w:r w:rsidR="00365D8E">
              <w:t>.</w:t>
            </w:r>
          </w:p>
          <w:p w14:paraId="330C48F3" w14:textId="5D6FEC88" w:rsidR="003E6168" w:rsidRPr="00152648" w:rsidRDefault="00C3606F" w:rsidP="003E6168">
            <w:pPr>
              <w:pStyle w:val="ListParagraph"/>
              <w:numPr>
                <w:ilvl w:val="0"/>
                <w:numId w:val="26"/>
              </w:numPr>
              <w:spacing w:after="240"/>
              <w:ind w:left="936"/>
            </w:pPr>
            <w:r w:rsidRPr="0097291F">
              <w:t>Sufficient electrical duplex outlets shall be provided to satisfy the program needs as provided in</w:t>
            </w:r>
            <w:r w:rsidR="003E6168">
              <w:t xml:space="preserve"> code. </w:t>
            </w:r>
            <w:r w:rsidR="003E6168">
              <w:br/>
            </w:r>
            <w:r w:rsidR="00625A20">
              <w:t>N.J.A.C.</w:t>
            </w:r>
            <w:r w:rsidR="003E6168" w:rsidRPr="003E6168">
              <w:t xml:space="preserve"> 6A:26-6.3(f)</w:t>
            </w:r>
          </w:p>
        </w:tc>
        <w:tc>
          <w:tcPr>
            <w:tcW w:w="720" w:type="dxa"/>
          </w:tcPr>
          <w:p w14:paraId="7957672B" w14:textId="77777777" w:rsidR="00C3606F" w:rsidRPr="00366B29" w:rsidRDefault="00C3606F" w:rsidP="009C1345">
            <w:pPr>
              <w:jc w:val="center"/>
              <w:rPr>
                <w:rFonts w:cs="Calibri"/>
                <w:szCs w:val="22"/>
              </w:rPr>
            </w:pPr>
          </w:p>
        </w:tc>
        <w:tc>
          <w:tcPr>
            <w:tcW w:w="630" w:type="dxa"/>
          </w:tcPr>
          <w:p w14:paraId="291DD51C" w14:textId="77777777" w:rsidR="00C3606F" w:rsidRPr="00366B29" w:rsidRDefault="00C3606F" w:rsidP="009C1345">
            <w:pPr>
              <w:jc w:val="center"/>
              <w:rPr>
                <w:rFonts w:cs="Calibri"/>
                <w:szCs w:val="22"/>
              </w:rPr>
            </w:pPr>
          </w:p>
        </w:tc>
        <w:tc>
          <w:tcPr>
            <w:tcW w:w="630" w:type="dxa"/>
          </w:tcPr>
          <w:p w14:paraId="788549A4" w14:textId="77777777" w:rsidR="00C3606F" w:rsidRPr="00366B29" w:rsidRDefault="00C3606F" w:rsidP="009C1345">
            <w:pPr>
              <w:jc w:val="center"/>
              <w:rPr>
                <w:rFonts w:cs="Calibri"/>
                <w:szCs w:val="22"/>
              </w:rPr>
            </w:pPr>
          </w:p>
        </w:tc>
        <w:tc>
          <w:tcPr>
            <w:tcW w:w="2807" w:type="dxa"/>
          </w:tcPr>
          <w:p w14:paraId="2C671ACE" w14:textId="77777777" w:rsidR="00C3606F" w:rsidRPr="00366B29" w:rsidRDefault="00C3606F" w:rsidP="009C1345">
            <w:pPr>
              <w:spacing w:before="60"/>
              <w:rPr>
                <w:rFonts w:cs="Calibri"/>
                <w:szCs w:val="22"/>
              </w:rPr>
            </w:pPr>
          </w:p>
        </w:tc>
      </w:tr>
      <w:tr w:rsidR="00C3606F" w:rsidRPr="00366B29" w14:paraId="55437055" w14:textId="77777777" w:rsidTr="009C1345">
        <w:tc>
          <w:tcPr>
            <w:tcW w:w="6228" w:type="dxa"/>
          </w:tcPr>
          <w:p w14:paraId="41FE40C3" w14:textId="7919CB92" w:rsidR="005B0A36" w:rsidRPr="00152648" w:rsidRDefault="0097291F" w:rsidP="009C1345">
            <w:pPr>
              <w:spacing w:after="240"/>
              <w:ind w:left="317" w:hanging="317"/>
              <w:rPr>
                <w:rFonts w:cs="Calibri"/>
                <w:szCs w:val="22"/>
              </w:rPr>
            </w:pPr>
            <w:r w:rsidRPr="0097291F">
              <w:rPr>
                <w:rFonts w:cs="Calibri"/>
                <w:b/>
                <w:bCs/>
                <w:szCs w:val="22"/>
              </w:rPr>
              <w:t>12</w:t>
            </w:r>
            <w:r>
              <w:rPr>
                <w:rFonts w:cs="Calibri"/>
                <w:szCs w:val="22"/>
              </w:rPr>
              <w:t xml:space="preserve">. </w:t>
            </w:r>
            <w:r w:rsidR="00C3606F" w:rsidRPr="00366B29">
              <w:rPr>
                <w:rFonts w:cs="Calibri"/>
                <w:szCs w:val="22"/>
              </w:rPr>
              <w:t xml:space="preserve">Nurse's Office: </w:t>
            </w:r>
            <w:r w:rsidR="001516E6">
              <w:rPr>
                <w:rFonts w:cs="Calibri"/>
                <w:szCs w:val="22"/>
              </w:rPr>
              <w:t>Space</w:t>
            </w:r>
            <w:r w:rsidR="00C3606F" w:rsidRPr="00366B29">
              <w:rPr>
                <w:rFonts w:cs="Calibri"/>
                <w:szCs w:val="22"/>
              </w:rPr>
              <w:t xml:space="preserve"> shall provide the necessary facilities, equipment and supplies for the performance of the duties required under State law and the rules by health services personnel. </w:t>
            </w:r>
            <w:r w:rsidR="00625A20">
              <w:rPr>
                <w:rFonts w:cs="Calibri"/>
                <w:szCs w:val="22"/>
              </w:rPr>
              <w:t>N.J.A.C.</w:t>
            </w:r>
            <w:r w:rsidR="00975B1A" w:rsidRPr="00975B1A">
              <w:rPr>
                <w:rFonts w:cs="Calibri"/>
                <w:szCs w:val="22"/>
              </w:rPr>
              <w:t xml:space="preserve"> 6A:26-6.3(9) and </w:t>
            </w:r>
            <w:r w:rsidR="00625A20">
              <w:rPr>
                <w:rFonts w:cs="Calibri"/>
                <w:szCs w:val="22"/>
              </w:rPr>
              <w:t>N.J.A.C.</w:t>
            </w:r>
            <w:r w:rsidR="00975B1A" w:rsidRPr="00975B1A">
              <w:rPr>
                <w:rFonts w:cs="Calibri"/>
                <w:szCs w:val="22"/>
              </w:rPr>
              <w:t xml:space="preserve"> 6A:26-12.3</w:t>
            </w:r>
          </w:p>
        </w:tc>
        <w:tc>
          <w:tcPr>
            <w:tcW w:w="720" w:type="dxa"/>
          </w:tcPr>
          <w:p w14:paraId="52075959" w14:textId="77777777" w:rsidR="00C3606F" w:rsidRPr="00366B29" w:rsidRDefault="00C3606F" w:rsidP="009C1345">
            <w:pPr>
              <w:jc w:val="center"/>
              <w:rPr>
                <w:rFonts w:cs="Calibri"/>
                <w:szCs w:val="22"/>
              </w:rPr>
            </w:pPr>
          </w:p>
        </w:tc>
        <w:tc>
          <w:tcPr>
            <w:tcW w:w="630" w:type="dxa"/>
          </w:tcPr>
          <w:p w14:paraId="7EFB835F" w14:textId="77777777" w:rsidR="00C3606F" w:rsidRPr="00366B29" w:rsidRDefault="00C3606F" w:rsidP="009C1345">
            <w:pPr>
              <w:jc w:val="center"/>
              <w:rPr>
                <w:rFonts w:cs="Calibri"/>
                <w:szCs w:val="22"/>
              </w:rPr>
            </w:pPr>
          </w:p>
        </w:tc>
        <w:tc>
          <w:tcPr>
            <w:tcW w:w="630" w:type="dxa"/>
          </w:tcPr>
          <w:p w14:paraId="11EBBDC3" w14:textId="77777777" w:rsidR="00C3606F" w:rsidRPr="00366B29" w:rsidRDefault="00C3606F" w:rsidP="009C1345">
            <w:pPr>
              <w:jc w:val="center"/>
              <w:rPr>
                <w:rFonts w:cs="Calibri"/>
                <w:szCs w:val="22"/>
              </w:rPr>
            </w:pPr>
          </w:p>
        </w:tc>
        <w:tc>
          <w:tcPr>
            <w:tcW w:w="2807" w:type="dxa"/>
          </w:tcPr>
          <w:p w14:paraId="1BDBAB32" w14:textId="77777777" w:rsidR="00C3606F" w:rsidRPr="00366B29" w:rsidRDefault="00C3606F" w:rsidP="009C1345">
            <w:pPr>
              <w:spacing w:before="60"/>
              <w:rPr>
                <w:rFonts w:cs="Calibri"/>
                <w:szCs w:val="22"/>
              </w:rPr>
            </w:pPr>
          </w:p>
        </w:tc>
      </w:tr>
      <w:tr w:rsidR="00C3606F" w:rsidRPr="00366B29" w14:paraId="1E031BC7" w14:textId="77777777" w:rsidTr="009C1345">
        <w:tc>
          <w:tcPr>
            <w:tcW w:w="6228" w:type="dxa"/>
          </w:tcPr>
          <w:p w14:paraId="0EECE965" w14:textId="39A05856" w:rsidR="00776629" w:rsidRPr="00152648" w:rsidRDefault="0097291F" w:rsidP="009C1345">
            <w:pPr>
              <w:spacing w:after="240"/>
              <w:ind w:left="317" w:hanging="317"/>
              <w:rPr>
                <w:rFonts w:cs="Calibri"/>
                <w:szCs w:val="22"/>
              </w:rPr>
            </w:pPr>
            <w:r w:rsidRPr="0097291F">
              <w:rPr>
                <w:rFonts w:cs="Calibri"/>
                <w:b/>
                <w:bCs/>
                <w:szCs w:val="22"/>
              </w:rPr>
              <w:t>13</w:t>
            </w:r>
            <w:r>
              <w:rPr>
                <w:rFonts w:cs="Calibri"/>
                <w:szCs w:val="22"/>
              </w:rPr>
              <w:t>.</w:t>
            </w:r>
            <w:r w:rsidR="007A3C22">
              <w:rPr>
                <w:rFonts w:cs="Calibri"/>
                <w:szCs w:val="22"/>
              </w:rPr>
              <w:t xml:space="preserve"> </w:t>
            </w:r>
            <w:r w:rsidR="007A3C22" w:rsidRPr="007A3C22">
              <w:rPr>
                <w:rFonts w:cs="Calibri"/>
                <w:szCs w:val="22"/>
              </w:rPr>
              <w:t>Individual or central mechanical ventilation unit(s) are operating in all student- and staff-occupied rooms/areas and toilet facilities; air conditioners are operational in windowless interior areas. Heating and ventilation requirements shall be as set forth in code</w:t>
            </w:r>
            <w:r w:rsidR="000D23C7">
              <w:rPr>
                <w:rFonts w:cs="Calibri"/>
                <w:szCs w:val="22"/>
              </w:rPr>
              <w:t>.</w:t>
            </w:r>
            <w:r w:rsidR="00E64F10">
              <w:rPr>
                <w:rFonts w:cs="Calibri"/>
                <w:szCs w:val="22"/>
              </w:rPr>
              <w:t xml:space="preserve"> </w:t>
            </w:r>
            <w:r w:rsidR="00625A20">
              <w:rPr>
                <w:rFonts w:cs="Calibri"/>
                <w:szCs w:val="22"/>
              </w:rPr>
              <w:t>N.J.A.C.</w:t>
            </w:r>
            <w:r w:rsidR="00E64F10" w:rsidRPr="00E64F10">
              <w:rPr>
                <w:rFonts w:cs="Calibri"/>
                <w:szCs w:val="22"/>
              </w:rPr>
              <w:t xml:space="preserve"> 6A:26-6.3(d)</w:t>
            </w:r>
          </w:p>
        </w:tc>
        <w:tc>
          <w:tcPr>
            <w:tcW w:w="720" w:type="dxa"/>
          </w:tcPr>
          <w:p w14:paraId="31C27493" w14:textId="77777777" w:rsidR="00C3606F" w:rsidRPr="00366B29" w:rsidRDefault="00C3606F" w:rsidP="009C1345">
            <w:pPr>
              <w:jc w:val="center"/>
              <w:rPr>
                <w:rFonts w:cs="Calibri"/>
                <w:szCs w:val="22"/>
              </w:rPr>
            </w:pPr>
          </w:p>
        </w:tc>
        <w:tc>
          <w:tcPr>
            <w:tcW w:w="630" w:type="dxa"/>
          </w:tcPr>
          <w:p w14:paraId="0BFEFDAD" w14:textId="77777777" w:rsidR="00C3606F" w:rsidRPr="00366B29" w:rsidRDefault="00C3606F" w:rsidP="009C1345">
            <w:pPr>
              <w:jc w:val="center"/>
              <w:rPr>
                <w:rFonts w:cs="Calibri"/>
                <w:szCs w:val="22"/>
              </w:rPr>
            </w:pPr>
          </w:p>
        </w:tc>
        <w:tc>
          <w:tcPr>
            <w:tcW w:w="630" w:type="dxa"/>
          </w:tcPr>
          <w:p w14:paraId="50569A42" w14:textId="77777777" w:rsidR="00C3606F" w:rsidRPr="00366B29" w:rsidRDefault="00C3606F" w:rsidP="009C1345">
            <w:pPr>
              <w:jc w:val="center"/>
              <w:rPr>
                <w:rFonts w:cs="Calibri"/>
                <w:szCs w:val="22"/>
              </w:rPr>
            </w:pPr>
          </w:p>
        </w:tc>
        <w:tc>
          <w:tcPr>
            <w:tcW w:w="2807" w:type="dxa"/>
          </w:tcPr>
          <w:p w14:paraId="7E18F1D9" w14:textId="77777777" w:rsidR="00C3606F" w:rsidRPr="00366B29" w:rsidRDefault="00C3606F" w:rsidP="009C1345">
            <w:pPr>
              <w:spacing w:before="60"/>
              <w:rPr>
                <w:rFonts w:cs="Calibri"/>
                <w:szCs w:val="22"/>
              </w:rPr>
            </w:pPr>
          </w:p>
        </w:tc>
      </w:tr>
      <w:tr w:rsidR="00C3606F" w:rsidRPr="00366B29" w14:paraId="514BFF4D" w14:textId="77777777" w:rsidTr="009C1345">
        <w:trPr>
          <w:trHeight w:val="899"/>
        </w:trPr>
        <w:tc>
          <w:tcPr>
            <w:tcW w:w="6228" w:type="dxa"/>
          </w:tcPr>
          <w:p w14:paraId="4C0A0099" w14:textId="0D7736C1" w:rsidR="00776629" w:rsidRPr="00152648" w:rsidRDefault="0097291F" w:rsidP="009C1345">
            <w:pPr>
              <w:spacing w:after="240"/>
              <w:ind w:left="317" w:hanging="317"/>
              <w:rPr>
                <w:rFonts w:cs="Calibri"/>
                <w:szCs w:val="22"/>
              </w:rPr>
            </w:pPr>
            <w:r w:rsidRPr="0097291F">
              <w:rPr>
                <w:rFonts w:cs="Calibri"/>
                <w:b/>
                <w:bCs/>
                <w:szCs w:val="22"/>
              </w:rPr>
              <w:t>14.</w:t>
            </w:r>
            <w:r>
              <w:rPr>
                <w:rFonts w:cs="Calibri"/>
                <w:szCs w:val="22"/>
              </w:rPr>
              <w:t xml:space="preserve"> </w:t>
            </w:r>
            <w:r w:rsidR="004F4A2C" w:rsidRPr="004F4A2C">
              <w:rPr>
                <w:rFonts w:cs="Calibri"/>
                <w:szCs w:val="22"/>
              </w:rPr>
              <w:t xml:space="preserve">Lighting levels in all instructional areas at least 50-foot candles, as measured with a light meter, comply with code and lamps/bulbs are covered with a lens cover or equivalent protection. </w:t>
            </w:r>
            <w:r w:rsidR="00625A20">
              <w:rPr>
                <w:rFonts w:cs="Calibri"/>
                <w:szCs w:val="22"/>
              </w:rPr>
              <w:t>N.J.A.C.</w:t>
            </w:r>
            <w:r w:rsidR="004F4A2C" w:rsidRPr="004F4A2C">
              <w:rPr>
                <w:rFonts w:cs="Calibri"/>
                <w:szCs w:val="22"/>
              </w:rPr>
              <w:t xml:space="preserve"> 6A:26-6.3(g)</w:t>
            </w:r>
          </w:p>
        </w:tc>
        <w:tc>
          <w:tcPr>
            <w:tcW w:w="720" w:type="dxa"/>
          </w:tcPr>
          <w:p w14:paraId="36C5C207" w14:textId="77777777" w:rsidR="00C3606F" w:rsidRPr="00366B29" w:rsidRDefault="00C3606F" w:rsidP="009C1345">
            <w:pPr>
              <w:jc w:val="center"/>
              <w:rPr>
                <w:rFonts w:cs="Calibri"/>
                <w:szCs w:val="22"/>
              </w:rPr>
            </w:pPr>
          </w:p>
        </w:tc>
        <w:tc>
          <w:tcPr>
            <w:tcW w:w="630" w:type="dxa"/>
          </w:tcPr>
          <w:p w14:paraId="5BB15537" w14:textId="77777777" w:rsidR="00C3606F" w:rsidRPr="00366B29" w:rsidRDefault="00C3606F" w:rsidP="009C1345">
            <w:pPr>
              <w:jc w:val="center"/>
              <w:rPr>
                <w:rFonts w:cs="Calibri"/>
                <w:szCs w:val="22"/>
              </w:rPr>
            </w:pPr>
          </w:p>
        </w:tc>
        <w:tc>
          <w:tcPr>
            <w:tcW w:w="630" w:type="dxa"/>
          </w:tcPr>
          <w:p w14:paraId="3D1F148B" w14:textId="77777777" w:rsidR="00C3606F" w:rsidRPr="00366B29" w:rsidRDefault="00C3606F" w:rsidP="009C1345">
            <w:pPr>
              <w:jc w:val="center"/>
              <w:rPr>
                <w:rFonts w:cs="Calibri"/>
                <w:szCs w:val="22"/>
              </w:rPr>
            </w:pPr>
          </w:p>
        </w:tc>
        <w:tc>
          <w:tcPr>
            <w:tcW w:w="2807" w:type="dxa"/>
          </w:tcPr>
          <w:p w14:paraId="6C63F21C" w14:textId="77777777" w:rsidR="00C3606F" w:rsidRPr="00366B29" w:rsidRDefault="00C3606F" w:rsidP="009C1345">
            <w:pPr>
              <w:spacing w:before="60"/>
              <w:rPr>
                <w:rFonts w:cs="Calibri"/>
                <w:szCs w:val="22"/>
              </w:rPr>
            </w:pPr>
          </w:p>
        </w:tc>
      </w:tr>
      <w:tr w:rsidR="00C3606F" w:rsidRPr="00366B29" w14:paraId="56847A02" w14:textId="77777777" w:rsidTr="009C1345">
        <w:tc>
          <w:tcPr>
            <w:tcW w:w="6228" w:type="dxa"/>
          </w:tcPr>
          <w:p w14:paraId="6D2EA005" w14:textId="53E21551" w:rsidR="004F4A2C" w:rsidRDefault="0097291F" w:rsidP="004F4A2C">
            <w:pPr>
              <w:spacing w:after="240"/>
              <w:ind w:left="317" w:hanging="317"/>
              <w:rPr>
                <w:rFonts w:cs="Calibri"/>
                <w:szCs w:val="22"/>
              </w:rPr>
            </w:pPr>
            <w:r w:rsidRPr="0097291F">
              <w:rPr>
                <w:rFonts w:cs="Calibri"/>
                <w:b/>
                <w:bCs/>
                <w:szCs w:val="22"/>
              </w:rPr>
              <w:t>15.</w:t>
            </w:r>
            <w:r>
              <w:rPr>
                <w:rFonts w:cs="Calibri"/>
                <w:szCs w:val="22"/>
              </w:rPr>
              <w:t xml:space="preserve"> </w:t>
            </w:r>
            <w:r w:rsidR="004F4A2C" w:rsidRPr="004F4A2C">
              <w:rPr>
                <w:rFonts w:cs="Calibri"/>
                <w:szCs w:val="22"/>
              </w:rPr>
              <w:t xml:space="preserve">Instructional areas have no unauthorized and/or potentially hazardous materials/equipment in rooms. </w:t>
            </w:r>
            <w:r w:rsidR="004F4A2C">
              <w:rPr>
                <w:rFonts w:cs="Calibri"/>
                <w:szCs w:val="22"/>
              </w:rPr>
              <w:br/>
            </w:r>
            <w:hyperlink r:id="rId19" w:anchor="NJFC2015_Pt03_Ch08_Sec807" w:history="1">
              <w:r w:rsidR="004F4A2C" w:rsidRPr="004F4A2C">
                <w:rPr>
                  <w:rStyle w:val="Hyperlink"/>
                  <w:rFonts w:cs="Calibri"/>
                  <w:szCs w:val="22"/>
                </w:rPr>
                <w:t xml:space="preserve">Uniform Fire Code </w:t>
              </w:r>
            </w:hyperlink>
          </w:p>
          <w:p w14:paraId="4474168B" w14:textId="0498EF73" w:rsidR="00776629" w:rsidRPr="00152648" w:rsidRDefault="004F4A2C" w:rsidP="004F4A2C">
            <w:pPr>
              <w:spacing w:after="240"/>
              <w:ind w:left="288"/>
              <w:rPr>
                <w:rFonts w:cs="Calibri"/>
                <w:szCs w:val="22"/>
              </w:rPr>
            </w:pPr>
            <w:r w:rsidRPr="004F4A2C">
              <w:rPr>
                <w:rFonts w:cs="Calibri"/>
                <w:szCs w:val="22"/>
              </w:rPr>
              <w:t xml:space="preserve">Dangerous touch points in educational spaces, such as hot </w:t>
            </w:r>
            <w:r w:rsidR="00966B0C" w:rsidRPr="004F4A2C">
              <w:rPr>
                <w:rFonts w:cs="Calibri"/>
                <w:szCs w:val="22"/>
              </w:rPr>
              <w:t>pipes and</w:t>
            </w:r>
            <w:r w:rsidRPr="004F4A2C">
              <w:rPr>
                <w:rFonts w:cs="Calibri"/>
                <w:szCs w:val="22"/>
              </w:rPr>
              <w:t xml:space="preserve"> radiators, should be covered. </w:t>
            </w:r>
            <w:r w:rsidR="00625A20">
              <w:rPr>
                <w:rFonts w:cs="Calibri"/>
                <w:szCs w:val="22"/>
              </w:rPr>
              <w:t>N.J.A.C.</w:t>
            </w:r>
            <w:r w:rsidRPr="004F4A2C">
              <w:rPr>
                <w:rFonts w:cs="Calibri"/>
                <w:szCs w:val="22"/>
              </w:rPr>
              <w:t xml:space="preserve"> 6A:26-6.3 (e) (5)</w:t>
            </w:r>
          </w:p>
        </w:tc>
        <w:tc>
          <w:tcPr>
            <w:tcW w:w="720" w:type="dxa"/>
          </w:tcPr>
          <w:p w14:paraId="3491A4D8" w14:textId="77777777" w:rsidR="00C3606F" w:rsidRPr="00366B29" w:rsidRDefault="00C3606F" w:rsidP="009C1345">
            <w:pPr>
              <w:jc w:val="center"/>
              <w:rPr>
                <w:rFonts w:cs="Calibri"/>
                <w:szCs w:val="22"/>
              </w:rPr>
            </w:pPr>
          </w:p>
        </w:tc>
        <w:tc>
          <w:tcPr>
            <w:tcW w:w="630" w:type="dxa"/>
          </w:tcPr>
          <w:p w14:paraId="526DBDD9" w14:textId="77777777" w:rsidR="00C3606F" w:rsidRPr="00366B29" w:rsidRDefault="00C3606F" w:rsidP="009C1345">
            <w:pPr>
              <w:jc w:val="center"/>
              <w:rPr>
                <w:rFonts w:cs="Calibri"/>
                <w:szCs w:val="22"/>
              </w:rPr>
            </w:pPr>
          </w:p>
        </w:tc>
        <w:tc>
          <w:tcPr>
            <w:tcW w:w="630" w:type="dxa"/>
          </w:tcPr>
          <w:p w14:paraId="5718FD54" w14:textId="77777777" w:rsidR="00C3606F" w:rsidRPr="00366B29" w:rsidRDefault="00C3606F" w:rsidP="009C1345">
            <w:pPr>
              <w:jc w:val="center"/>
              <w:rPr>
                <w:rFonts w:cs="Calibri"/>
                <w:szCs w:val="22"/>
              </w:rPr>
            </w:pPr>
          </w:p>
        </w:tc>
        <w:tc>
          <w:tcPr>
            <w:tcW w:w="2807" w:type="dxa"/>
          </w:tcPr>
          <w:p w14:paraId="74BB7500" w14:textId="77777777" w:rsidR="00C3606F" w:rsidRPr="00366B29" w:rsidRDefault="00C3606F" w:rsidP="009C1345">
            <w:pPr>
              <w:spacing w:before="60"/>
              <w:rPr>
                <w:rFonts w:cs="Calibri"/>
                <w:szCs w:val="22"/>
              </w:rPr>
            </w:pPr>
          </w:p>
        </w:tc>
      </w:tr>
      <w:tr w:rsidR="00C3606F" w:rsidRPr="00366B29" w14:paraId="19E1BA36" w14:textId="77777777" w:rsidTr="009C1345">
        <w:tc>
          <w:tcPr>
            <w:tcW w:w="6228" w:type="dxa"/>
          </w:tcPr>
          <w:p w14:paraId="26A88D12" w14:textId="39452853" w:rsidR="00776629" w:rsidRPr="00152648" w:rsidRDefault="0097291F" w:rsidP="009C1345">
            <w:pPr>
              <w:spacing w:after="240"/>
              <w:ind w:left="317" w:hanging="317"/>
              <w:rPr>
                <w:rFonts w:cs="Calibri"/>
                <w:szCs w:val="22"/>
              </w:rPr>
            </w:pPr>
            <w:r w:rsidRPr="0097291F">
              <w:rPr>
                <w:rFonts w:cs="Calibri"/>
                <w:b/>
                <w:bCs/>
                <w:szCs w:val="22"/>
              </w:rPr>
              <w:t>16.</w:t>
            </w:r>
            <w:r>
              <w:rPr>
                <w:rFonts w:cs="Calibri"/>
                <w:szCs w:val="22"/>
              </w:rPr>
              <w:t xml:space="preserve"> </w:t>
            </w:r>
            <w:r w:rsidR="00AE10B0" w:rsidRPr="00AE10B0">
              <w:rPr>
                <w:rFonts w:cs="Calibri"/>
                <w:szCs w:val="22"/>
              </w:rPr>
              <w:t xml:space="preserve">A chalkboard, whiteboard, and/or electronic display board is/are provided in each instructional space and is/are free of cracks and jagged edges. </w:t>
            </w:r>
            <w:r w:rsidR="00625A20">
              <w:rPr>
                <w:rFonts w:cs="Calibri"/>
                <w:szCs w:val="22"/>
              </w:rPr>
              <w:t>N.J.A.C.</w:t>
            </w:r>
            <w:r w:rsidR="00AE10B0" w:rsidRPr="00AE10B0">
              <w:rPr>
                <w:rFonts w:cs="Calibri"/>
                <w:szCs w:val="22"/>
              </w:rPr>
              <w:t xml:space="preserve"> 6A:26-8.</w:t>
            </w:r>
            <w:proofErr w:type="gramStart"/>
            <w:r w:rsidR="00AE10B0" w:rsidRPr="00AE10B0">
              <w:rPr>
                <w:rFonts w:cs="Calibri"/>
                <w:szCs w:val="22"/>
              </w:rPr>
              <w:t>1.viii</w:t>
            </w:r>
            <w:proofErr w:type="gramEnd"/>
            <w:r w:rsidR="00AE10B0" w:rsidRPr="00AE10B0">
              <w:rPr>
                <w:rFonts w:cs="Calibri"/>
                <w:szCs w:val="22"/>
              </w:rPr>
              <w:t>.(1)</w:t>
            </w:r>
          </w:p>
        </w:tc>
        <w:tc>
          <w:tcPr>
            <w:tcW w:w="720" w:type="dxa"/>
          </w:tcPr>
          <w:p w14:paraId="2B38B80B" w14:textId="77777777" w:rsidR="00C3606F" w:rsidRPr="00366B29" w:rsidRDefault="00C3606F" w:rsidP="009C1345">
            <w:pPr>
              <w:jc w:val="center"/>
              <w:rPr>
                <w:rFonts w:cs="Calibri"/>
                <w:szCs w:val="22"/>
              </w:rPr>
            </w:pPr>
          </w:p>
        </w:tc>
        <w:tc>
          <w:tcPr>
            <w:tcW w:w="630" w:type="dxa"/>
          </w:tcPr>
          <w:p w14:paraId="39F942EE" w14:textId="77777777" w:rsidR="00C3606F" w:rsidRPr="00366B29" w:rsidRDefault="00C3606F" w:rsidP="009C1345">
            <w:pPr>
              <w:jc w:val="center"/>
              <w:rPr>
                <w:rFonts w:cs="Calibri"/>
                <w:szCs w:val="22"/>
              </w:rPr>
            </w:pPr>
          </w:p>
        </w:tc>
        <w:tc>
          <w:tcPr>
            <w:tcW w:w="630" w:type="dxa"/>
          </w:tcPr>
          <w:p w14:paraId="2A89827F" w14:textId="77777777" w:rsidR="00C3606F" w:rsidRPr="00366B29" w:rsidRDefault="00C3606F" w:rsidP="009C1345">
            <w:pPr>
              <w:jc w:val="center"/>
              <w:rPr>
                <w:rFonts w:cs="Calibri"/>
                <w:szCs w:val="22"/>
              </w:rPr>
            </w:pPr>
          </w:p>
        </w:tc>
        <w:tc>
          <w:tcPr>
            <w:tcW w:w="2807" w:type="dxa"/>
          </w:tcPr>
          <w:p w14:paraId="78601A66" w14:textId="77777777" w:rsidR="00C3606F" w:rsidRPr="00366B29" w:rsidRDefault="00C3606F" w:rsidP="009C1345">
            <w:pPr>
              <w:spacing w:before="60"/>
              <w:rPr>
                <w:rFonts w:cs="Calibri"/>
                <w:szCs w:val="22"/>
              </w:rPr>
            </w:pPr>
          </w:p>
        </w:tc>
      </w:tr>
      <w:tr w:rsidR="00C3606F" w:rsidRPr="00366B29" w14:paraId="357A12EC" w14:textId="77777777" w:rsidTr="009C1345">
        <w:tc>
          <w:tcPr>
            <w:tcW w:w="6228" w:type="dxa"/>
          </w:tcPr>
          <w:p w14:paraId="47B76318" w14:textId="19CD6E0B" w:rsidR="00776629" w:rsidRPr="00152648" w:rsidRDefault="0097291F" w:rsidP="009C1345">
            <w:pPr>
              <w:spacing w:after="240"/>
              <w:ind w:left="317" w:hanging="317"/>
              <w:rPr>
                <w:rFonts w:cs="Calibri"/>
                <w:szCs w:val="22"/>
              </w:rPr>
            </w:pPr>
            <w:r w:rsidRPr="0097291F">
              <w:rPr>
                <w:rFonts w:cs="Calibri"/>
                <w:b/>
                <w:bCs/>
                <w:szCs w:val="22"/>
              </w:rPr>
              <w:t xml:space="preserve">17. </w:t>
            </w:r>
            <w:r w:rsidR="002871DD" w:rsidRPr="002871DD">
              <w:rPr>
                <w:rFonts w:cs="Calibri"/>
                <w:szCs w:val="22"/>
              </w:rPr>
              <w:t xml:space="preserve">Ceilings, walls and floors are free of holes, sags, and evidence of water damage. The average ceiling </w:t>
            </w:r>
            <w:r w:rsidR="00966B0C" w:rsidRPr="002871DD">
              <w:rPr>
                <w:rFonts w:cs="Calibri"/>
                <w:szCs w:val="22"/>
              </w:rPr>
              <w:t>height shall</w:t>
            </w:r>
            <w:r w:rsidR="002871DD" w:rsidRPr="002871DD">
              <w:rPr>
                <w:rFonts w:cs="Calibri"/>
                <w:szCs w:val="22"/>
              </w:rPr>
              <w:t xml:space="preserve"> be at least 8 feet for instructional spaces in an existing public school, in a district owned facility and in rented or leased buildings not on school district-owned sites. </w:t>
            </w:r>
            <w:r w:rsidR="00625A20">
              <w:rPr>
                <w:rFonts w:cs="Calibri"/>
                <w:szCs w:val="22"/>
              </w:rPr>
              <w:t>N.J.A.C.</w:t>
            </w:r>
            <w:r w:rsidR="002871DD" w:rsidRPr="002871DD">
              <w:rPr>
                <w:rFonts w:cs="Calibri"/>
                <w:szCs w:val="22"/>
              </w:rPr>
              <w:t xml:space="preserve"> 6A:26-6.3(6) and </w:t>
            </w:r>
            <w:r w:rsidR="00625A20">
              <w:rPr>
                <w:rFonts w:cs="Calibri"/>
                <w:szCs w:val="22"/>
              </w:rPr>
              <w:t>N.J.A.C.</w:t>
            </w:r>
            <w:r w:rsidR="002871DD" w:rsidRPr="002871DD">
              <w:rPr>
                <w:rFonts w:cs="Calibri"/>
                <w:szCs w:val="22"/>
              </w:rPr>
              <w:t xml:space="preserve"> 6A:8.</w:t>
            </w:r>
            <w:proofErr w:type="gramStart"/>
            <w:r w:rsidR="002871DD" w:rsidRPr="002871DD">
              <w:rPr>
                <w:rFonts w:cs="Calibri"/>
                <w:szCs w:val="22"/>
              </w:rPr>
              <w:t>1.d.</w:t>
            </w:r>
            <w:proofErr w:type="gramEnd"/>
            <w:r w:rsidR="002871DD" w:rsidRPr="002871DD">
              <w:rPr>
                <w:rFonts w:cs="Calibri"/>
                <w:szCs w:val="22"/>
              </w:rPr>
              <w:t>1.i.(1)</w:t>
            </w:r>
          </w:p>
        </w:tc>
        <w:tc>
          <w:tcPr>
            <w:tcW w:w="720" w:type="dxa"/>
          </w:tcPr>
          <w:p w14:paraId="61617AF0" w14:textId="77777777" w:rsidR="00C3606F" w:rsidRPr="00366B29" w:rsidRDefault="00C3606F" w:rsidP="009C1345">
            <w:pPr>
              <w:jc w:val="center"/>
              <w:rPr>
                <w:rFonts w:cs="Calibri"/>
                <w:szCs w:val="22"/>
              </w:rPr>
            </w:pPr>
          </w:p>
        </w:tc>
        <w:tc>
          <w:tcPr>
            <w:tcW w:w="630" w:type="dxa"/>
          </w:tcPr>
          <w:p w14:paraId="73B6469D" w14:textId="77777777" w:rsidR="00C3606F" w:rsidRPr="00366B29" w:rsidRDefault="00C3606F" w:rsidP="009C1345">
            <w:pPr>
              <w:jc w:val="center"/>
              <w:rPr>
                <w:rFonts w:cs="Calibri"/>
                <w:szCs w:val="22"/>
              </w:rPr>
            </w:pPr>
          </w:p>
        </w:tc>
        <w:tc>
          <w:tcPr>
            <w:tcW w:w="630" w:type="dxa"/>
          </w:tcPr>
          <w:p w14:paraId="32BFF7C9" w14:textId="77777777" w:rsidR="00C3606F" w:rsidRPr="00366B29" w:rsidRDefault="00C3606F" w:rsidP="009C1345">
            <w:pPr>
              <w:jc w:val="center"/>
              <w:rPr>
                <w:rFonts w:cs="Calibri"/>
                <w:szCs w:val="22"/>
              </w:rPr>
            </w:pPr>
          </w:p>
        </w:tc>
        <w:tc>
          <w:tcPr>
            <w:tcW w:w="2807" w:type="dxa"/>
          </w:tcPr>
          <w:p w14:paraId="0991B283" w14:textId="77777777" w:rsidR="00C3606F" w:rsidRPr="00366B29" w:rsidRDefault="00C3606F" w:rsidP="009C1345">
            <w:pPr>
              <w:spacing w:before="60"/>
              <w:rPr>
                <w:rFonts w:cs="Calibri"/>
                <w:szCs w:val="22"/>
              </w:rPr>
            </w:pPr>
          </w:p>
        </w:tc>
      </w:tr>
      <w:tr w:rsidR="00C3606F" w:rsidRPr="00366B29" w14:paraId="5762596C" w14:textId="77777777" w:rsidTr="009C1345">
        <w:tc>
          <w:tcPr>
            <w:tcW w:w="6228" w:type="dxa"/>
          </w:tcPr>
          <w:p w14:paraId="2D7FFB40" w14:textId="3D1364E3" w:rsidR="00776629" w:rsidRPr="00B52FB0" w:rsidRDefault="0097291F" w:rsidP="009C1345">
            <w:pPr>
              <w:spacing w:after="240"/>
              <w:ind w:left="317" w:hanging="317"/>
              <w:rPr>
                <w:rFonts w:cs="Calibri"/>
                <w:szCs w:val="22"/>
              </w:rPr>
            </w:pPr>
            <w:r w:rsidRPr="0097291F">
              <w:rPr>
                <w:rFonts w:cs="Calibri"/>
                <w:b/>
                <w:bCs/>
                <w:szCs w:val="22"/>
              </w:rPr>
              <w:lastRenderedPageBreak/>
              <w:t>18</w:t>
            </w:r>
            <w:r>
              <w:rPr>
                <w:rFonts w:cs="Calibri"/>
                <w:szCs w:val="22"/>
              </w:rPr>
              <w:t xml:space="preserve">. </w:t>
            </w:r>
            <w:r w:rsidR="00C3606F" w:rsidRPr="00366B29">
              <w:rPr>
                <w:rFonts w:cs="Calibri"/>
                <w:szCs w:val="22"/>
              </w:rPr>
              <w:t>Area and floor drains, where provided, appear to be in working order and covered with appropriate plates; unused (abandoned) waste lines (drains) are sealed off</w:t>
            </w:r>
            <w:r w:rsidR="008D616B">
              <w:rPr>
                <w:rFonts w:cs="Calibri"/>
                <w:szCs w:val="22"/>
              </w:rPr>
              <w:t>/</w:t>
            </w:r>
            <w:r w:rsidR="00C3606F" w:rsidRPr="00366B29">
              <w:rPr>
                <w:rFonts w:cs="Calibri"/>
                <w:szCs w:val="22"/>
              </w:rPr>
              <w:t>capped.</w:t>
            </w:r>
          </w:p>
        </w:tc>
        <w:tc>
          <w:tcPr>
            <w:tcW w:w="720" w:type="dxa"/>
          </w:tcPr>
          <w:p w14:paraId="21D684AB" w14:textId="77777777" w:rsidR="00C3606F" w:rsidRPr="00366B29" w:rsidRDefault="00C3606F" w:rsidP="009C1345">
            <w:pPr>
              <w:jc w:val="center"/>
              <w:rPr>
                <w:rFonts w:cs="Calibri"/>
                <w:szCs w:val="22"/>
              </w:rPr>
            </w:pPr>
          </w:p>
        </w:tc>
        <w:tc>
          <w:tcPr>
            <w:tcW w:w="630" w:type="dxa"/>
          </w:tcPr>
          <w:p w14:paraId="3DAC535C" w14:textId="77777777" w:rsidR="00C3606F" w:rsidRPr="00366B29" w:rsidRDefault="00C3606F" w:rsidP="009C1345">
            <w:pPr>
              <w:jc w:val="center"/>
              <w:rPr>
                <w:rFonts w:cs="Calibri"/>
                <w:szCs w:val="22"/>
              </w:rPr>
            </w:pPr>
          </w:p>
        </w:tc>
        <w:tc>
          <w:tcPr>
            <w:tcW w:w="630" w:type="dxa"/>
          </w:tcPr>
          <w:p w14:paraId="1706D5F4" w14:textId="77777777" w:rsidR="00C3606F" w:rsidRPr="00366B29" w:rsidRDefault="00C3606F" w:rsidP="009C1345">
            <w:pPr>
              <w:jc w:val="center"/>
              <w:rPr>
                <w:rFonts w:cs="Calibri"/>
                <w:szCs w:val="22"/>
              </w:rPr>
            </w:pPr>
          </w:p>
        </w:tc>
        <w:tc>
          <w:tcPr>
            <w:tcW w:w="2807" w:type="dxa"/>
          </w:tcPr>
          <w:p w14:paraId="7C4AA9D5" w14:textId="77777777" w:rsidR="00C3606F" w:rsidRPr="00366B29" w:rsidRDefault="00C3606F" w:rsidP="009C1345">
            <w:pPr>
              <w:spacing w:before="60"/>
              <w:rPr>
                <w:rFonts w:cs="Calibri"/>
                <w:szCs w:val="22"/>
              </w:rPr>
            </w:pPr>
          </w:p>
        </w:tc>
      </w:tr>
      <w:tr w:rsidR="0029503C" w:rsidRPr="00366B29" w14:paraId="7197A69A" w14:textId="77777777" w:rsidTr="009C1345">
        <w:tc>
          <w:tcPr>
            <w:tcW w:w="6228" w:type="dxa"/>
          </w:tcPr>
          <w:p w14:paraId="3345CC01" w14:textId="10AA9402" w:rsidR="00776629" w:rsidRPr="00B52FB0" w:rsidRDefault="0097291F" w:rsidP="009C1345">
            <w:pPr>
              <w:spacing w:after="120"/>
              <w:ind w:left="317" w:hanging="317"/>
              <w:rPr>
                <w:rFonts w:cs="Calibri"/>
                <w:szCs w:val="22"/>
              </w:rPr>
            </w:pPr>
            <w:r w:rsidRPr="0097291F">
              <w:rPr>
                <w:rFonts w:cs="Calibri"/>
                <w:b/>
                <w:bCs/>
                <w:szCs w:val="22"/>
              </w:rPr>
              <w:t>19.</w:t>
            </w:r>
            <w:r>
              <w:rPr>
                <w:rFonts w:cs="Calibri"/>
                <w:szCs w:val="22"/>
              </w:rPr>
              <w:t xml:space="preserve"> </w:t>
            </w:r>
            <w:r w:rsidR="00FE01CA" w:rsidRPr="00FE01CA">
              <w:rPr>
                <w:rFonts w:cs="Calibri"/>
                <w:szCs w:val="22"/>
              </w:rPr>
              <w:t xml:space="preserve">Floors throughout the school are clean and free of trash, as well as appear free of slipping, tripping and/or other hazards. Egress through halls and exits are clear and accessible. Concrete floors in all instructional areas, except shops, shall be covered with a resilient floor covering. </w:t>
            </w:r>
            <w:r w:rsidR="00625A20">
              <w:rPr>
                <w:rFonts w:cs="Calibri"/>
                <w:szCs w:val="22"/>
              </w:rPr>
              <w:t>N.J.A.C.</w:t>
            </w:r>
            <w:r w:rsidR="00FE01CA" w:rsidRPr="00FE01CA">
              <w:rPr>
                <w:rFonts w:cs="Calibri"/>
                <w:szCs w:val="22"/>
              </w:rPr>
              <w:t xml:space="preserve"> 6A:26-d-1, i 5</w:t>
            </w:r>
          </w:p>
        </w:tc>
        <w:tc>
          <w:tcPr>
            <w:tcW w:w="720" w:type="dxa"/>
          </w:tcPr>
          <w:p w14:paraId="17B019A8" w14:textId="77777777" w:rsidR="0029503C" w:rsidRPr="00366B29" w:rsidRDefault="0029503C" w:rsidP="009C1345">
            <w:pPr>
              <w:jc w:val="center"/>
              <w:rPr>
                <w:rFonts w:cs="Calibri"/>
                <w:szCs w:val="22"/>
              </w:rPr>
            </w:pPr>
          </w:p>
        </w:tc>
        <w:tc>
          <w:tcPr>
            <w:tcW w:w="630" w:type="dxa"/>
          </w:tcPr>
          <w:p w14:paraId="59D50CF5" w14:textId="77777777" w:rsidR="0029503C" w:rsidRPr="00366B29" w:rsidRDefault="0029503C" w:rsidP="009C1345">
            <w:pPr>
              <w:jc w:val="center"/>
              <w:rPr>
                <w:rFonts w:cs="Calibri"/>
                <w:szCs w:val="22"/>
              </w:rPr>
            </w:pPr>
          </w:p>
        </w:tc>
        <w:tc>
          <w:tcPr>
            <w:tcW w:w="630" w:type="dxa"/>
          </w:tcPr>
          <w:p w14:paraId="5D5F056B" w14:textId="77777777" w:rsidR="0029503C" w:rsidRPr="00366B29" w:rsidRDefault="0029503C" w:rsidP="009C1345">
            <w:pPr>
              <w:jc w:val="center"/>
              <w:rPr>
                <w:rFonts w:cs="Calibri"/>
                <w:szCs w:val="22"/>
              </w:rPr>
            </w:pPr>
          </w:p>
        </w:tc>
        <w:tc>
          <w:tcPr>
            <w:tcW w:w="2807" w:type="dxa"/>
          </w:tcPr>
          <w:p w14:paraId="215FC1B9" w14:textId="77777777" w:rsidR="0029503C" w:rsidRPr="00366B29" w:rsidRDefault="0029503C" w:rsidP="009C1345">
            <w:pPr>
              <w:spacing w:before="60"/>
              <w:rPr>
                <w:rFonts w:cs="Calibri"/>
                <w:szCs w:val="22"/>
              </w:rPr>
            </w:pPr>
          </w:p>
        </w:tc>
      </w:tr>
      <w:tr w:rsidR="00C3606F" w:rsidRPr="00366B29" w14:paraId="3165AEF3" w14:textId="77777777" w:rsidTr="009C1345">
        <w:tc>
          <w:tcPr>
            <w:tcW w:w="6228" w:type="dxa"/>
          </w:tcPr>
          <w:p w14:paraId="61DF5E53" w14:textId="54C04CD7" w:rsidR="00C3606F" w:rsidRPr="00366B29" w:rsidRDefault="0097291F" w:rsidP="009C1345">
            <w:pPr>
              <w:rPr>
                <w:rFonts w:cs="Calibri"/>
                <w:szCs w:val="22"/>
              </w:rPr>
            </w:pPr>
            <w:r w:rsidRPr="0097291F">
              <w:rPr>
                <w:rFonts w:cs="Calibri"/>
                <w:b/>
                <w:bCs/>
                <w:szCs w:val="22"/>
              </w:rPr>
              <w:t>20.</w:t>
            </w:r>
            <w:r>
              <w:rPr>
                <w:rFonts w:cs="Calibri"/>
                <w:szCs w:val="22"/>
              </w:rPr>
              <w:t xml:space="preserve"> </w:t>
            </w:r>
            <w:r w:rsidR="00C3606F" w:rsidRPr="00366B29">
              <w:rPr>
                <w:rFonts w:cs="Calibri"/>
                <w:szCs w:val="22"/>
              </w:rPr>
              <w:t>Supplies and materials are neatly and appropriately stored:</w:t>
            </w:r>
          </w:p>
          <w:p w14:paraId="51328412" w14:textId="77777777" w:rsidR="00C3606F" w:rsidRPr="00366B29" w:rsidRDefault="00C3606F" w:rsidP="009C1345">
            <w:pPr>
              <w:numPr>
                <w:ilvl w:val="0"/>
                <w:numId w:val="9"/>
              </w:numPr>
              <w:rPr>
                <w:rFonts w:cs="Calibri"/>
                <w:szCs w:val="22"/>
              </w:rPr>
            </w:pPr>
            <w:r w:rsidRPr="00366B29">
              <w:rPr>
                <w:rFonts w:cs="Calibri"/>
                <w:szCs w:val="22"/>
              </w:rPr>
              <w:t xml:space="preserve">Storage racks/shelving over 6 feet in height are properly secured from tipping. </w:t>
            </w:r>
          </w:p>
          <w:p w14:paraId="1A01924A" w14:textId="6AB4EAB1" w:rsidR="00C3606F" w:rsidRPr="00366B29" w:rsidRDefault="000F56D6" w:rsidP="009C1345">
            <w:pPr>
              <w:numPr>
                <w:ilvl w:val="0"/>
                <w:numId w:val="9"/>
              </w:numPr>
              <w:rPr>
                <w:rFonts w:cs="Calibri"/>
                <w:szCs w:val="22"/>
              </w:rPr>
            </w:pPr>
            <w:r>
              <w:rPr>
                <w:rFonts w:cs="Calibri"/>
                <w:szCs w:val="22"/>
              </w:rPr>
              <w:t>T</w:t>
            </w:r>
            <w:r w:rsidR="00C3606F" w:rsidRPr="00366B29">
              <w:rPr>
                <w:rFonts w:cs="Calibri"/>
                <w:szCs w:val="22"/>
              </w:rPr>
              <w:t xml:space="preserve">here is no storage within 24 inches of a ceiling. In </w:t>
            </w:r>
            <w:r w:rsidR="00D31F4E">
              <w:rPr>
                <w:rFonts w:cs="Calibri"/>
                <w:szCs w:val="22"/>
              </w:rPr>
              <w:t>spaces</w:t>
            </w:r>
            <w:r w:rsidR="00C3606F" w:rsidRPr="00366B29">
              <w:rPr>
                <w:rFonts w:cs="Calibri"/>
                <w:szCs w:val="22"/>
              </w:rPr>
              <w:t xml:space="preserve"> with sprinkler systems, storage is at least a minimum of 18 inches below sprinkler head deflectors.</w:t>
            </w:r>
          </w:p>
          <w:p w14:paraId="7DE5D1E6" w14:textId="34227AB2" w:rsidR="00776629" w:rsidRPr="0096717A" w:rsidRDefault="00C3606F" w:rsidP="009C1345">
            <w:pPr>
              <w:numPr>
                <w:ilvl w:val="0"/>
                <w:numId w:val="9"/>
              </w:numPr>
              <w:spacing w:after="160"/>
              <w:rPr>
                <w:rFonts w:cs="Calibri"/>
                <w:szCs w:val="22"/>
              </w:rPr>
            </w:pPr>
            <w:r w:rsidRPr="00366B29">
              <w:rPr>
                <w:rFonts w:cs="Calibri"/>
                <w:szCs w:val="22"/>
              </w:rPr>
              <w:t>Storage is organized to allow safe access</w:t>
            </w:r>
            <w:r w:rsidR="000F56D6">
              <w:rPr>
                <w:rFonts w:cs="Calibri"/>
                <w:szCs w:val="22"/>
              </w:rPr>
              <w:t xml:space="preserve"> within and</w:t>
            </w:r>
            <w:r w:rsidRPr="00366B29">
              <w:rPr>
                <w:rFonts w:cs="Calibri"/>
                <w:szCs w:val="22"/>
              </w:rPr>
              <w:t xml:space="preserve"> through space. </w:t>
            </w:r>
          </w:p>
        </w:tc>
        <w:tc>
          <w:tcPr>
            <w:tcW w:w="720" w:type="dxa"/>
          </w:tcPr>
          <w:p w14:paraId="74B265F4" w14:textId="77777777" w:rsidR="00C3606F" w:rsidRPr="00366B29" w:rsidRDefault="00C3606F" w:rsidP="009C1345">
            <w:pPr>
              <w:jc w:val="center"/>
              <w:rPr>
                <w:rFonts w:cs="Calibri"/>
                <w:szCs w:val="22"/>
              </w:rPr>
            </w:pPr>
          </w:p>
        </w:tc>
        <w:tc>
          <w:tcPr>
            <w:tcW w:w="630" w:type="dxa"/>
          </w:tcPr>
          <w:p w14:paraId="7AFE3627" w14:textId="77777777" w:rsidR="00C3606F" w:rsidRPr="00366B29" w:rsidRDefault="00C3606F" w:rsidP="009C1345">
            <w:pPr>
              <w:jc w:val="center"/>
              <w:rPr>
                <w:rFonts w:cs="Calibri"/>
                <w:szCs w:val="22"/>
              </w:rPr>
            </w:pPr>
          </w:p>
        </w:tc>
        <w:tc>
          <w:tcPr>
            <w:tcW w:w="630" w:type="dxa"/>
          </w:tcPr>
          <w:p w14:paraId="05706165" w14:textId="77777777" w:rsidR="00C3606F" w:rsidRPr="00366B29" w:rsidRDefault="00C3606F" w:rsidP="009C1345">
            <w:pPr>
              <w:jc w:val="center"/>
              <w:rPr>
                <w:rFonts w:cs="Calibri"/>
                <w:szCs w:val="22"/>
              </w:rPr>
            </w:pPr>
          </w:p>
        </w:tc>
        <w:tc>
          <w:tcPr>
            <w:tcW w:w="2807" w:type="dxa"/>
          </w:tcPr>
          <w:p w14:paraId="43551078" w14:textId="77777777" w:rsidR="00C3606F" w:rsidRPr="00366B29" w:rsidRDefault="00C3606F" w:rsidP="009C1345">
            <w:pPr>
              <w:spacing w:before="60"/>
              <w:rPr>
                <w:rFonts w:cs="Calibri"/>
                <w:szCs w:val="22"/>
              </w:rPr>
            </w:pPr>
          </w:p>
        </w:tc>
      </w:tr>
      <w:tr w:rsidR="00C3606F" w:rsidRPr="00366B29" w14:paraId="03ECD9B2" w14:textId="77777777" w:rsidTr="009C1345">
        <w:tc>
          <w:tcPr>
            <w:tcW w:w="6228" w:type="dxa"/>
          </w:tcPr>
          <w:p w14:paraId="7785EC23" w14:textId="51022DE7" w:rsidR="00776629" w:rsidRPr="00B52FB0" w:rsidRDefault="00046CCF" w:rsidP="009C1345">
            <w:pPr>
              <w:spacing w:after="160"/>
              <w:ind w:left="317" w:hanging="317"/>
              <w:rPr>
                <w:rFonts w:cs="Calibri"/>
                <w:szCs w:val="22"/>
              </w:rPr>
            </w:pPr>
            <w:r w:rsidRPr="00046CCF">
              <w:rPr>
                <w:rFonts w:cs="Calibri"/>
                <w:b/>
                <w:bCs/>
                <w:szCs w:val="22"/>
              </w:rPr>
              <w:t xml:space="preserve">21. </w:t>
            </w:r>
            <w:r w:rsidR="00C3606F" w:rsidRPr="00366B29">
              <w:rPr>
                <w:rFonts w:cs="Calibri"/>
                <w:szCs w:val="22"/>
              </w:rPr>
              <w:t>Provision shall be made for storage of students' clothing in other than a corridor or exit</w:t>
            </w:r>
            <w:r w:rsidR="00C84422">
              <w:rPr>
                <w:rFonts w:cs="Calibri"/>
                <w:szCs w:val="22"/>
              </w:rPr>
              <w:t xml:space="preserve"> </w:t>
            </w:r>
            <w:r w:rsidR="00C3606F" w:rsidRPr="00366B29">
              <w:rPr>
                <w:rFonts w:cs="Calibri"/>
                <w:szCs w:val="22"/>
              </w:rPr>
              <w:t>way. Student lockers are usable</w:t>
            </w:r>
            <w:r w:rsidR="00C84422">
              <w:rPr>
                <w:rFonts w:cs="Calibri"/>
                <w:szCs w:val="22"/>
              </w:rPr>
              <w:t>,</w:t>
            </w:r>
            <w:r w:rsidR="00C3606F" w:rsidRPr="00366B29">
              <w:rPr>
                <w:rFonts w:cs="Calibri"/>
                <w:szCs w:val="22"/>
              </w:rPr>
              <w:t xml:space="preserve"> i.e.</w:t>
            </w:r>
            <w:r w:rsidR="00C84422">
              <w:rPr>
                <w:rFonts w:cs="Calibri"/>
                <w:szCs w:val="22"/>
              </w:rPr>
              <w:t>,</w:t>
            </w:r>
            <w:r w:rsidR="00C3606F" w:rsidRPr="00366B29">
              <w:rPr>
                <w:rFonts w:cs="Calibri"/>
                <w:szCs w:val="22"/>
              </w:rPr>
              <w:t xml:space="preserve"> doors, handles and locks are operable. </w:t>
            </w:r>
            <w:r w:rsidR="00FE3761">
              <w:rPr>
                <w:rFonts w:cs="Calibri"/>
                <w:szCs w:val="22"/>
              </w:rPr>
              <w:br/>
            </w:r>
            <w:r w:rsidR="00625A20">
              <w:rPr>
                <w:rFonts w:cs="Calibri"/>
                <w:szCs w:val="22"/>
              </w:rPr>
              <w:t>N.J.A.C.</w:t>
            </w:r>
            <w:r w:rsidR="007D7664">
              <w:rPr>
                <w:rFonts w:cs="Calibri"/>
                <w:szCs w:val="22"/>
              </w:rPr>
              <w:t xml:space="preserve"> </w:t>
            </w:r>
            <w:r w:rsidR="00C3606F" w:rsidRPr="00366B29">
              <w:rPr>
                <w:rFonts w:cs="Calibri"/>
                <w:szCs w:val="22"/>
              </w:rPr>
              <w:t>6A:26-8.1 (i</w:t>
            </w:r>
            <w:r w:rsidR="007D7664">
              <w:rPr>
                <w:rFonts w:cs="Calibri"/>
                <w:szCs w:val="22"/>
              </w:rPr>
              <w:t>)</w:t>
            </w:r>
            <w:r w:rsidR="001E0130">
              <w:rPr>
                <w:rFonts w:cs="Calibri"/>
                <w:szCs w:val="22"/>
              </w:rPr>
              <w:t xml:space="preserve"> </w:t>
            </w:r>
            <w:r w:rsidR="007D7664">
              <w:rPr>
                <w:rFonts w:cs="Calibri"/>
                <w:szCs w:val="22"/>
              </w:rPr>
              <w:t>(</w:t>
            </w:r>
            <w:r w:rsidR="00C3606F" w:rsidRPr="00366B29">
              <w:rPr>
                <w:rFonts w:cs="Calibri"/>
                <w:szCs w:val="22"/>
              </w:rPr>
              <w:t>7)</w:t>
            </w:r>
          </w:p>
        </w:tc>
        <w:tc>
          <w:tcPr>
            <w:tcW w:w="720" w:type="dxa"/>
          </w:tcPr>
          <w:p w14:paraId="67C0F884" w14:textId="77777777" w:rsidR="00C3606F" w:rsidRPr="00366B29" w:rsidRDefault="00C3606F" w:rsidP="009C1345">
            <w:pPr>
              <w:jc w:val="center"/>
              <w:rPr>
                <w:rFonts w:cs="Calibri"/>
                <w:szCs w:val="22"/>
              </w:rPr>
            </w:pPr>
          </w:p>
        </w:tc>
        <w:tc>
          <w:tcPr>
            <w:tcW w:w="630" w:type="dxa"/>
          </w:tcPr>
          <w:p w14:paraId="710ADF41" w14:textId="77777777" w:rsidR="00C3606F" w:rsidRPr="00366B29" w:rsidRDefault="00C3606F" w:rsidP="009C1345">
            <w:pPr>
              <w:jc w:val="center"/>
              <w:rPr>
                <w:rFonts w:cs="Calibri"/>
                <w:szCs w:val="22"/>
              </w:rPr>
            </w:pPr>
          </w:p>
        </w:tc>
        <w:tc>
          <w:tcPr>
            <w:tcW w:w="630" w:type="dxa"/>
          </w:tcPr>
          <w:p w14:paraId="4923B1C1" w14:textId="77777777" w:rsidR="00C3606F" w:rsidRPr="00366B29" w:rsidRDefault="00C3606F" w:rsidP="009C1345">
            <w:pPr>
              <w:jc w:val="center"/>
              <w:rPr>
                <w:rFonts w:cs="Calibri"/>
                <w:szCs w:val="22"/>
              </w:rPr>
            </w:pPr>
          </w:p>
        </w:tc>
        <w:tc>
          <w:tcPr>
            <w:tcW w:w="2807" w:type="dxa"/>
          </w:tcPr>
          <w:p w14:paraId="79671DBD" w14:textId="77777777" w:rsidR="00C3606F" w:rsidRPr="00366B29" w:rsidRDefault="00C3606F" w:rsidP="009C1345">
            <w:pPr>
              <w:spacing w:before="60"/>
              <w:rPr>
                <w:rFonts w:cs="Calibri"/>
                <w:szCs w:val="22"/>
              </w:rPr>
            </w:pPr>
          </w:p>
        </w:tc>
      </w:tr>
      <w:tr w:rsidR="00C3606F" w:rsidRPr="00366B29" w14:paraId="0D1A5314" w14:textId="77777777" w:rsidTr="009C1345">
        <w:tc>
          <w:tcPr>
            <w:tcW w:w="6228" w:type="dxa"/>
          </w:tcPr>
          <w:p w14:paraId="260E174F" w14:textId="3A72747A" w:rsidR="00776629" w:rsidRPr="00B52FB0" w:rsidRDefault="00046CCF" w:rsidP="009C1345">
            <w:pPr>
              <w:spacing w:after="160"/>
              <w:ind w:left="317" w:hanging="317"/>
              <w:rPr>
                <w:rFonts w:cs="Calibri"/>
                <w:szCs w:val="22"/>
              </w:rPr>
            </w:pPr>
            <w:r w:rsidRPr="00046CCF">
              <w:rPr>
                <w:rFonts w:cs="Calibri"/>
                <w:b/>
                <w:bCs/>
                <w:szCs w:val="22"/>
              </w:rPr>
              <w:t>22</w:t>
            </w:r>
            <w:r>
              <w:rPr>
                <w:rFonts w:cs="Calibri"/>
                <w:szCs w:val="22"/>
              </w:rPr>
              <w:t xml:space="preserve">. </w:t>
            </w:r>
            <w:r w:rsidR="00C059AB" w:rsidRPr="00C059AB">
              <w:rPr>
                <w:rFonts w:cs="Calibri"/>
                <w:szCs w:val="22"/>
              </w:rPr>
              <w:t xml:space="preserve">Drinking fountains are provided with sufficient water pressure or access to water coolers is readily available. Potable water shall be available and drinking fountains/bubblers shall be provided for students in cafeterias and in preschool and kindergarten programs in accordance with </w:t>
            </w:r>
            <w:r w:rsidR="00625A20">
              <w:rPr>
                <w:rFonts w:cs="Calibri"/>
                <w:szCs w:val="22"/>
              </w:rPr>
              <w:t>N.J.A.C.</w:t>
            </w:r>
            <w:r w:rsidR="00C059AB" w:rsidRPr="00C059AB">
              <w:rPr>
                <w:rFonts w:cs="Calibri"/>
                <w:szCs w:val="22"/>
              </w:rPr>
              <w:t xml:space="preserve"> 6A:26-12.4 and </w:t>
            </w:r>
            <w:r w:rsidR="00625A20">
              <w:rPr>
                <w:rFonts w:cs="Calibri"/>
                <w:szCs w:val="22"/>
              </w:rPr>
              <w:t>N.J.A.C.</w:t>
            </w:r>
            <w:r w:rsidR="00C059AB" w:rsidRPr="00C059AB">
              <w:rPr>
                <w:rFonts w:cs="Calibri"/>
                <w:szCs w:val="22"/>
              </w:rPr>
              <w:t xml:space="preserve"> 6A:26-8.1 (d) (1) (v).</w:t>
            </w:r>
          </w:p>
        </w:tc>
        <w:tc>
          <w:tcPr>
            <w:tcW w:w="720" w:type="dxa"/>
          </w:tcPr>
          <w:p w14:paraId="05A0ECD2" w14:textId="77777777" w:rsidR="00C3606F" w:rsidRPr="00366B29" w:rsidRDefault="00C3606F" w:rsidP="009C1345">
            <w:pPr>
              <w:jc w:val="center"/>
              <w:rPr>
                <w:rFonts w:cs="Calibri"/>
                <w:color w:val="FFFFFF"/>
                <w:szCs w:val="22"/>
              </w:rPr>
            </w:pPr>
          </w:p>
        </w:tc>
        <w:tc>
          <w:tcPr>
            <w:tcW w:w="630" w:type="dxa"/>
          </w:tcPr>
          <w:p w14:paraId="09A9F3D5" w14:textId="77777777" w:rsidR="00C3606F" w:rsidRPr="00366B29" w:rsidRDefault="00C3606F" w:rsidP="009C1345">
            <w:pPr>
              <w:jc w:val="center"/>
              <w:rPr>
                <w:rFonts w:cs="Calibri"/>
                <w:szCs w:val="22"/>
              </w:rPr>
            </w:pPr>
          </w:p>
        </w:tc>
        <w:tc>
          <w:tcPr>
            <w:tcW w:w="630" w:type="dxa"/>
          </w:tcPr>
          <w:p w14:paraId="57FBE70D" w14:textId="77777777" w:rsidR="00C3606F" w:rsidRPr="00366B29" w:rsidRDefault="00C3606F" w:rsidP="009C1345">
            <w:pPr>
              <w:jc w:val="center"/>
              <w:rPr>
                <w:rFonts w:cs="Calibri"/>
                <w:szCs w:val="22"/>
              </w:rPr>
            </w:pPr>
          </w:p>
        </w:tc>
        <w:tc>
          <w:tcPr>
            <w:tcW w:w="2807" w:type="dxa"/>
          </w:tcPr>
          <w:p w14:paraId="75DBD229" w14:textId="77777777" w:rsidR="00C3606F" w:rsidRPr="00366B29" w:rsidRDefault="00C3606F" w:rsidP="009C1345">
            <w:pPr>
              <w:spacing w:before="60"/>
              <w:rPr>
                <w:rFonts w:cs="Calibri"/>
                <w:color w:val="FF0000"/>
                <w:szCs w:val="22"/>
              </w:rPr>
            </w:pPr>
          </w:p>
        </w:tc>
      </w:tr>
      <w:tr w:rsidR="00C3606F" w:rsidRPr="00366B29" w14:paraId="7512205E" w14:textId="77777777" w:rsidTr="009C1345">
        <w:tc>
          <w:tcPr>
            <w:tcW w:w="6228" w:type="dxa"/>
          </w:tcPr>
          <w:p w14:paraId="69666943" w14:textId="046DDEE1" w:rsidR="00776629" w:rsidRPr="00B52FB0" w:rsidRDefault="00046CCF" w:rsidP="009C1345">
            <w:pPr>
              <w:spacing w:after="160"/>
              <w:ind w:left="317" w:hanging="317"/>
              <w:rPr>
                <w:rFonts w:cs="Calibri"/>
                <w:szCs w:val="22"/>
              </w:rPr>
            </w:pPr>
            <w:r w:rsidRPr="00046CCF">
              <w:rPr>
                <w:rFonts w:cs="Calibri"/>
                <w:b/>
                <w:bCs/>
                <w:szCs w:val="22"/>
              </w:rPr>
              <w:t xml:space="preserve">23. </w:t>
            </w:r>
            <w:r w:rsidR="00C44C64" w:rsidRPr="00C44C64">
              <w:rPr>
                <w:rFonts w:cs="Calibri"/>
                <w:szCs w:val="22"/>
              </w:rPr>
              <w:t xml:space="preserve">Toilet facilities shall meet existing UCC requirements for the E Use Group as determined by the construction official. Toilet facilities shall be available within a reasonable distance not more than one floor away and shall be equipped with an exterior operable window sash or mechanical exhaust ventilation. </w:t>
            </w:r>
            <w:r w:rsidR="00625A20">
              <w:rPr>
                <w:rFonts w:cs="Calibri"/>
                <w:szCs w:val="22"/>
              </w:rPr>
              <w:t>N.J.A.C.</w:t>
            </w:r>
            <w:r w:rsidR="00C44C64" w:rsidRPr="00C44C64">
              <w:rPr>
                <w:rFonts w:cs="Calibri"/>
                <w:szCs w:val="22"/>
              </w:rPr>
              <w:t xml:space="preserve"> 6A:26-8.1</w:t>
            </w:r>
          </w:p>
        </w:tc>
        <w:tc>
          <w:tcPr>
            <w:tcW w:w="720" w:type="dxa"/>
          </w:tcPr>
          <w:p w14:paraId="18E12D26" w14:textId="77777777" w:rsidR="00C3606F" w:rsidRPr="00366B29" w:rsidRDefault="00C3606F" w:rsidP="009C1345">
            <w:pPr>
              <w:jc w:val="center"/>
              <w:rPr>
                <w:rFonts w:cs="Calibri"/>
                <w:szCs w:val="22"/>
              </w:rPr>
            </w:pPr>
          </w:p>
        </w:tc>
        <w:tc>
          <w:tcPr>
            <w:tcW w:w="630" w:type="dxa"/>
          </w:tcPr>
          <w:p w14:paraId="118DBD4F" w14:textId="77777777" w:rsidR="00C3606F" w:rsidRPr="00366B29" w:rsidRDefault="00C3606F" w:rsidP="009C1345">
            <w:pPr>
              <w:jc w:val="center"/>
              <w:rPr>
                <w:rFonts w:cs="Calibri"/>
                <w:szCs w:val="22"/>
              </w:rPr>
            </w:pPr>
          </w:p>
        </w:tc>
        <w:tc>
          <w:tcPr>
            <w:tcW w:w="630" w:type="dxa"/>
          </w:tcPr>
          <w:p w14:paraId="05A44383" w14:textId="77777777" w:rsidR="00C3606F" w:rsidRPr="00366B29" w:rsidRDefault="00C3606F" w:rsidP="009C1345">
            <w:pPr>
              <w:jc w:val="center"/>
              <w:rPr>
                <w:rFonts w:cs="Calibri"/>
                <w:szCs w:val="22"/>
              </w:rPr>
            </w:pPr>
          </w:p>
        </w:tc>
        <w:tc>
          <w:tcPr>
            <w:tcW w:w="2807" w:type="dxa"/>
          </w:tcPr>
          <w:p w14:paraId="09BEBAD5" w14:textId="77777777" w:rsidR="00C3606F" w:rsidRPr="00366B29" w:rsidRDefault="00C3606F" w:rsidP="009C1345">
            <w:pPr>
              <w:spacing w:before="60"/>
              <w:rPr>
                <w:rFonts w:cs="Calibri"/>
                <w:szCs w:val="22"/>
              </w:rPr>
            </w:pPr>
          </w:p>
        </w:tc>
      </w:tr>
      <w:tr w:rsidR="002E7D4F" w:rsidRPr="00366B29" w14:paraId="2155AF1A" w14:textId="77777777" w:rsidTr="009C1345">
        <w:tc>
          <w:tcPr>
            <w:tcW w:w="6228" w:type="dxa"/>
          </w:tcPr>
          <w:p w14:paraId="25109807" w14:textId="03E06761" w:rsidR="002E7D4F" w:rsidRPr="00B52FB0" w:rsidRDefault="00046CCF" w:rsidP="009C1345">
            <w:pPr>
              <w:spacing w:after="160"/>
              <w:ind w:left="317" w:hanging="317"/>
              <w:rPr>
                <w:rFonts w:cs="Calibri"/>
                <w:szCs w:val="22"/>
              </w:rPr>
            </w:pPr>
            <w:r w:rsidRPr="00046CCF">
              <w:rPr>
                <w:rFonts w:cs="Calibri"/>
                <w:b/>
                <w:bCs/>
                <w:szCs w:val="22"/>
              </w:rPr>
              <w:t>24.</w:t>
            </w:r>
            <w:r>
              <w:rPr>
                <w:rFonts w:cs="Calibri"/>
                <w:szCs w:val="22"/>
              </w:rPr>
              <w:t xml:space="preserve"> </w:t>
            </w:r>
            <w:r w:rsidR="003E4CBC" w:rsidRPr="003E4CBC">
              <w:rPr>
                <w:rFonts w:cs="Calibri"/>
                <w:szCs w:val="22"/>
              </w:rPr>
              <w:t>Food and non-food items (i.e., cleaning products, etc.) in home economics rooms and cafeteria/kitchen are stored separately.</w:t>
            </w:r>
          </w:p>
        </w:tc>
        <w:tc>
          <w:tcPr>
            <w:tcW w:w="720" w:type="dxa"/>
          </w:tcPr>
          <w:p w14:paraId="08A51B04" w14:textId="77777777" w:rsidR="002E7D4F" w:rsidRPr="00366B29" w:rsidRDefault="002E7D4F" w:rsidP="009C1345">
            <w:pPr>
              <w:jc w:val="center"/>
              <w:rPr>
                <w:rFonts w:cs="Calibri"/>
                <w:szCs w:val="22"/>
              </w:rPr>
            </w:pPr>
          </w:p>
        </w:tc>
        <w:tc>
          <w:tcPr>
            <w:tcW w:w="630" w:type="dxa"/>
          </w:tcPr>
          <w:p w14:paraId="410A0D18" w14:textId="77777777" w:rsidR="002E7D4F" w:rsidRPr="00366B29" w:rsidRDefault="002E7D4F" w:rsidP="009C1345">
            <w:pPr>
              <w:jc w:val="center"/>
              <w:rPr>
                <w:rFonts w:cs="Calibri"/>
                <w:szCs w:val="22"/>
              </w:rPr>
            </w:pPr>
          </w:p>
        </w:tc>
        <w:tc>
          <w:tcPr>
            <w:tcW w:w="630" w:type="dxa"/>
          </w:tcPr>
          <w:p w14:paraId="39A524BD" w14:textId="77777777" w:rsidR="002E7D4F" w:rsidRPr="00366B29" w:rsidRDefault="002E7D4F" w:rsidP="009C1345">
            <w:pPr>
              <w:jc w:val="center"/>
              <w:rPr>
                <w:rFonts w:cs="Calibri"/>
                <w:szCs w:val="22"/>
              </w:rPr>
            </w:pPr>
          </w:p>
        </w:tc>
        <w:tc>
          <w:tcPr>
            <w:tcW w:w="2807" w:type="dxa"/>
          </w:tcPr>
          <w:p w14:paraId="0F7F4A65" w14:textId="77777777" w:rsidR="002E7D4F" w:rsidRPr="00366B29" w:rsidRDefault="002E7D4F" w:rsidP="009C1345">
            <w:pPr>
              <w:spacing w:before="60"/>
              <w:rPr>
                <w:rFonts w:cs="Calibri"/>
                <w:szCs w:val="22"/>
              </w:rPr>
            </w:pPr>
          </w:p>
        </w:tc>
      </w:tr>
      <w:tr w:rsidR="00776629" w:rsidRPr="00366B29" w14:paraId="0B312272" w14:textId="77777777" w:rsidTr="009C1345">
        <w:tc>
          <w:tcPr>
            <w:tcW w:w="6228" w:type="dxa"/>
          </w:tcPr>
          <w:p w14:paraId="6AE6D8DD" w14:textId="6EFC06F4" w:rsidR="002E7D4F" w:rsidRPr="00B52FB0" w:rsidRDefault="00046CCF" w:rsidP="009C1345">
            <w:pPr>
              <w:spacing w:after="160"/>
              <w:ind w:left="317" w:hanging="317"/>
              <w:rPr>
                <w:rFonts w:cs="Calibri"/>
                <w:szCs w:val="22"/>
              </w:rPr>
            </w:pPr>
            <w:r w:rsidRPr="00046CCF">
              <w:rPr>
                <w:rFonts w:cs="Calibri"/>
                <w:b/>
                <w:bCs/>
                <w:szCs w:val="22"/>
              </w:rPr>
              <w:t>25</w:t>
            </w:r>
            <w:r>
              <w:rPr>
                <w:rFonts w:cs="Calibri"/>
                <w:szCs w:val="22"/>
              </w:rPr>
              <w:t xml:space="preserve">. </w:t>
            </w:r>
            <w:r w:rsidR="0087450A" w:rsidRPr="0087450A">
              <w:rPr>
                <w:rFonts w:cs="Calibri"/>
                <w:szCs w:val="22"/>
              </w:rPr>
              <w:t>Non-instructional areas are free of all unapproved construction, e.g. walls, partitions, doors and stairs.</w:t>
            </w:r>
          </w:p>
        </w:tc>
        <w:tc>
          <w:tcPr>
            <w:tcW w:w="720" w:type="dxa"/>
          </w:tcPr>
          <w:p w14:paraId="351A83E8" w14:textId="77777777" w:rsidR="00776629" w:rsidRPr="00366B29" w:rsidRDefault="00776629" w:rsidP="009C1345">
            <w:pPr>
              <w:jc w:val="center"/>
              <w:rPr>
                <w:rFonts w:cs="Calibri"/>
                <w:szCs w:val="22"/>
              </w:rPr>
            </w:pPr>
          </w:p>
        </w:tc>
        <w:tc>
          <w:tcPr>
            <w:tcW w:w="630" w:type="dxa"/>
          </w:tcPr>
          <w:p w14:paraId="55432B3B" w14:textId="77777777" w:rsidR="00776629" w:rsidRPr="00366B29" w:rsidRDefault="00776629" w:rsidP="009C1345">
            <w:pPr>
              <w:jc w:val="center"/>
              <w:rPr>
                <w:rFonts w:cs="Calibri"/>
                <w:szCs w:val="22"/>
              </w:rPr>
            </w:pPr>
          </w:p>
        </w:tc>
        <w:tc>
          <w:tcPr>
            <w:tcW w:w="630" w:type="dxa"/>
          </w:tcPr>
          <w:p w14:paraId="0CDE4902" w14:textId="77777777" w:rsidR="00776629" w:rsidRPr="00366B29" w:rsidRDefault="00776629" w:rsidP="009C1345">
            <w:pPr>
              <w:jc w:val="center"/>
              <w:rPr>
                <w:rFonts w:cs="Calibri"/>
                <w:szCs w:val="22"/>
              </w:rPr>
            </w:pPr>
          </w:p>
        </w:tc>
        <w:tc>
          <w:tcPr>
            <w:tcW w:w="2807" w:type="dxa"/>
          </w:tcPr>
          <w:p w14:paraId="46A38BA5" w14:textId="77777777" w:rsidR="00776629" w:rsidRPr="00366B29" w:rsidRDefault="00776629" w:rsidP="009C1345">
            <w:pPr>
              <w:spacing w:before="60"/>
              <w:rPr>
                <w:rFonts w:cs="Calibri"/>
                <w:szCs w:val="22"/>
              </w:rPr>
            </w:pPr>
          </w:p>
        </w:tc>
      </w:tr>
      <w:tr w:rsidR="00776629" w:rsidRPr="00366B29" w14:paraId="075D1F44" w14:textId="77777777" w:rsidTr="009C1345">
        <w:trPr>
          <w:trHeight w:val="305"/>
        </w:trPr>
        <w:tc>
          <w:tcPr>
            <w:tcW w:w="6228" w:type="dxa"/>
          </w:tcPr>
          <w:p w14:paraId="4CEE670E" w14:textId="197E6B53" w:rsidR="00776629" w:rsidRPr="00B52FB0" w:rsidRDefault="00046CCF" w:rsidP="009C1345">
            <w:pPr>
              <w:spacing w:after="160"/>
              <w:ind w:left="317" w:hanging="317"/>
              <w:rPr>
                <w:rFonts w:cs="Calibri"/>
                <w:szCs w:val="22"/>
              </w:rPr>
            </w:pPr>
            <w:r w:rsidRPr="00046CCF">
              <w:rPr>
                <w:rFonts w:cs="Calibri"/>
                <w:b/>
                <w:bCs/>
                <w:szCs w:val="22"/>
              </w:rPr>
              <w:t>26</w:t>
            </w:r>
            <w:r>
              <w:rPr>
                <w:rFonts w:cs="Calibri"/>
                <w:szCs w:val="22"/>
              </w:rPr>
              <w:t xml:space="preserve">. </w:t>
            </w:r>
            <w:r w:rsidR="0087450A" w:rsidRPr="0087450A">
              <w:rPr>
                <w:rFonts w:cs="Calibri"/>
                <w:szCs w:val="22"/>
              </w:rPr>
              <w:t xml:space="preserve">Furniture and equipment are in good condition and suitable for the age and size of the students and purposes of instruction shall be provided. </w:t>
            </w:r>
            <w:r w:rsidR="00625A20">
              <w:rPr>
                <w:rFonts w:cs="Calibri"/>
                <w:szCs w:val="22"/>
              </w:rPr>
              <w:t>N.J.A.C.</w:t>
            </w:r>
            <w:r w:rsidR="0087450A" w:rsidRPr="0087450A">
              <w:rPr>
                <w:rFonts w:cs="Calibri"/>
                <w:szCs w:val="22"/>
              </w:rPr>
              <w:t xml:space="preserve"> 6A:26-8.1</w:t>
            </w:r>
          </w:p>
        </w:tc>
        <w:tc>
          <w:tcPr>
            <w:tcW w:w="720" w:type="dxa"/>
          </w:tcPr>
          <w:p w14:paraId="70F45408" w14:textId="77777777" w:rsidR="00776629" w:rsidRPr="00366B29" w:rsidRDefault="00776629" w:rsidP="009C1345">
            <w:pPr>
              <w:jc w:val="center"/>
              <w:rPr>
                <w:rFonts w:cs="Calibri"/>
                <w:b/>
                <w:szCs w:val="22"/>
              </w:rPr>
            </w:pPr>
          </w:p>
        </w:tc>
        <w:tc>
          <w:tcPr>
            <w:tcW w:w="630" w:type="dxa"/>
          </w:tcPr>
          <w:p w14:paraId="6848AFD7" w14:textId="77777777" w:rsidR="00776629" w:rsidRPr="00366B29" w:rsidRDefault="00776629" w:rsidP="009C1345">
            <w:pPr>
              <w:jc w:val="center"/>
              <w:rPr>
                <w:rFonts w:cs="Calibri"/>
                <w:b/>
                <w:szCs w:val="22"/>
              </w:rPr>
            </w:pPr>
          </w:p>
        </w:tc>
        <w:tc>
          <w:tcPr>
            <w:tcW w:w="630" w:type="dxa"/>
          </w:tcPr>
          <w:p w14:paraId="478EAB8A" w14:textId="77777777" w:rsidR="00776629" w:rsidRPr="00366B29" w:rsidRDefault="00776629" w:rsidP="009C1345">
            <w:pPr>
              <w:jc w:val="center"/>
              <w:rPr>
                <w:rFonts w:cs="Calibri"/>
                <w:b/>
                <w:szCs w:val="22"/>
              </w:rPr>
            </w:pPr>
          </w:p>
        </w:tc>
        <w:tc>
          <w:tcPr>
            <w:tcW w:w="2807" w:type="dxa"/>
          </w:tcPr>
          <w:p w14:paraId="47579E35" w14:textId="77777777" w:rsidR="00776629" w:rsidRPr="00366B29" w:rsidRDefault="00776629" w:rsidP="009C1345">
            <w:pPr>
              <w:rPr>
                <w:rFonts w:cs="Calibri"/>
                <w:b/>
                <w:szCs w:val="22"/>
              </w:rPr>
            </w:pPr>
          </w:p>
        </w:tc>
      </w:tr>
    </w:tbl>
    <w:p w14:paraId="14D1DE70" w14:textId="77777777" w:rsidR="000F4D61" w:rsidRDefault="000F4D61">
      <w:pPr>
        <w:rPr>
          <w:sz w:val="4"/>
          <w:szCs w:val="4"/>
        </w:rPr>
      </w:pPr>
    </w:p>
    <w:p w14:paraId="7B76ACA3" w14:textId="20C061D5" w:rsidR="00F9210D" w:rsidRPr="00F9210D" w:rsidRDefault="000F4D61" w:rsidP="000F4D61">
      <w:pPr>
        <w:rPr>
          <w:sz w:val="4"/>
          <w:szCs w:val="4"/>
        </w:rPr>
      </w:pPr>
      <w:r>
        <w:rPr>
          <w:sz w:val="4"/>
          <w:szCs w:val="4"/>
        </w:rPr>
        <w:br w:type="page"/>
      </w:r>
    </w:p>
    <w:tbl>
      <w:tblPr>
        <w:tblStyle w:val="TableGrid"/>
        <w:tblW w:w="11015" w:type="dxa"/>
        <w:tblLayout w:type="fixed"/>
        <w:tblLook w:val="0020" w:firstRow="1" w:lastRow="0" w:firstColumn="0" w:lastColumn="0" w:noHBand="0" w:noVBand="0"/>
      </w:tblPr>
      <w:tblGrid>
        <w:gridCol w:w="6228"/>
        <w:gridCol w:w="720"/>
        <w:gridCol w:w="630"/>
        <w:gridCol w:w="630"/>
        <w:gridCol w:w="2807"/>
      </w:tblGrid>
      <w:tr w:rsidR="00776629" w:rsidRPr="00366B29" w14:paraId="2C8A829D" w14:textId="77777777" w:rsidTr="003D5E76">
        <w:trPr>
          <w:tblHeader/>
        </w:trPr>
        <w:tc>
          <w:tcPr>
            <w:tcW w:w="6228" w:type="dxa"/>
            <w:shd w:val="clear" w:color="auto" w:fill="F2F2F2" w:themeFill="background1" w:themeFillShade="F2"/>
          </w:tcPr>
          <w:p w14:paraId="1A85162C" w14:textId="640E6232" w:rsidR="00776629" w:rsidRPr="00366B29" w:rsidRDefault="00C91E5C" w:rsidP="009564E2">
            <w:pPr>
              <w:jc w:val="both"/>
              <w:rPr>
                <w:rFonts w:cs="Calibri"/>
                <w:szCs w:val="22"/>
              </w:rPr>
            </w:pPr>
            <w:r w:rsidRPr="00366B29">
              <w:rPr>
                <w:rFonts w:cs="Calibri"/>
                <w:b/>
                <w:szCs w:val="22"/>
              </w:rPr>
              <w:lastRenderedPageBreak/>
              <w:t xml:space="preserve">Vocational/Laboratories </w:t>
            </w:r>
            <w:r w:rsidR="00776629" w:rsidRPr="00366B29">
              <w:rPr>
                <w:rFonts w:cs="Calibri"/>
                <w:b/>
                <w:szCs w:val="22"/>
              </w:rPr>
              <w:t>#2</w:t>
            </w:r>
            <w:r w:rsidR="00E24EBB">
              <w:rPr>
                <w:rFonts w:cs="Calibri"/>
                <w:b/>
                <w:szCs w:val="22"/>
              </w:rPr>
              <w:t>7</w:t>
            </w:r>
            <w:r w:rsidR="00776629" w:rsidRPr="00366B29">
              <w:rPr>
                <w:rFonts w:cs="Calibri"/>
                <w:b/>
                <w:szCs w:val="22"/>
              </w:rPr>
              <w:t xml:space="preserve"> </w:t>
            </w:r>
            <w:r w:rsidR="00F9210D">
              <w:rPr>
                <w:rFonts w:cs="Calibri"/>
                <w:b/>
                <w:szCs w:val="22"/>
              </w:rPr>
              <w:t>to</w:t>
            </w:r>
            <w:r w:rsidR="00776629" w:rsidRPr="00366B29">
              <w:rPr>
                <w:rFonts w:cs="Calibri"/>
                <w:b/>
                <w:szCs w:val="22"/>
              </w:rPr>
              <w:t xml:space="preserve"> #3</w:t>
            </w:r>
            <w:r w:rsidR="009564E2">
              <w:rPr>
                <w:rFonts w:cs="Calibri"/>
                <w:b/>
                <w:szCs w:val="22"/>
              </w:rPr>
              <w:t>4</w:t>
            </w:r>
          </w:p>
        </w:tc>
        <w:tc>
          <w:tcPr>
            <w:tcW w:w="720" w:type="dxa"/>
          </w:tcPr>
          <w:p w14:paraId="7EB05EBC" w14:textId="6F2D518F" w:rsidR="00776629" w:rsidRPr="00F9210D" w:rsidRDefault="00F9210D" w:rsidP="00F9210D">
            <w:pPr>
              <w:tabs>
                <w:tab w:val="num" w:pos="450"/>
              </w:tabs>
              <w:ind w:left="360" w:hanging="360"/>
              <w:jc w:val="center"/>
              <w:rPr>
                <w:rFonts w:cs="Calibri"/>
                <w:b/>
                <w:szCs w:val="22"/>
              </w:rPr>
            </w:pPr>
            <w:r w:rsidRPr="00F9210D">
              <w:rPr>
                <w:rFonts w:cs="Calibri"/>
                <w:b/>
                <w:szCs w:val="22"/>
              </w:rPr>
              <w:t>Yes</w:t>
            </w:r>
          </w:p>
        </w:tc>
        <w:tc>
          <w:tcPr>
            <w:tcW w:w="630" w:type="dxa"/>
          </w:tcPr>
          <w:p w14:paraId="4F2F60CF" w14:textId="41EE1178" w:rsidR="00776629" w:rsidRPr="00F9210D" w:rsidRDefault="00F9210D" w:rsidP="00F9210D">
            <w:pPr>
              <w:tabs>
                <w:tab w:val="num" w:pos="450"/>
              </w:tabs>
              <w:ind w:left="360" w:hanging="360"/>
              <w:jc w:val="center"/>
              <w:rPr>
                <w:rFonts w:cs="Calibri"/>
                <w:b/>
                <w:szCs w:val="22"/>
              </w:rPr>
            </w:pPr>
            <w:r w:rsidRPr="00F9210D">
              <w:rPr>
                <w:rFonts w:cs="Calibri"/>
                <w:b/>
                <w:szCs w:val="22"/>
              </w:rPr>
              <w:t>No</w:t>
            </w:r>
          </w:p>
        </w:tc>
        <w:tc>
          <w:tcPr>
            <w:tcW w:w="630" w:type="dxa"/>
          </w:tcPr>
          <w:p w14:paraId="67A1D19E" w14:textId="5E61DE92" w:rsidR="00776629" w:rsidRPr="00F9210D" w:rsidRDefault="00F9210D" w:rsidP="00F9210D">
            <w:pPr>
              <w:tabs>
                <w:tab w:val="num" w:pos="450"/>
              </w:tabs>
              <w:ind w:left="360" w:hanging="360"/>
              <w:jc w:val="center"/>
              <w:rPr>
                <w:rFonts w:cs="Calibri"/>
                <w:b/>
                <w:szCs w:val="22"/>
              </w:rPr>
            </w:pPr>
            <w:r w:rsidRPr="00F9210D">
              <w:rPr>
                <w:rFonts w:cs="Calibri"/>
                <w:b/>
                <w:szCs w:val="22"/>
              </w:rPr>
              <w:t>N/A</w:t>
            </w:r>
          </w:p>
        </w:tc>
        <w:tc>
          <w:tcPr>
            <w:tcW w:w="2807" w:type="dxa"/>
          </w:tcPr>
          <w:p w14:paraId="45F3943B" w14:textId="6D128B4B" w:rsidR="00776629" w:rsidRPr="00F9210D" w:rsidRDefault="00F9210D" w:rsidP="00F9210D">
            <w:pPr>
              <w:tabs>
                <w:tab w:val="num" w:pos="450"/>
              </w:tabs>
              <w:ind w:left="360" w:hanging="360"/>
              <w:rPr>
                <w:rFonts w:cs="Calibri"/>
                <w:b/>
                <w:szCs w:val="22"/>
              </w:rPr>
            </w:pPr>
            <w:r w:rsidRPr="00F9210D">
              <w:rPr>
                <w:rFonts w:cs="Calibri"/>
                <w:b/>
                <w:szCs w:val="22"/>
              </w:rPr>
              <w:t>Violation Location</w:t>
            </w:r>
          </w:p>
        </w:tc>
      </w:tr>
      <w:tr w:rsidR="00776629" w:rsidRPr="00366B29" w14:paraId="4562A276" w14:textId="77777777" w:rsidTr="003D5E76">
        <w:tc>
          <w:tcPr>
            <w:tcW w:w="6228" w:type="dxa"/>
          </w:tcPr>
          <w:p w14:paraId="114EEF60" w14:textId="4A2F6062" w:rsidR="002E7D4F" w:rsidRPr="00A708E3" w:rsidRDefault="005D2C72" w:rsidP="005D2C72">
            <w:pPr>
              <w:spacing w:after="160"/>
              <w:ind w:left="317" w:hanging="317"/>
              <w:rPr>
                <w:rFonts w:cs="Calibri"/>
                <w:szCs w:val="22"/>
              </w:rPr>
            </w:pPr>
            <w:r w:rsidRPr="005D2C72">
              <w:rPr>
                <w:rFonts w:cs="Calibri"/>
                <w:b/>
                <w:bCs/>
                <w:szCs w:val="22"/>
              </w:rPr>
              <w:t>27.</w:t>
            </w:r>
            <w:r>
              <w:rPr>
                <w:rFonts w:cs="Calibri"/>
                <w:szCs w:val="22"/>
              </w:rPr>
              <w:t xml:space="preserve"> </w:t>
            </w:r>
            <w:r w:rsidR="00C2739C" w:rsidRPr="00C2739C">
              <w:rPr>
                <w:rFonts w:cs="Calibri"/>
                <w:szCs w:val="22"/>
              </w:rPr>
              <w:t>Corrosives, toxic and other hazardous substances are stored in properly rated cabinets and are labeled accordingly.</w:t>
            </w:r>
          </w:p>
        </w:tc>
        <w:tc>
          <w:tcPr>
            <w:tcW w:w="720" w:type="dxa"/>
          </w:tcPr>
          <w:p w14:paraId="1C41FA10" w14:textId="77777777" w:rsidR="00776629" w:rsidRPr="00366B29" w:rsidRDefault="00776629" w:rsidP="00C3606F">
            <w:pPr>
              <w:tabs>
                <w:tab w:val="num" w:pos="450"/>
              </w:tabs>
              <w:ind w:left="540" w:hanging="360"/>
              <w:jc w:val="center"/>
              <w:rPr>
                <w:rFonts w:cs="Calibri"/>
                <w:szCs w:val="22"/>
              </w:rPr>
            </w:pPr>
          </w:p>
        </w:tc>
        <w:tc>
          <w:tcPr>
            <w:tcW w:w="630" w:type="dxa"/>
          </w:tcPr>
          <w:p w14:paraId="2A22F687" w14:textId="77777777" w:rsidR="00776629" w:rsidRPr="00366B29" w:rsidRDefault="00776629" w:rsidP="00C3606F">
            <w:pPr>
              <w:tabs>
                <w:tab w:val="num" w:pos="450"/>
              </w:tabs>
              <w:ind w:left="540" w:hanging="360"/>
              <w:jc w:val="center"/>
              <w:rPr>
                <w:rFonts w:cs="Calibri"/>
                <w:szCs w:val="22"/>
              </w:rPr>
            </w:pPr>
          </w:p>
        </w:tc>
        <w:tc>
          <w:tcPr>
            <w:tcW w:w="630" w:type="dxa"/>
          </w:tcPr>
          <w:p w14:paraId="1A587429" w14:textId="77777777" w:rsidR="00776629" w:rsidRPr="00366B29" w:rsidRDefault="00776629" w:rsidP="00C3606F">
            <w:pPr>
              <w:tabs>
                <w:tab w:val="num" w:pos="450"/>
              </w:tabs>
              <w:ind w:left="540" w:hanging="360"/>
              <w:jc w:val="center"/>
              <w:rPr>
                <w:rFonts w:cs="Calibri"/>
                <w:szCs w:val="22"/>
              </w:rPr>
            </w:pPr>
          </w:p>
        </w:tc>
        <w:tc>
          <w:tcPr>
            <w:tcW w:w="2807" w:type="dxa"/>
          </w:tcPr>
          <w:p w14:paraId="4E6CF793" w14:textId="77777777" w:rsidR="00776629" w:rsidRPr="00366B29" w:rsidRDefault="00776629" w:rsidP="00C3606F">
            <w:pPr>
              <w:tabs>
                <w:tab w:val="num" w:pos="450"/>
              </w:tabs>
              <w:spacing w:before="60"/>
              <w:ind w:left="360" w:hanging="360"/>
              <w:rPr>
                <w:rFonts w:cs="Calibri"/>
                <w:szCs w:val="22"/>
              </w:rPr>
            </w:pPr>
          </w:p>
        </w:tc>
      </w:tr>
      <w:tr w:rsidR="00776629" w:rsidRPr="00366B29" w14:paraId="38E0050B" w14:textId="77777777" w:rsidTr="003D5E76">
        <w:tc>
          <w:tcPr>
            <w:tcW w:w="6228" w:type="dxa"/>
          </w:tcPr>
          <w:p w14:paraId="26B1547B" w14:textId="1A1294D1" w:rsidR="00776629" w:rsidRPr="00A708E3" w:rsidRDefault="005D2C72" w:rsidP="005D2C72">
            <w:pPr>
              <w:spacing w:after="160"/>
              <w:ind w:left="317" w:hanging="317"/>
              <w:rPr>
                <w:rFonts w:cs="Calibri"/>
                <w:szCs w:val="22"/>
              </w:rPr>
            </w:pPr>
            <w:r w:rsidRPr="005D2C72">
              <w:rPr>
                <w:rFonts w:cs="Calibri"/>
                <w:b/>
                <w:bCs/>
                <w:szCs w:val="22"/>
              </w:rPr>
              <w:t>28.</w:t>
            </w:r>
            <w:r>
              <w:rPr>
                <w:rFonts w:cs="Calibri"/>
                <w:szCs w:val="22"/>
              </w:rPr>
              <w:t xml:space="preserve"> </w:t>
            </w:r>
            <w:r w:rsidR="00776629" w:rsidRPr="00366B29">
              <w:rPr>
                <w:rFonts w:cs="Calibri"/>
                <w:szCs w:val="22"/>
              </w:rPr>
              <w:t>Required space is available for the safe operation of machinery</w:t>
            </w:r>
            <w:r w:rsidR="009E39AA">
              <w:rPr>
                <w:rFonts w:cs="Calibri"/>
                <w:szCs w:val="22"/>
              </w:rPr>
              <w:t>.</w:t>
            </w:r>
          </w:p>
        </w:tc>
        <w:tc>
          <w:tcPr>
            <w:tcW w:w="720" w:type="dxa"/>
          </w:tcPr>
          <w:p w14:paraId="7C02B9A3" w14:textId="77777777" w:rsidR="00776629" w:rsidRPr="00366B29" w:rsidRDefault="00776629" w:rsidP="00C3606F">
            <w:pPr>
              <w:tabs>
                <w:tab w:val="num" w:pos="450"/>
              </w:tabs>
              <w:ind w:left="540" w:hanging="360"/>
              <w:jc w:val="center"/>
              <w:rPr>
                <w:rFonts w:cs="Calibri"/>
                <w:szCs w:val="22"/>
              </w:rPr>
            </w:pPr>
          </w:p>
        </w:tc>
        <w:tc>
          <w:tcPr>
            <w:tcW w:w="630" w:type="dxa"/>
          </w:tcPr>
          <w:p w14:paraId="0F98A2F2" w14:textId="77777777" w:rsidR="00776629" w:rsidRPr="00366B29" w:rsidRDefault="00776629" w:rsidP="00C3606F">
            <w:pPr>
              <w:tabs>
                <w:tab w:val="num" w:pos="450"/>
              </w:tabs>
              <w:ind w:left="540" w:hanging="360"/>
              <w:jc w:val="center"/>
              <w:rPr>
                <w:rFonts w:cs="Calibri"/>
                <w:szCs w:val="22"/>
              </w:rPr>
            </w:pPr>
          </w:p>
        </w:tc>
        <w:tc>
          <w:tcPr>
            <w:tcW w:w="630" w:type="dxa"/>
          </w:tcPr>
          <w:p w14:paraId="6DAFD3C9" w14:textId="77777777" w:rsidR="00776629" w:rsidRPr="00366B29" w:rsidRDefault="00776629" w:rsidP="00C3606F">
            <w:pPr>
              <w:tabs>
                <w:tab w:val="num" w:pos="450"/>
              </w:tabs>
              <w:ind w:left="540" w:hanging="360"/>
              <w:jc w:val="center"/>
              <w:rPr>
                <w:rFonts w:cs="Calibri"/>
                <w:szCs w:val="22"/>
              </w:rPr>
            </w:pPr>
          </w:p>
        </w:tc>
        <w:tc>
          <w:tcPr>
            <w:tcW w:w="2807" w:type="dxa"/>
          </w:tcPr>
          <w:p w14:paraId="0D5CB6DD" w14:textId="77777777" w:rsidR="00776629" w:rsidRPr="00366B29" w:rsidRDefault="00776629" w:rsidP="00C3606F">
            <w:pPr>
              <w:tabs>
                <w:tab w:val="num" w:pos="450"/>
              </w:tabs>
              <w:spacing w:before="60"/>
              <w:ind w:left="360" w:hanging="360"/>
              <w:rPr>
                <w:rFonts w:cs="Calibri"/>
                <w:szCs w:val="22"/>
              </w:rPr>
            </w:pPr>
          </w:p>
        </w:tc>
      </w:tr>
      <w:tr w:rsidR="00776629" w:rsidRPr="00366B29" w14:paraId="012FDB91" w14:textId="77777777" w:rsidTr="003D5E76">
        <w:tc>
          <w:tcPr>
            <w:tcW w:w="6228" w:type="dxa"/>
          </w:tcPr>
          <w:p w14:paraId="59453CED" w14:textId="3FD34A00" w:rsidR="002E7D4F" w:rsidRPr="00A708E3" w:rsidRDefault="005D2C72" w:rsidP="005D2C72">
            <w:pPr>
              <w:spacing w:after="160"/>
              <w:ind w:left="317" w:hanging="317"/>
              <w:rPr>
                <w:rFonts w:cs="Calibri"/>
                <w:szCs w:val="22"/>
              </w:rPr>
            </w:pPr>
            <w:r>
              <w:rPr>
                <w:rFonts w:cs="Calibri"/>
                <w:b/>
                <w:bCs/>
                <w:szCs w:val="22"/>
              </w:rPr>
              <w:t>29</w:t>
            </w:r>
            <w:r w:rsidRPr="005D2C72">
              <w:rPr>
                <w:rFonts w:cs="Calibri"/>
                <w:b/>
                <w:bCs/>
                <w:szCs w:val="22"/>
              </w:rPr>
              <w:t>.</w:t>
            </w:r>
            <w:r>
              <w:rPr>
                <w:rFonts w:cs="Calibri"/>
                <w:szCs w:val="22"/>
              </w:rPr>
              <w:t xml:space="preserve"> </w:t>
            </w:r>
            <w:r w:rsidR="00776629" w:rsidRPr="00366B29">
              <w:rPr>
                <w:rFonts w:cs="Calibri"/>
                <w:szCs w:val="22"/>
              </w:rPr>
              <w:t>Mechanical and hydraulic automotive lifts have locking devices to hold them in the extended (open) position.</w:t>
            </w:r>
          </w:p>
        </w:tc>
        <w:tc>
          <w:tcPr>
            <w:tcW w:w="720" w:type="dxa"/>
          </w:tcPr>
          <w:p w14:paraId="503F3BFE" w14:textId="77777777" w:rsidR="00776629" w:rsidRPr="00366B29" w:rsidRDefault="00776629" w:rsidP="00C3606F">
            <w:pPr>
              <w:tabs>
                <w:tab w:val="num" w:pos="450"/>
              </w:tabs>
              <w:ind w:left="540" w:hanging="360"/>
              <w:jc w:val="center"/>
              <w:rPr>
                <w:rFonts w:cs="Calibri"/>
                <w:szCs w:val="22"/>
              </w:rPr>
            </w:pPr>
          </w:p>
        </w:tc>
        <w:tc>
          <w:tcPr>
            <w:tcW w:w="630" w:type="dxa"/>
          </w:tcPr>
          <w:p w14:paraId="24ED6EB2" w14:textId="77777777" w:rsidR="00776629" w:rsidRPr="00366B29" w:rsidRDefault="00776629" w:rsidP="00C3606F">
            <w:pPr>
              <w:tabs>
                <w:tab w:val="num" w:pos="450"/>
              </w:tabs>
              <w:ind w:left="540" w:hanging="360"/>
              <w:jc w:val="center"/>
              <w:rPr>
                <w:rFonts w:cs="Calibri"/>
                <w:szCs w:val="22"/>
              </w:rPr>
            </w:pPr>
          </w:p>
        </w:tc>
        <w:tc>
          <w:tcPr>
            <w:tcW w:w="630" w:type="dxa"/>
          </w:tcPr>
          <w:p w14:paraId="43BC59F6" w14:textId="77777777" w:rsidR="00776629" w:rsidRPr="00366B29" w:rsidRDefault="00776629" w:rsidP="00C3606F">
            <w:pPr>
              <w:tabs>
                <w:tab w:val="num" w:pos="450"/>
              </w:tabs>
              <w:ind w:left="540" w:hanging="360"/>
              <w:jc w:val="center"/>
              <w:rPr>
                <w:rFonts w:cs="Calibri"/>
                <w:szCs w:val="22"/>
              </w:rPr>
            </w:pPr>
          </w:p>
        </w:tc>
        <w:tc>
          <w:tcPr>
            <w:tcW w:w="2807" w:type="dxa"/>
          </w:tcPr>
          <w:p w14:paraId="2BD40E28" w14:textId="77777777" w:rsidR="00776629" w:rsidRPr="00366B29" w:rsidRDefault="00776629" w:rsidP="00C3606F">
            <w:pPr>
              <w:tabs>
                <w:tab w:val="num" w:pos="450"/>
              </w:tabs>
              <w:spacing w:before="60"/>
              <w:ind w:left="360" w:hanging="360"/>
              <w:rPr>
                <w:rFonts w:cs="Calibri"/>
                <w:szCs w:val="22"/>
              </w:rPr>
            </w:pPr>
          </w:p>
        </w:tc>
      </w:tr>
      <w:tr w:rsidR="00776629" w:rsidRPr="00366B29" w14:paraId="46A6CBE4" w14:textId="77777777" w:rsidTr="003D5E76">
        <w:tc>
          <w:tcPr>
            <w:tcW w:w="6228" w:type="dxa"/>
          </w:tcPr>
          <w:p w14:paraId="3C4A05E9" w14:textId="527B9F93" w:rsidR="002E7D4F" w:rsidRPr="00A708E3" w:rsidRDefault="005D2C72" w:rsidP="005D2C72">
            <w:pPr>
              <w:spacing w:after="160"/>
              <w:ind w:left="317" w:hanging="317"/>
              <w:rPr>
                <w:rFonts w:cs="Calibri"/>
                <w:szCs w:val="22"/>
              </w:rPr>
            </w:pPr>
            <w:r w:rsidRPr="005D2C72">
              <w:rPr>
                <w:rFonts w:cs="Calibri"/>
                <w:b/>
                <w:bCs/>
                <w:szCs w:val="22"/>
              </w:rPr>
              <w:t>3</w:t>
            </w:r>
            <w:r>
              <w:rPr>
                <w:rFonts w:cs="Calibri"/>
                <w:b/>
                <w:bCs/>
                <w:szCs w:val="22"/>
              </w:rPr>
              <w:t>0</w:t>
            </w:r>
            <w:r>
              <w:rPr>
                <w:rFonts w:cs="Calibri"/>
                <w:szCs w:val="22"/>
              </w:rPr>
              <w:t xml:space="preserve">. </w:t>
            </w:r>
            <w:r w:rsidR="00776629" w:rsidRPr="00366B29">
              <w:rPr>
                <w:rFonts w:cs="Calibri"/>
                <w:szCs w:val="22"/>
              </w:rPr>
              <w:t>Floor</w:t>
            </w:r>
            <w:r w:rsidR="00D51F86">
              <w:rPr>
                <w:rFonts w:cs="Calibri"/>
                <w:szCs w:val="22"/>
              </w:rPr>
              <w:t>s</w:t>
            </w:r>
            <w:r w:rsidR="00776629" w:rsidRPr="00366B29">
              <w:rPr>
                <w:rFonts w:cs="Calibri"/>
                <w:szCs w:val="22"/>
              </w:rPr>
              <w:t xml:space="preserve"> and aisles in all shops are free of slipping and tripping hazards.</w:t>
            </w:r>
          </w:p>
        </w:tc>
        <w:tc>
          <w:tcPr>
            <w:tcW w:w="720" w:type="dxa"/>
          </w:tcPr>
          <w:p w14:paraId="7ED1840F" w14:textId="77777777" w:rsidR="00776629" w:rsidRPr="00366B29" w:rsidRDefault="00776629" w:rsidP="00C3606F">
            <w:pPr>
              <w:tabs>
                <w:tab w:val="num" w:pos="450"/>
              </w:tabs>
              <w:ind w:left="540" w:hanging="360"/>
              <w:jc w:val="center"/>
              <w:rPr>
                <w:rFonts w:cs="Calibri"/>
                <w:szCs w:val="22"/>
              </w:rPr>
            </w:pPr>
          </w:p>
        </w:tc>
        <w:tc>
          <w:tcPr>
            <w:tcW w:w="630" w:type="dxa"/>
          </w:tcPr>
          <w:p w14:paraId="46C435D3" w14:textId="77777777" w:rsidR="00776629" w:rsidRPr="00366B29" w:rsidRDefault="00776629" w:rsidP="00C3606F">
            <w:pPr>
              <w:tabs>
                <w:tab w:val="num" w:pos="450"/>
              </w:tabs>
              <w:ind w:left="540" w:hanging="360"/>
              <w:jc w:val="center"/>
              <w:rPr>
                <w:rFonts w:cs="Calibri"/>
                <w:szCs w:val="22"/>
              </w:rPr>
            </w:pPr>
          </w:p>
        </w:tc>
        <w:tc>
          <w:tcPr>
            <w:tcW w:w="630" w:type="dxa"/>
          </w:tcPr>
          <w:p w14:paraId="7051BB96" w14:textId="77777777" w:rsidR="00776629" w:rsidRPr="00366B29" w:rsidRDefault="00776629" w:rsidP="00C3606F">
            <w:pPr>
              <w:tabs>
                <w:tab w:val="num" w:pos="450"/>
              </w:tabs>
              <w:ind w:left="540" w:hanging="360"/>
              <w:jc w:val="center"/>
              <w:rPr>
                <w:rFonts w:cs="Calibri"/>
                <w:szCs w:val="22"/>
              </w:rPr>
            </w:pPr>
          </w:p>
        </w:tc>
        <w:tc>
          <w:tcPr>
            <w:tcW w:w="2807" w:type="dxa"/>
          </w:tcPr>
          <w:p w14:paraId="0A9664D4" w14:textId="77777777" w:rsidR="00776629" w:rsidRPr="00366B29" w:rsidRDefault="00776629" w:rsidP="00C3606F">
            <w:pPr>
              <w:tabs>
                <w:tab w:val="num" w:pos="450"/>
              </w:tabs>
              <w:spacing w:before="60"/>
              <w:ind w:left="360" w:hanging="360"/>
              <w:rPr>
                <w:rFonts w:cs="Calibri"/>
                <w:szCs w:val="22"/>
              </w:rPr>
            </w:pPr>
          </w:p>
        </w:tc>
      </w:tr>
      <w:tr w:rsidR="002E7D4F" w:rsidRPr="00366B29" w14:paraId="333C6E6F" w14:textId="77777777" w:rsidTr="003D5E76">
        <w:tc>
          <w:tcPr>
            <w:tcW w:w="6228" w:type="dxa"/>
          </w:tcPr>
          <w:p w14:paraId="0992D2AF" w14:textId="3B5DF31F" w:rsidR="002E7D4F" w:rsidRPr="00A708E3" w:rsidRDefault="005D2C72" w:rsidP="005D2C72">
            <w:pPr>
              <w:spacing w:after="160"/>
              <w:ind w:left="317" w:hanging="317"/>
              <w:rPr>
                <w:rFonts w:cs="Calibri"/>
                <w:szCs w:val="22"/>
              </w:rPr>
            </w:pPr>
            <w:r w:rsidRPr="005D2C72">
              <w:rPr>
                <w:rFonts w:cs="Calibri"/>
                <w:b/>
                <w:bCs/>
                <w:szCs w:val="22"/>
              </w:rPr>
              <w:t>31.</w:t>
            </w:r>
            <w:r w:rsidR="006E22C2">
              <w:rPr>
                <w:rFonts w:cs="Calibri"/>
                <w:b/>
                <w:bCs/>
                <w:szCs w:val="22"/>
              </w:rPr>
              <w:t xml:space="preserve"> "</w:t>
            </w:r>
            <w:r w:rsidR="00C91E5C" w:rsidRPr="00366B29">
              <w:rPr>
                <w:rFonts w:cs="Calibri"/>
                <w:szCs w:val="22"/>
              </w:rPr>
              <w:t>Eye Hazard Area</w:t>
            </w:r>
            <w:r w:rsidR="00352839">
              <w:rPr>
                <w:rFonts w:cs="Calibri"/>
                <w:szCs w:val="22"/>
              </w:rPr>
              <w:t xml:space="preserve"> </w:t>
            </w:r>
            <w:r w:rsidR="00C91E5C" w:rsidRPr="00366B29">
              <w:rPr>
                <w:rFonts w:cs="Calibri"/>
                <w:szCs w:val="22"/>
              </w:rPr>
              <w:t xml:space="preserve">- Wear Your Eye Protection” </w:t>
            </w:r>
            <w:r w:rsidR="00C91E5C">
              <w:rPr>
                <w:rFonts w:cs="Calibri"/>
                <w:szCs w:val="22"/>
              </w:rPr>
              <w:t>s</w:t>
            </w:r>
            <w:r w:rsidR="00C91E5C" w:rsidRPr="00366B29">
              <w:rPr>
                <w:rFonts w:cs="Calibri"/>
                <w:szCs w:val="22"/>
              </w:rPr>
              <w:t xml:space="preserve">igns </w:t>
            </w:r>
            <w:r w:rsidR="00C91E5C">
              <w:rPr>
                <w:rFonts w:cs="Calibri"/>
                <w:szCs w:val="22"/>
              </w:rPr>
              <w:t>a</w:t>
            </w:r>
            <w:r w:rsidR="00C91E5C" w:rsidRPr="00366B29">
              <w:rPr>
                <w:rFonts w:cs="Calibri"/>
                <w:szCs w:val="22"/>
              </w:rPr>
              <w:t xml:space="preserve">re </w:t>
            </w:r>
            <w:r w:rsidR="00C91E5C">
              <w:rPr>
                <w:rFonts w:cs="Calibri"/>
                <w:szCs w:val="22"/>
              </w:rPr>
              <w:t>p</w:t>
            </w:r>
            <w:r w:rsidR="00C91E5C" w:rsidRPr="00366B29">
              <w:rPr>
                <w:rFonts w:cs="Calibri"/>
                <w:szCs w:val="22"/>
              </w:rPr>
              <w:t>osted</w:t>
            </w:r>
            <w:r w:rsidR="00A708E3">
              <w:rPr>
                <w:rFonts w:cs="Calibri"/>
                <w:szCs w:val="22"/>
              </w:rPr>
              <w:t>.</w:t>
            </w:r>
          </w:p>
        </w:tc>
        <w:tc>
          <w:tcPr>
            <w:tcW w:w="720" w:type="dxa"/>
          </w:tcPr>
          <w:p w14:paraId="60A92870" w14:textId="77777777" w:rsidR="002E7D4F" w:rsidRPr="00366B29" w:rsidRDefault="002E7D4F" w:rsidP="00C3606F">
            <w:pPr>
              <w:tabs>
                <w:tab w:val="num" w:pos="450"/>
              </w:tabs>
              <w:ind w:left="540" w:hanging="360"/>
              <w:jc w:val="center"/>
              <w:rPr>
                <w:rFonts w:cs="Calibri"/>
                <w:szCs w:val="22"/>
              </w:rPr>
            </w:pPr>
          </w:p>
        </w:tc>
        <w:tc>
          <w:tcPr>
            <w:tcW w:w="630" w:type="dxa"/>
          </w:tcPr>
          <w:p w14:paraId="5481389D" w14:textId="77777777" w:rsidR="002E7D4F" w:rsidRPr="00366B29" w:rsidRDefault="002E7D4F" w:rsidP="00C3606F">
            <w:pPr>
              <w:tabs>
                <w:tab w:val="num" w:pos="450"/>
              </w:tabs>
              <w:ind w:left="540" w:hanging="360"/>
              <w:jc w:val="center"/>
              <w:rPr>
                <w:rFonts w:cs="Calibri"/>
                <w:szCs w:val="22"/>
              </w:rPr>
            </w:pPr>
          </w:p>
        </w:tc>
        <w:tc>
          <w:tcPr>
            <w:tcW w:w="630" w:type="dxa"/>
          </w:tcPr>
          <w:p w14:paraId="7C65B666" w14:textId="77777777" w:rsidR="002E7D4F" w:rsidRPr="00366B29" w:rsidRDefault="002E7D4F" w:rsidP="00C3606F">
            <w:pPr>
              <w:tabs>
                <w:tab w:val="num" w:pos="450"/>
              </w:tabs>
              <w:ind w:left="540" w:hanging="360"/>
              <w:jc w:val="center"/>
              <w:rPr>
                <w:rFonts w:cs="Calibri"/>
                <w:szCs w:val="22"/>
              </w:rPr>
            </w:pPr>
          </w:p>
        </w:tc>
        <w:tc>
          <w:tcPr>
            <w:tcW w:w="2807" w:type="dxa"/>
          </w:tcPr>
          <w:p w14:paraId="65135F50" w14:textId="77777777" w:rsidR="002E7D4F" w:rsidRPr="00366B29" w:rsidRDefault="002E7D4F" w:rsidP="00C3606F">
            <w:pPr>
              <w:tabs>
                <w:tab w:val="num" w:pos="450"/>
              </w:tabs>
              <w:spacing w:before="60"/>
              <w:ind w:left="360" w:hanging="360"/>
              <w:rPr>
                <w:rFonts w:cs="Calibri"/>
                <w:szCs w:val="22"/>
              </w:rPr>
            </w:pPr>
          </w:p>
        </w:tc>
      </w:tr>
      <w:tr w:rsidR="00776629" w:rsidRPr="00366B29" w14:paraId="63E37B82" w14:textId="77777777" w:rsidTr="003D5E76">
        <w:tc>
          <w:tcPr>
            <w:tcW w:w="6228" w:type="dxa"/>
          </w:tcPr>
          <w:p w14:paraId="30656128" w14:textId="51DFB71A" w:rsidR="00776629" w:rsidRPr="00366B29" w:rsidRDefault="005D2C72" w:rsidP="005D2C72">
            <w:pPr>
              <w:ind w:left="317" w:hanging="317"/>
              <w:rPr>
                <w:rFonts w:cs="Calibri"/>
                <w:szCs w:val="22"/>
              </w:rPr>
            </w:pPr>
            <w:r w:rsidRPr="005D2C72">
              <w:rPr>
                <w:rFonts w:cs="Calibri"/>
                <w:b/>
                <w:bCs/>
                <w:szCs w:val="22"/>
              </w:rPr>
              <w:t xml:space="preserve">32. </w:t>
            </w:r>
            <w:r w:rsidR="00776629" w:rsidRPr="00366B29">
              <w:rPr>
                <w:rFonts w:cs="Calibri"/>
                <w:szCs w:val="22"/>
              </w:rPr>
              <w:t xml:space="preserve">The following additional safety measures are in place if welding operations are on-going: </w:t>
            </w:r>
          </w:p>
          <w:p w14:paraId="3C4D044A" w14:textId="77777777" w:rsidR="00776629" w:rsidRPr="00366B29" w:rsidRDefault="00776629" w:rsidP="00C91E5C">
            <w:pPr>
              <w:numPr>
                <w:ilvl w:val="0"/>
                <w:numId w:val="10"/>
              </w:numPr>
              <w:rPr>
                <w:rFonts w:cs="Calibri"/>
                <w:szCs w:val="22"/>
              </w:rPr>
            </w:pPr>
            <w:r w:rsidRPr="00366B29">
              <w:rPr>
                <w:rFonts w:cs="Calibri"/>
                <w:szCs w:val="22"/>
              </w:rPr>
              <w:t>Welding curtains are provided and are painted with a finish of low reflectivity.</w:t>
            </w:r>
          </w:p>
          <w:p w14:paraId="71AA4CAB" w14:textId="12EC510C" w:rsidR="00776629" w:rsidRPr="00366B29" w:rsidRDefault="00776629" w:rsidP="00F474BC">
            <w:pPr>
              <w:numPr>
                <w:ilvl w:val="0"/>
                <w:numId w:val="10"/>
              </w:numPr>
              <w:spacing w:after="160"/>
              <w:rPr>
                <w:rFonts w:cs="Calibri"/>
                <w:szCs w:val="22"/>
              </w:rPr>
            </w:pPr>
            <w:r w:rsidRPr="00366B29">
              <w:rPr>
                <w:rFonts w:cs="Calibri"/>
                <w:szCs w:val="22"/>
              </w:rPr>
              <w:t>Personal protective equipment (</w:t>
            </w:r>
            <w:r w:rsidR="00D707A8">
              <w:rPr>
                <w:rFonts w:cs="Calibri"/>
                <w:szCs w:val="22"/>
              </w:rPr>
              <w:t xml:space="preserve">e.g., </w:t>
            </w:r>
            <w:r w:rsidRPr="00366B29">
              <w:rPr>
                <w:rFonts w:cs="Calibri"/>
                <w:szCs w:val="22"/>
              </w:rPr>
              <w:t>goggles, aprons, etc.) are provided.</w:t>
            </w:r>
          </w:p>
        </w:tc>
        <w:tc>
          <w:tcPr>
            <w:tcW w:w="720" w:type="dxa"/>
          </w:tcPr>
          <w:p w14:paraId="2D4C2865" w14:textId="77777777" w:rsidR="00776629" w:rsidRPr="00366B29" w:rsidRDefault="00776629" w:rsidP="00C3606F">
            <w:pPr>
              <w:tabs>
                <w:tab w:val="num" w:pos="450"/>
              </w:tabs>
              <w:ind w:left="540" w:hanging="360"/>
              <w:jc w:val="center"/>
              <w:rPr>
                <w:rFonts w:cs="Calibri"/>
                <w:szCs w:val="22"/>
              </w:rPr>
            </w:pPr>
          </w:p>
        </w:tc>
        <w:tc>
          <w:tcPr>
            <w:tcW w:w="630" w:type="dxa"/>
          </w:tcPr>
          <w:p w14:paraId="5DB6704C" w14:textId="77777777" w:rsidR="00776629" w:rsidRPr="00366B29" w:rsidRDefault="00776629" w:rsidP="00C3606F">
            <w:pPr>
              <w:tabs>
                <w:tab w:val="num" w:pos="450"/>
              </w:tabs>
              <w:ind w:left="540" w:hanging="360"/>
              <w:jc w:val="center"/>
              <w:rPr>
                <w:rFonts w:cs="Calibri"/>
                <w:szCs w:val="22"/>
              </w:rPr>
            </w:pPr>
          </w:p>
        </w:tc>
        <w:tc>
          <w:tcPr>
            <w:tcW w:w="630" w:type="dxa"/>
          </w:tcPr>
          <w:p w14:paraId="3AFF09FF" w14:textId="77777777" w:rsidR="00776629" w:rsidRPr="00366B29" w:rsidRDefault="00776629" w:rsidP="00C3606F">
            <w:pPr>
              <w:tabs>
                <w:tab w:val="num" w:pos="450"/>
              </w:tabs>
              <w:ind w:left="540" w:hanging="360"/>
              <w:jc w:val="center"/>
              <w:rPr>
                <w:rFonts w:cs="Calibri"/>
                <w:szCs w:val="22"/>
              </w:rPr>
            </w:pPr>
          </w:p>
        </w:tc>
        <w:tc>
          <w:tcPr>
            <w:tcW w:w="2807" w:type="dxa"/>
          </w:tcPr>
          <w:p w14:paraId="652F552D" w14:textId="77777777" w:rsidR="00776629" w:rsidRPr="00366B29" w:rsidRDefault="00776629" w:rsidP="00C3606F">
            <w:pPr>
              <w:tabs>
                <w:tab w:val="num" w:pos="450"/>
              </w:tabs>
              <w:spacing w:before="60"/>
              <w:ind w:left="360" w:hanging="360"/>
              <w:rPr>
                <w:rFonts w:cs="Calibri"/>
                <w:szCs w:val="22"/>
              </w:rPr>
            </w:pPr>
          </w:p>
        </w:tc>
      </w:tr>
      <w:tr w:rsidR="00776629" w:rsidRPr="00366B29" w14:paraId="1CE4DEF6" w14:textId="77777777" w:rsidTr="003D5E76">
        <w:tc>
          <w:tcPr>
            <w:tcW w:w="6228" w:type="dxa"/>
          </w:tcPr>
          <w:p w14:paraId="693DF62B" w14:textId="5EB809D7" w:rsidR="00FD654A" w:rsidRPr="00366B29" w:rsidRDefault="005D2C72" w:rsidP="00E24EBB">
            <w:pPr>
              <w:spacing w:after="160"/>
              <w:ind w:left="317" w:hanging="317"/>
              <w:rPr>
                <w:rFonts w:cs="Calibri"/>
                <w:szCs w:val="22"/>
              </w:rPr>
            </w:pPr>
            <w:r>
              <w:rPr>
                <w:rFonts w:cs="Calibri"/>
                <w:b/>
                <w:szCs w:val="22"/>
              </w:rPr>
              <w:t xml:space="preserve">33. </w:t>
            </w:r>
            <w:r w:rsidR="00776629" w:rsidRPr="00366B29">
              <w:rPr>
                <w:rFonts w:cs="Calibri"/>
                <w:szCs w:val="22"/>
              </w:rPr>
              <w:t>Pressurized gas cylinders are secured (chain and eye hooks to welding cart, etc.) and valve protection caps are in place.</w:t>
            </w:r>
          </w:p>
        </w:tc>
        <w:tc>
          <w:tcPr>
            <w:tcW w:w="720" w:type="dxa"/>
          </w:tcPr>
          <w:p w14:paraId="0919CFD4" w14:textId="77777777" w:rsidR="00776629" w:rsidRPr="00366B29" w:rsidRDefault="00776629" w:rsidP="00C3606F">
            <w:pPr>
              <w:tabs>
                <w:tab w:val="num" w:pos="450"/>
              </w:tabs>
              <w:ind w:left="540" w:hanging="360"/>
              <w:jc w:val="center"/>
              <w:rPr>
                <w:rFonts w:cs="Calibri"/>
                <w:szCs w:val="22"/>
              </w:rPr>
            </w:pPr>
          </w:p>
        </w:tc>
        <w:tc>
          <w:tcPr>
            <w:tcW w:w="630" w:type="dxa"/>
          </w:tcPr>
          <w:p w14:paraId="3E46A353" w14:textId="77777777" w:rsidR="00776629" w:rsidRPr="00366B29" w:rsidRDefault="00776629" w:rsidP="00C3606F">
            <w:pPr>
              <w:tabs>
                <w:tab w:val="num" w:pos="450"/>
              </w:tabs>
              <w:ind w:left="540" w:hanging="360"/>
              <w:jc w:val="center"/>
              <w:rPr>
                <w:rFonts w:cs="Calibri"/>
                <w:szCs w:val="22"/>
              </w:rPr>
            </w:pPr>
          </w:p>
        </w:tc>
        <w:tc>
          <w:tcPr>
            <w:tcW w:w="630" w:type="dxa"/>
          </w:tcPr>
          <w:p w14:paraId="36F4808B" w14:textId="77777777" w:rsidR="00776629" w:rsidRPr="00366B29" w:rsidRDefault="00776629" w:rsidP="00C3606F">
            <w:pPr>
              <w:tabs>
                <w:tab w:val="num" w:pos="450"/>
              </w:tabs>
              <w:ind w:left="540" w:hanging="360"/>
              <w:jc w:val="center"/>
              <w:rPr>
                <w:rFonts w:cs="Calibri"/>
                <w:szCs w:val="22"/>
              </w:rPr>
            </w:pPr>
          </w:p>
        </w:tc>
        <w:tc>
          <w:tcPr>
            <w:tcW w:w="2807" w:type="dxa"/>
          </w:tcPr>
          <w:p w14:paraId="5CF422B8" w14:textId="77777777" w:rsidR="00776629" w:rsidRPr="00366B29" w:rsidRDefault="00776629" w:rsidP="00C3606F">
            <w:pPr>
              <w:tabs>
                <w:tab w:val="num" w:pos="450"/>
              </w:tabs>
              <w:spacing w:before="60"/>
              <w:ind w:left="360" w:hanging="360"/>
              <w:rPr>
                <w:rFonts w:cs="Calibri"/>
                <w:szCs w:val="22"/>
              </w:rPr>
            </w:pPr>
          </w:p>
        </w:tc>
      </w:tr>
      <w:tr w:rsidR="00776629" w:rsidRPr="00366B29" w14:paraId="305B55D9" w14:textId="77777777" w:rsidTr="003D5E76">
        <w:tc>
          <w:tcPr>
            <w:tcW w:w="6228" w:type="dxa"/>
          </w:tcPr>
          <w:p w14:paraId="24D2C3DA" w14:textId="16114DC6" w:rsidR="00776629" w:rsidRPr="00A708E3" w:rsidRDefault="005D2C72" w:rsidP="00E24EBB">
            <w:pPr>
              <w:spacing w:after="160"/>
              <w:ind w:left="317" w:hanging="317"/>
              <w:rPr>
                <w:rFonts w:cs="Calibri"/>
                <w:szCs w:val="22"/>
              </w:rPr>
            </w:pPr>
            <w:r>
              <w:rPr>
                <w:rFonts w:cs="Calibri"/>
                <w:b/>
                <w:szCs w:val="22"/>
              </w:rPr>
              <w:t xml:space="preserve">34. </w:t>
            </w:r>
            <w:r w:rsidR="00776629" w:rsidRPr="00366B29">
              <w:rPr>
                <w:rFonts w:cs="Calibri"/>
                <w:szCs w:val="22"/>
              </w:rPr>
              <w:t>Oxygen cylinders in storage are separated from fuel gas cylinders (acetylene) or combustible materials a minimum distance of 20 feet.</w:t>
            </w:r>
          </w:p>
        </w:tc>
        <w:tc>
          <w:tcPr>
            <w:tcW w:w="720" w:type="dxa"/>
          </w:tcPr>
          <w:p w14:paraId="44B056B7" w14:textId="77777777" w:rsidR="00776629" w:rsidRPr="00366B29" w:rsidRDefault="00776629" w:rsidP="00C3606F">
            <w:pPr>
              <w:tabs>
                <w:tab w:val="num" w:pos="450"/>
              </w:tabs>
              <w:ind w:left="540" w:hanging="360"/>
              <w:jc w:val="center"/>
              <w:rPr>
                <w:rFonts w:cs="Calibri"/>
                <w:b/>
                <w:szCs w:val="22"/>
              </w:rPr>
            </w:pPr>
          </w:p>
        </w:tc>
        <w:tc>
          <w:tcPr>
            <w:tcW w:w="630" w:type="dxa"/>
          </w:tcPr>
          <w:p w14:paraId="3BFB8020" w14:textId="77777777" w:rsidR="00776629" w:rsidRPr="00366B29" w:rsidRDefault="00776629" w:rsidP="00C3606F">
            <w:pPr>
              <w:tabs>
                <w:tab w:val="num" w:pos="450"/>
              </w:tabs>
              <w:ind w:left="540" w:hanging="360"/>
              <w:jc w:val="center"/>
              <w:rPr>
                <w:rFonts w:cs="Calibri"/>
                <w:b/>
                <w:szCs w:val="22"/>
              </w:rPr>
            </w:pPr>
          </w:p>
        </w:tc>
        <w:tc>
          <w:tcPr>
            <w:tcW w:w="630" w:type="dxa"/>
          </w:tcPr>
          <w:p w14:paraId="3A6F16B4" w14:textId="77777777" w:rsidR="00776629" w:rsidRPr="00366B29" w:rsidRDefault="00776629" w:rsidP="00C3606F">
            <w:pPr>
              <w:tabs>
                <w:tab w:val="num" w:pos="450"/>
              </w:tabs>
              <w:ind w:left="540" w:hanging="360"/>
              <w:jc w:val="center"/>
              <w:rPr>
                <w:rFonts w:cs="Calibri"/>
                <w:b/>
                <w:szCs w:val="22"/>
              </w:rPr>
            </w:pPr>
          </w:p>
        </w:tc>
        <w:tc>
          <w:tcPr>
            <w:tcW w:w="2807" w:type="dxa"/>
          </w:tcPr>
          <w:p w14:paraId="52C6D161" w14:textId="77777777" w:rsidR="00776629" w:rsidRPr="00366B29" w:rsidRDefault="00776629" w:rsidP="00C3606F">
            <w:pPr>
              <w:tabs>
                <w:tab w:val="num" w:pos="450"/>
              </w:tabs>
              <w:spacing w:before="60"/>
              <w:ind w:left="540" w:hanging="360"/>
              <w:rPr>
                <w:rFonts w:cs="Calibri"/>
                <w:b/>
                <w:szCs w:val="22"/>
              </w:rPr>
            </w:pPr>
          </w:p>
        </w:tc>
      </w:tr>
    </w:tbl>
    <w:p w14:paraId="5C29EDDE" w14:textId="77777777" w:rsidR="00F613BC" w:rsidRPr="00AE262B" w:rsidRDefault="00F613BC">
      <w:pPr>
        <w:rPr>
          <w:sz w:val="4"/>
          <w:szCs w:val="4"/>
        </w:rPr>
      </w:pPr>
    </w:p>
    <w:tbl>
      <w:tblPr>
        <w:tblStyle w:val="TableGrid"/>
        <w:tblW w:w="8208" w:type="dxa"/>
        <w:tblLayout w:type="fixed"/>
        <w:tblLook w:val="0020" w:firstRow="1" w:lastRow="0" w:firstColumn="0" w:lastColumn="0" w:noHBand="0" w:noVBand="0"/>
      </w:tblPr>
      <w:tblGrid>
        <w:gridCol w:w="6228"/>
        <w:gridCol w:w="720"/>
        <w:gridCol w:w="630"/>
        <w:gridCol w:w="630"/>
      </w:tblGrid>
      <w:tr w:rsidR="00C15996" w:rsidRPr="00366B29" w14:paraId="749DAFE2" w14:textId="77777777" w:rsidTr="003D5E76">
        <w:tc>
          <w:tcPr>
            <w:tcW w:w="6228" w:type="dxa"/>
          </w:tcPr>
          <w:p w14:paraId="13002DF9" w14:textId="4B496BE6" w:rsidR="00C15996" w:rsidRPr="00366B29" w:rsidRDefault="00F77B79" w:rsidP="00342C18">
            <w:pPr>
              <w:tabs>
                <w:tab w:val="num" w:pos="450"/>
              </w:tabs>
              <w:jc w:val="both"/>
              <w:rPr>
                <w:rFonts w:cs="Calibri"/>
                <w:b/>
                <w:szCs w:val="22"/>
              </w:rPr>
            </w:pPr>
            <w:r w:rsidRPr="00CA552A">
              <w:rPr>
                <w:rFonts w:cs="Calibri"/>
                <w:b/>
                <w:color w:val="000000" w:themeColor="text1"/>
                <w:szCs w:val="22"/>
              </w:rPr>
              <w:t>Total</w:t>
            </w:r>
          </w:p>
        </w:tc>
        <w:tc>
          <w:tcPr>
            <w:tcW w:w="720" w:type="dxa"/>
          </w:tcPr>
          <w:p w14:paraId="08F05538" w14:textId="0779C6C8" w:rsidR="00C15996" w:rsidRPr="00366B29" w:rsidRDefault="00C15996" w:rsidP="00F613BC">
            <w:pPr>
              <w:tabs>
                <w:tab w:val="num" w:pos="450"/>
              </w:tabs>
              <w:ind w:left="360" w:hanging="360"/>
              <w:jc w:val="center"/>
              <w:rPr>
                <w:rFonts w:cs="Calibri"/>
                <w:b/>
                <w:szCs w:val="22"/>
              </w:rPr>
            </w:pPr>
            <w:r>
              <w:rPr>
                <w:rFonts w:cs="Calibri"/>
                <w:b/>
                <w:szCs w:val="22"/>
              </w:rPr>
              <w:t>Yes</w:t>
            </w:r>
          </w:p>
        </w:tc>
        <w:tc>
          <w:tcPr>
            <w:tcW w:w="630" w:type="dxa"/>
          </w:tcPr>
          <w:p w14:paraId="0701FBD2" w14:textId="4C585961" w:rsidR="00C15996" w:rsidRPr="00366B29" w:rsidRDefault="00C15996" w:rsidP="00F613BC">
            <w:pPr>
              <w:tabs>
                <w:tab w:val="num" w:pos="450"/>
              </w:tabs>
              <w:ind w:left="360" w:hanging="360"/>
              <w:jc w:val="center"/>
              <w:rPr>
                <w:rFonts w:cs="Calibri"/>
                <w:b/>
                <w:szCs w:val="22"/>
              </w:rPr>
            </w:pPr>
            <w:r>
              <w:rPr>
                <w:rFonts w:cs="Calibri"/>
                <w:b/>
                <w:szCs w:val="22"/>
              </w:rPr>
              <w:t>No</w:t>
            </w:r>
          </w:p>
        </w:tc>
        <w:tc>
          <w:tcPr>
            <w:tcW w:w="630" w:type="dxa"/>
          </w:tcPr>
          <w:p w14:paraId="72265CC9" w14:textId="4B31D9C5" w:rsidR="00C15996" w:rsidRPr="00366B29" w:rsidRDefault="00C15996" w:rsidP="00F613BC">
            <w:pPr>
              <w:tabs>
                <w:tab w:val="num" w:pos="450"/>
              </w:tabs>
              <w:ind w:left="360" w:hanging="360"/>
              <w:jc w:val="center"/>
              <w:rPr>
                <w:rFonts w:cs="Calibri"/>
                <w:b/>
                <w:szCs w:val="22"/>
              </w:rPr>
            </w:pPr>
            <w:r>
              <w:rPr>
                <w:rFonts w:cs="Calibri"/>
                <w:b/>
                <w:szCs w:val="22"/>
              </w:rPr>
              <w:t>N/A</w:t>
            </w:r>
          </w:p>
        </w:tc>
      </w:tr>
      <w:tr w:rsidR="00C15996" w:rsidRPr="00366B29" w14:paraId="256FE618" w14:textId="77777777" w:rsidTr="003D5E76">
        <w:tc>
          <w:tcPr>
            <w:tcW w:w="6228" w:type="dxa"/>
          </w:tcPr>
          <w:p w14:paraId="3AF936FB" w14:textId="5AE37AC9" w:rsidR="00C15996" w:rsidRPr="00366B29" w:rsidRDefault="00C15996" w:rsidP="00C3606F">
            <w:pPr>
              <w:tabs>
                <w:tab w:val="num" w:pos="450"/>
              </w:tabs>
              <w:ind w:left="540" w:hanging="360"/>
              <w:jc w:val="both"/>
              <w:rPr>
                <w:rFonts w:cs="Calibri"/>
                <w:b/>
                <w:szCs w:val="22"/>
              </w:rPr>
            </w:pPr>
            <w:r w:rsidRPr="00F613BC">
              <w:rPr>
                <w:rFonts w:cs="Calibri"/>
                <w:b/>
                <w:sz w:val="28"/>
                <w:szCs w:val="22"/>
              </w:rPr>
              <w:t>80% Items Total</w:t>
            </w:r>
          </w:p>
        </w:tc>
        <w:tc>
          <w:tcPr>
            <w:tcW w:w="720" w:type="dxa"/>
          </w:tcPr>
          <w:p w14:paraId="05BF0A29" w14:textId="77777777" w:rsidR="00C15996" w:rsidRPr="00366B29" w:rsidRDefault="00C15996" w:rsidP="00C3606F">
            <w:pPr>
              <w:tabs>
                <w:tab w:val="num" w:pos="450"/>
              </w:tabs>
              <w:ind w:left="540" w:hanging="360"/>
              <w:jc w:val="center"/>
              <w:rPr>
                <w:rFonts w:cs="Calibri"/>
                <w:b/>
                <w:szCs w:val="22"/>
              </w:rPr>
            </w:pPr>
          </w:p>
        </w:tc>
        <w:tc>
          <w:tcPr>
            <w:tcW w:w="630" w:type="dxa"/>
          </w:tcPr>
          <w:p w14:paraId="0CF58B9B" w14:textId="77777777" w:rsidR="00C15996" w:rsidRPr="00366B29" w:rsidRDefault="00C15996" w:rsidP="00C3606F">
            <w:pPr>
              <w:tabs>
                <w:tab w:val="num" w:pos="450"/>
              </w:tabs>
              <w:ind w:left="540" w:hanging="360"/>
              <w:jc w:val="center"/>
              <w:rPr>
                <w:rFonts w:cs="Calibri"/>
                <w:b/>
                <w:szCs w:val="22"/>
              </w:rPr>
            </w:pPr>
          </w:p>
        </w:tc>
        <w:tc>
          <w:tcPr>
            <w:tcW w:w="630" w:type="dxa"/>
          </w:tcPr>
          <w:p w14:paraId="42F98270" w14:textId="77777777" w:rsidR="00C15996" w:rsidRPr="00366B29" w:rsidRDefault="00C15996" w:rsidP="00C3606F">
            <w:pPr>
              <w:tabs>
                <w:tab w:val="num" w:pos="450"/>
              </w:tabs>
              <w:ind w:left="540" w:hanging="360"/>
              <w:jc w:val="center"/>
              <w:rPr>
                <w:rFonts w:cs="Calibri"/>
                <w:b/>
                <w:szCs w:val="22"/>
              </w:rPr>
            </w:pPr>
          </w:p>
        </w:tc>
      </w:tr>
    </w:tbl>
    <w:p w14:paraId="5D98B030" w14:textId="3A71E6D9" w:rsidR="00CA552A" w:rsidRPr="00CA552A" w:rsidRDefault="00CA552A" w:rsidP="00CA552A">
      <w:pPr>
        <w:pStyle w:val="Important"/>
      </w:pPr>
      <w:r w:rsidRPr="00CA552A">
        <w:rPr>
          <w:rStyle w:val="Strong"/>
          <w:sz w:val="28"/>
          <w:szCs w:val="32"/>
        </w:rPr>
        <w:t xml:space="preserve">Note: </w:t>
      </w:r>
      <w:r w:rsidRPr="00CA552A">
        <w:t xml:space="preserve">Violations of 100% items 12, 16 </w:t>
      </w:r>
      <w:r w:rsidR="00D46BA9">
        <w:t>and</w:t>
      </w:r>
      <w:r w:rsidRPr="00CA552A">
        <w:t xml:space="preserve"> 17 and 80% item 15 are the most egregious.</w:t>
      </w:r>
      <w:r>
        <w:t xml:space="preserve"> </w:t>
      </w:r>
      <w:r w:rsidRPr="00CA552A">
        <w:t>Please refer to the Guidance Document for details.</w:t>
      </w:r>
    </w:p>
    <w:p w14:paraId="03B5ED91" w14:textId="77777777" w:rsidR="00B737BF" w:rsidRDefault="00FD654A" w:rsidP="0053507A">
      <w:pPr>
        <w:tabs>
          <w:tab w:val="left" w:pos="6135"/>
        </w:tabs>
        <w:spacing w:before="240"/>
        <w:rPr>
          <w:rFonts w:cs="Calibri"/>
          <w:szCs w:val="22"/>
        </w:rPr>
        <w:sectPr w:rsidR="00B737BF" w:rsidSect="001F1670">
          <w:headerReference w:type="default" r:id="rId20"/>
          <w:pgSz w:w="12240" w:h="15840" w:code="1"/>
          <w:pgMar w:top="720" w:right="720" w:bottom="720" w:left="720" w:header="720" w:footer="432" w:gutter="0"/>
          <w:cols w:space="720"/>
          <w:docGrid w:linePitch="299"/>
        </w:sectPr>
      </w:pPr>
      <w:r w:rsidRPr="0097291F">
        <w:rPr>
          <w:rFonts w:cs="Calibri"/>
          <w:b/>
          <w:sz w:val="24"/>
          <w:szCs w:val="28"/>
        </w:rPr>
        <w:t>Space for Notes:</w:t>
      </w:r>
      <w:r w:rsidR="0053507A" w:rsidRPr="00FB0010">
        <w:rPr>
          <w:rFonts w:cs="Calibri"/>
          <w:szCs w:val="22"/>
        </w:rPr>
        <w:t xml:space="preserve"> </w:t>
      </w:r>
    </w:p>
    <w:p w14:paraId="0A156E0E" w14:textId="265627FA" w:rsidR="00371DF6" w:rsidRPr="00371DF6" w:rsidRDefault="00D64001" w:rsidP="00371DF6">
      <w:pPr>
        <w:pStyle w:val="Heading2"/>
        <w:jc w:val="center"/>
      </w:pPr>
      <w:r w:rsidRPr="00D64001">
        <w:lastRenderedPageBreak/>
        <w:t>School Facility Score Summary 202</w:t>
      </w:r>
      <w:r w:rsidR="003A3447">
        <w:t>4</w:t>
      </w:r>
      <w:r w:rsidRPr="00D64001">
        <w:t>-202</w:t>
      </w:r>
      <w:r w:rsidR="003A3447">
        <w:t>5</w:t>
      </w:r>
    </w:p>
    <w:p w14:paraId="2D770CD0" w14:textId="78A51204" w:rsidR="00371DF6" w:rsidRPr="00F54C65" w:rsidRDefault="00AD4BDD" w:rsidP="00F54C65">
      <w:pPr>
        <w:pStyle w:val="Important"/>
        <w:spacing w:after="240"/>
      </w:pPr>
      <w:r w:rsidRPr="001F6A74">
        <w:rPr>
          <w:b/>
          <w:bCs/>
        </w:rPr>
        <w:t xml:space="preserve">Note: </w:t>
      </w:r>
      <w:r w:rsidRPr="001F6A74">
        <w:t>This form must be signed and dated.</w:t>
      </w:r>
    </w:p>
    <w:tbl>
      <w:tblPr>
        <w:tblStyle w:val="TableGrid"/>
        <w:tblW w:w="10981" w:type="dxa"/>
        <w:tblInd w:w="-95" w:type="dxa"/>
        <w:tblLayout w:type="fixed"/>
        <w:tblLook w:val="0020" w:firstRow="1" w:lastRow="0" w:firstColumn="0" w:lastColumn="0" w:noHBand="0" w:noVBand="0"/>
      </w:tblPr>
      <w:tblGrid>
        <w:gridCol w:w="6114"/>
        <w:gridCol w:w="2478"/>
        <w:gridCol w:w="2389"/>
      </w:tblGrid>
      <w:tr w:rsidR="00461068" w:rsidRPr="00366B29" w14:paraId="120001D1" w14:textId="77777777" w:rsidTr="001F6A74">
        <w:trPr>
          <w:trHeight w:val="292"/>
        </w:trPr>
        <w:tc>
          <w:tcPr>
            <w:tcW w:w="6114" w:type="dxa"/>
            <w:shd w:val="clear" w:color="auto" w:fill="F2F2F2" w:themeFill="background1" w:themeFillShade="F2"/>
          </w:tcPr>
          <w:p w14:paraId="3694864F" w14:textId="13BFF681" w:rsidR="00461068" w:rsidRPr="00371DF6" w:rsidRDefault="00461068" w:rsidP="00FE6F48">
            <w:pPr>
              <w:tabs>
                <w:tab w:val="num" w:pos="450"/>
              </w:tabs>
              <w:ind w:left="540" w:hanging="360"/>
              <w:jc w:val="right"/>
              <w:rPr>
                <w:rFonts w:cs="Calibri"/>
                <w:b/>
                <w:sz w:val="26"/>
                <w:szCs w:val="26"/>
              </w:rPr>
            </w:pPr>
            <w:r w:rsidRPr="00371DF6">
              <w:rPr>
                <w:rFonts w:cs="Calibri"/>
                <w:b/>
                <w:sz w:val="26"/>
                <w:szCs w:val="26"/>
              </w:rPr>
              <w:t xml:space="preserve">Scoring Sections </w:t>
            </w:r>
          </w:p>
        </w:tc>
        <w:tc>
          <w:tcPr>
            <w:tcW w:w="2478" w:type="dxa"/>
            <w:shd w:val="clear" w:color="auto" w:fill="F2F2F2" w:themeFill="background1" w:themeFillShade="F2"/>
          </w:tcPr>
          <w:p w14:paraId="7AF15E3C" w14:textId="77777777" w:rsidR="00461068" w:rsidRPr="00371DF6" w:rsidRDefault="00461068" w:rsidP="00FE6F48">
            <w:pPr>
              <w:tabs>
                <w:tab w:val="num" w:pos="450"/>
              </w:tabs>
              <w:ind w:left="540" w:hanging="360"/>
              <w:jc w:val="center"/>
              <w:rPr>
                <w:rFonts w:cs="Calibri"/>
                <w:b/>
                <w:sz w:val="26"/>
                <w:szCs w:val="26"/>
              </w:rPr>
            </w:pPr>
            <w:r w:rsidRPr="00371DF6">
              <w:rPr>
                <w:rFonts w:cs="Calibri"/>
                <w:b/>
                <w:sz w:val="26"/>
                <w:szCs w:val="26"/>
              </w:rPr>
              <w:t>100% Section A</w:t>
            </w:r>
          </w:p>
        </w:tc>
        <w:tc>
          <w:tcPr>
            <w:tcW w:w="2389" w:type="dxa"/>
            <w:shd w:val="clear" w:color="auto" w:fill="F2F2F2" w:themeFill="background1" w:themeFillShade="F2"/>
          </w:tcPr>
          <w:p w14:paraId="18B92653" w14:textId="77777777" w:rsidR="00461068" w:rsidRPr="00371DF6" w:rsidRDefault="00461068" w:rsidP="00FE6F48">
            <w:pPr>
              <w:tabs>
                <w:tab w:val="num" w:pos="450"/>
              </w:tabs>
              <w:ind w:left="540" w:hanging="360"/>
              <w:jc w:val="center"/>
              <w:rPr>
                <w:rFonts w:cs="Calibri"/>
                <w:b/>
                <w:sz w:val="26"/>
                <w:szCs w:val="26"/>
              </w:rPr>
            </w:pPr>
            <w:r w:rsidRPr="00371DF6">
              <w:rPr>
                <w:rFonts w:cs="Calibri"/>
                <w:b/>
                <w:sz w:val="26"/>
                <w:szCs w:val="26"/>
              </w:rPr>
              <w:t>80% Section B</w:t>
            </w:r>
          </w:p>
        </w:tc>
      </w:tr>
      <w:tr w:rsidR="00461068" w:rsidRPr="00FC56D2" w14:paraId="00D611D9" w14:textId="77777777" w:rsidTr="001F6A74">
        <w:trPr>
          <w:trHeight w:val="507"/>
        </w:trPr>
        <w:tc>
          <w:tcPr>
            <w:tcW w:w="6114" w:type="dxa"/>
          </w:tcPr>
          <w:p w14:paraId="2552633A" w14:textId="77777777" w:rsidR="00461068" w:rsidRPr="00371DF6" w:rsidRDefault="00461068" w:rsidP="00FE6F48">
            <w:pPr>
              <w:tabs>
                <w:tab w:val="left" w:pos="-480"/>
                <w:tab w:val="left" w:pos="0"/>
                <w:tab w:val="left" w:pos="420"/>
                <w:tab w:val="num" w:pos="450"/>
                <w:tab w:val="left" w:pos="1440"/>
              </w:tabs>
              <w:spacing w:before="100" w:beforeAutospacing="1" w:line="228" w:lineRule="exact"/>
              <w:ind w:left="540" w:hanging="360"/>
              <w:jc w:val="right"/>
              <w:rPr>
                <w:rFonts w:cs="Calibri"/>
                <w:b/>
                <w:sz w:val="26"/>
                <w:szCs w:val="26"/>
              </w:rPr>
            </w:pPr>
            <w:r w:rsidRPr="00371DF6">
              <w:rPr>
                <w:rFonts w:cs="Calibri"/>
                <w:b/>
                <w:sz w:val="26"/>
                <w:szCs w:val="26"/>
              </w:rPr>
              <w:t>Maximum # of Compliant Questions:</w:t>
            </w:r>
          </w:p>
        </w:tc>
        <w:tc>
          <w:tcPr>
            <w:tcW w:w="2478" w:type="dxa"/>
          </w:tcPr>
          <w:p w14:paraId="64B579AA" w14:textId="77777777" w:rsidR="00461068" w:rsidRPr="00371DF6" w:rsidRDefault="00461068" w:rsidP="00FE6F48">
            <w:pPr>
              <w:tabs>
                <w:tab w:val="num" w:pos="450"/>
              </w:tabs>
              <w:spacing w:before="100" w:beforeAutospacing="1"/>
              <w:ind w:left="540" w:hanging="360"/>
              <w:jc w:val="center"/>
              <w:rPr>
                <w:rFonts w:cs="Calibri"/>
                <w:b/>
                <w:sz w:val="26"/>
                <w:szCs w:val="26"/>
              </w:rPr>
            </w:pPr>
            <w:r w:rsidRPr="00371DF6">
              <w:rPr>
                <w:rFonts w:cs="Calibri"/>
                <w:b/>
                <w:sz w:val="26"/>
                <w:szCs w:val="26"/>
              </w:rPr>
              <w:t>25</w:t>
            </w:r>
          </w:p>
        </w:tc>
        <w:tc>
          <w:tcPr>
            <w:tcW w:w="2389" w:type="dxa"/>
          </w:tcPr>
          <w:p w14:paraId="2109678B" w14:textId="77777777" w:rsidR="00461068" w:rsidRPr="00371DF6" w:rsidRDefault="00461068" w:rsidP="00FE6F48">
            <w:pPr>
              <w:tabs>
                <w:tab w:val="num" w:pos="450"/>
              </w:tabs>
              <w:spacing w:before="100" w:beforeAutospacing="1"/>
              <w:ind w:left="540" w:hanging="360"/>
              <w:jc w:val="center"/>
              <w:rPr>
                <w:rFonts w:cs="Calibri"/>
                <w:b/>
                <w:sz w:val="26"/>
                <w:szCs w:val="26"/>
              </w:rPr>
            </w:pPr>
            <w:r w:rsidRPr="00371DF6">
              <w:rPr>
                <w:rFonts w:cs="Calibri"/>
                <w:b/>
                <w:sz w:val="26"/>
                <w:szCs w:val="26"/>
              </w:rPr>
              <w:t>34</w:t>
            </w:r>
          </w:p>
        </w:tc>
      </w:tr>
    </w:tbl>
    <w:p w14:paraId="7BF0BF2C" w14:textId="78658EB3" w:rsidR="00AD4BDD" w:rsidRPr="00A2735E" w:rsidRDefault="00A2735E" w:rsidP="00A2735E">
      <w:pPr>
        <w:pStyle w:val="Heading3"/>
      </w:pPr>
      <w:r>
        <w:t>100% Section A Compliance</w:t>
      </w:r>
    </w:p>
    <w:p w14:paraId="018DD7B8" w14:textId="77777777" w:rsidR="00D411EF" w:rsidRDefault="00D411EF" w:rsidP="00A2735E">
      <w:pPr>
        <w:rPr>
          <w:b/>
          <w:bCs/>
        </w:rPr>
        <w:sectPr w:rsidR="00D411EF" w:rsidSect="001F1670">
          <w:headerReference w:type="default" r:id="rId21"/>
          <w:pgSz w:w="12240" w:h="15840" w:code="1"/>
          <w:pgMar w:top="720" w:right="720" w:bottom="720" w:left="720" w:header="720" w:footer="432" w:gutter="0"/>
          <w:cols w:space="720"/>
          <w:docGrid w:linePitch="299"/>
        </w:sectPr>
      </w:pPr>
    </w:p>
    <w:tbl>
      <w:tblPr>
        <w:tblStyle w:val="TableGrid"/>
        <w:tblW w:w="0" w:type="auto"/>
        <w:tblInd w:w="-95" w:type="dxa"/>
        <w:tblCellMar>
          <w:top w:w="43" w:type="dxa"/>
          <w:left w:w="115" w:type="dxa"/>
          <w:bottom w:w="86" w:type="dxa"/>
          <w:right w:w="115" w:type="dxa"/>
        </w:tblCellMar>
        <w:tblLook w:val="0420" w:firstRow="1" w:lastRow="0" w:firstColumn="0" w:lastColumn="0" w:noHBand="0" w:noVBand="1"/>
      </w:tblPr>
      <w:tblGrid>
        <w:gridCol w:w="3923"/>
        <w:gridCol w:w="935"/>
      </w:tblGrid>
      <w:tr w:rsidR="00A2735E" w:rsidRPr="00371DF6" w14:paraId="62CBCE27" w14:textId="77777777" w:rsidTr="003270F4">
        <w:trPr>
          <w:trHeight w:val="128"/>
          <w:tblHeader/>
        </w:trPr>
        <w:tc>
          <w:tcPr>
            <w:tcW w:w="3923" w:type="dxa"/>
            <w:tcBorders>
              <w:right w:val="single" w:sz="4" w:space="0" w:color="FFFFFF" w:themeColor="background1"/>
            </w:tcBorders>
            <w:shd w:val="clear" w:color="auto" w:fill="000000" w:themeFill="text1"/>
          </w:tcPr>
          <w:p w14:paraId="61DBFD70" w14:textId="212773AF" w:rsidR="00A2735E" w:rsidRPr="00371DF6" w:rsidRDefault="00A2735E" w:rsidP="00A2735E">
            <w:pPr>
              <w:rPr>
                <w:b/>
                <w:bCs/>
              </w:rPr>
            </w:pPr>
            <w:r w:rsidRPr="00371DF6">
              <w:rPr>
                <w:b/>
                <w:bCs/>
              </w:rPr>
              <w:t>100% Section A Compliance</w:t>
            </w:r>
          </w:p>
        </w:tc>
        <w:tc>
          <w:tcPr>
            <w:tcW w:w="935" w:type="dxa"/>
            <w:tcBorders>
              <w:left w:val="single" w:sz="4" w:space="0" w:color="FFFFFF" w:themeColor="background1"/>
            </w:tcBorders>
            <w:shd w:val="clear" w:color="auto" w:fill="000000" w:themeFill="text1"/>
          </w:tcPr>
          <w:p w14:paraId="4F96AF31" w14:textId="53D6A742" w:rsidR="00A2735E" w:rsidRPr="00371DF6" w:rsidRDefault="00A2735E" w:rsidP="00A2735E">
            <w:pPr>
              <w:rPr>
                <w:b/>
                <w:bCs/>
              </w:rPr>
            </w:pPr>
            <w:r w:rsidRPr="00371DF6">
              <w:rPr>
                <w:b/>
                <w:bCs/>
              </w:rPr>
              <w:t>Score</w:t>
            </w:r>
          </w:p>
        </w:tc>
      </w:tr>
      <w:tr w:rsidR="00A2735E" w:rsidRPr="00371DF6" w14:paraId="5BCFFC8E" w14:textId="77777777" w:rsidTr="001F6A74">
        <w:trPr>
          <w:trHeight w:val="422"/>
        </w:trPr>
        <w:tc>
          <w:tcPr>
            <w:tcW w:w="3923" w:type="dxa"/>
          </w:tcPr>
          <w:p w14:paraId="3FB0A8D3" w14:textId="44957D8D" w:rsidR="00A2735E" w:rsidRPr="00371DF6" w:rsidRDefault="00A2735E" w:rsidP="00A2735E">
            <w:r w:rsidRPr="00371DF6">
              <w:t xml:space="preserve">Number of </w:t>
            </w:r>
            <w:r w:rsidRPr="00371DF6">
              <w:rPr>
                <w:b/>
                <w:bCs/>
              </w:rPr>
              <w:t>No</w:t>
            </w:r>
            <w:r w:rsidRPr="00371DF6">
              <w:t xml:space="preserve"> Reponses in Section A</w:t>
            </w:r>
          </w:p>
        </w:tc>
        <w:tc>
          <w:tcPr>
            <w:tcW w:w="935" w:type="dxa"/>
          </w:tcPr>
          <w:p w14:paraId="77498DC0" w14:textId="77777777" w:rsidR="00A2735E" w:rsidRPr="00371DF6" w:rsidRDefault="00A2735E" w:rsidP="00A2735E"/>
        </w:tc>
      </w:tr>
    </w:tbl>
    <w:p w14:paraId="569A23B3" w14:textId="7A0032EA" w:rsidR="00A2735E" w:rsidRPr="00371DF6" w:rsidRDefault="00A2735E" w:rsidP="00D411EF">
      <w:pPr>
        <w:rPr>
          <w:sz w:val="20"/>
          <w:szCs w:val="18"/>
        </w:rPr>
      </w:pPr>
    </w:p>
    <w:tbl>
      <w:tblPr>
        <w:tblStyle w:val="TableGrid"/>
        <w:tblW w:w="5403" w:type="dxa"/>
        <w:tblCellMar>
          <w:top w:w="43" w:type="dxa"/>
          <w:left w:w="115" w:type="dxa"/>
          <w:bottom w:w="86" w:type="dxa"/>
          <w:right w:w="115" w:type="dxa"/>
        </w:tblCellMar>
        <w:tblLook w:val="0420" w:firstRow="1" w:lastRow="0" w:firstColumn="0" w:lastColumn="0" w:noHBand="0" w:noVBand="1"/>
      </w:tblPr>
      <w:tblGrid>
        <w:gridCol w:w="4045"/>
        <w:gridCol w:w="1358"/>
      </w:tblGrid>
      <w:tr w:rsidR="00665F6A" w:rsidRPr="00371DF6" w14:paraId="090FF711" w14:textId="77777777" w:rsidTr="003270F4">
        <w:trPr>
          <w:trHeight w:val="343"/>
          <w:tblHeader/>
        </w:trPr>
        <w:tc>
          <w:tcPr>
            <w:tcW w:w="4045" w:type="dxa"/>
            <w:tcBorders>
              <w:right w:val="single" w:sz="4" w:space="0" w:color="FFFFFF" w:themeColor="background1"/>
            </w:tcBorders>
            <w:shd w:val="clear" w:color="auto" w:fill="000000" w:themeFill="text1"/>
          </w:tcPr>
          <w:p w14:paraId="64E7BB10" w14:textId="79A90E9F" w:rsidR="00D411EF" w:rsidRPr="00371DF6" w:rsidRDefault="00D411EF" w:rsidP="00FE6F48">
            <w:pPr>
              <w:rPr>
                <w:b/>
                <w:bCs/>
              </w:rPr>
            </w:pPr>
            <w:r w:rsidRPr="00371DF6">
              <w:rPr>
                <w:b/>
                <w:bCs/>
              </w:rPr>
              <w:t xml:space="preserve">NJQSAC Fiscal DPR </w:t>
            </w:r>
            <w:r w:rsidRPr="00371DF6">
              <w:rPr>
                <w:b/>
                <w:bCs/>
              </w:rPr>
              <w:br/>
            </w:r>
            <w:r w:rsidR="003270F4">
              <w:rPr>
                <w:b/>
                <w:bCs/>
              </w:rPr>
              <w:t>(</w:t>
            </w:r>
            <w:r w:rsidRPr="003270F4">
              <w:rPr>
                <w:b/>
                <w:bCs/>
              </w:rPr>
              <w:t>All items are compliant in building</w:t>
            </w:r>
            <w:r w:rsidR="003270F4">
              <w:rPr>
                <w:b/>
                <w:bCs/>
              </w:rPr>
              <w:t>)</w:t>
            </w:r>
          </w:p>
        </w:tc>
        <w:tc>
          <w:tcPr>
            <w:tcW w:w="1358" w:type="dxa"/>
            <w:tcBorders>
              <w:left w:val="single" w:sz="4" w:space="0" w:color="FFFFFF" w:themeColor="background1"/>
            </w:tcBorders>
            <w:shd w:val="clear" w:color="auto" w:fill="000000" w:themeFill="text1"/>
          </w:tcPr>
          <w:p w14:paraId="29003C24" w14:textId="3EF32798" w:rsidR="00D411EF" w:rsidRPr="00371DF6" w:rsidRDefault="00B70357" w:rsidP="00FE6F48">
            <w:pPr>
              <w:rPr>
                <w:b/>
                <w:bCs/>
              </w:rPr>
            </w:pPr>
            <w:r>
              <w:rPr>
                <w:b/>
                <w:bCs/>
              </w:rPr>
              <w:t>Must s</w:t>
            </w:r>
            <w:r w:rsidR="00D411EF" w:rsidRPr="00371DF6">
              <w:rPr>
                <w:b/>
                <w:bCs/>
              </w:rPr>
              <w:t>elect one (</w:t>
            </w:r>
            <w:r w:rsidR="00D411EF" w:rsidRPr="00371DF6">
              <w:rPr>
                <w:rFonts w:ascii="Segoe UI Symbol" w:hAnsi="Segoe UI Symbol" w:cs="Segoe UI Symbol"/>
                <w:b/>
                <w:bCs/>
              </w:rPr>
              <w:t>✓)</w:t>
            </w:r>
          </w:p>
        </w:tc>
      </w:tr>
      <w:tr w:rsidR="00665F6A" w:rsidRPr="00371DF6" w14:paraId="25B70475" w14:textId="77777777" w:rsidTr="00665F6A">
        <w:trPr>
          <w:trHeight w:val="166"/>
        </w:trPr>
        <w:tc>
          <w:tcPr>
            <w:tcW w:w="4045" w:type="dxa"/>
          </w:tcPr>
          <w:p w14:paraId="4485ED50" w14:textId="42A62734" w:rsidR="00D411EF" w:rsidRPr="00371DF6" w:rsidRDefault="00D411EF" w:rsidP="00FE6F48">
            <w:r w:rsidRPr="00371DF6">
              <w:rPr>
                <w:b/>
                <w:bCs/>
              </w:rPr>
              <w:t>Compliant</w:t>
            </w:r>
            <w:r w:rsidR="0031232C" w:rsidRPr="00371DF6">
              <w:rPr>
                <w:b/>
                <w:bCs/>
              </w:rPr>
              <w:t xml:space="preserve"> </w:t>
            </w:r>
            <w:r w:rsidR="0031232C" w:rsidRPr="00371DF6">
              <w:t>(no exceptions)</w:t>
            </w:r>
          </w:p>
        </w:tc>
        <w:tc>
          <w:tcPr>
            <w:tcW w:w="1358" w:type="dxa"/>
          </w:tcPr>
          <w:p w14:paraId="60EE015C" w14:textId="77777777" w:rsidR="00D411EF" w:rsidRPr="00371DF6" w:rsidRDefault="00D411EF" w:rsidP="00FE6F48"/>
        </w:tc>
      </w:tr>
      <w:tr w:rsidR="00665F6A" w:rsidRPr="00371DF6" w14:paraId="70E876EE" w14:textId="77777777" w:rsidTr="00665F6A">
        <w:trPr>
          <w:trHeight w:val="166"/>
        </w:trPr>
        <w:tc>
          <w:tcPr>
            <w:tcW w:w="4045" w:type="dxa"/>
          </w:tcPr>
          <w:p w14:paraId="7932D4C4" w14:textId="77777777" w:rsidR="00D411EF" w:rsidRPr="001F6A74" w:rsidRDefault="00D411EF" w:rsidP="00FE6F48">
            <w:pPr>
              <w:rPr>
                <w:b/>
                <w:bCs/>
              </w:rPr>
            </w:pPr>
            <w:r w:rsidRPr="001F6A74">
              <w:rPr>
                <w:b/>
                <w:bCs/>
              </w:rPr>
              <w:t>Non-compliant</w:t>
            </w:r>
          </w:p>
          <w:p w14:paraId="2E19625C" w14:textId="77777777" w:rsidR="00D411EF" w:rsidRPr="00371DF6" w:rsidRDefault="00D411EF" w:rsidP="00FE6F48">
            <w:r w:rsidRPr="00371DF6">
              <w:t xml:space="preserve">(Section is non-compliant with </w:t>
            </w:r>
            <w:r w:rsidRPr="00A33AA6">
              <w:rPr>
                <w:i/>
                <w:iCs/>
              </w:rPr>
              <w:t>any</w:t>
            </w:r>
            <w:r w:rsidRPr="00371DF6">
              <w:t xml:space="preserve"> exceptions. Corrective action needed).</w:t>
            </w:r>
          </w:p>
        </w:tc>
        <w:tc>
          <w:tcPr>
            <w:tcW w:w="1358" w:type="dxa"/>
          </w:tcPr>
          <w:p w14:paraId="1EDF2057" w14:textId="77777777" w:rsidR="00D411EF" w:rsidRPr="00371DF6" w:rsidRDefault="00D411EF" w:rsidP="00FE6F48"/>
        </w:tc>
      </w:tr>
    </w:tbl>
    <w:p w14:paraId="4DA4680A" w14:textId="77777777" w:rsidR="00D411EF" w:rsidRPr="00371DF6" w:rsidRDefault="00D411EF" w:rsidP="00E71B68">
      <w:pPr>
        <w:rPr>
          <w:sz w:val="20"/>
          <w:szCs w:val="18"/>
        </w:rPr>
        <w:sectPr w:rsidR="00D411EF" w:rsidRPr="00371DF6" w:rsidSect="00D411EF">
          <w:type w:val="continuous"/>
          <w:pgSz w:w="12240" w:h="15840" w:code="1"/>
          <w:pgMar w:top="720" w:right="720" w:bottom="720" w:left="720" w:header="720" w:footer="432" w:gutter="0"/>
          <w:cols w:num="2" w:space="432" w:equalWidth="0">
            <w:col w:w="5040" w:space="432"/>
            <w:col w:w="5328"/>
          </w:cols>
          <w:docGrid w:linePitch="299"/>
        </w:sectPr>
      </w:pPr>
    </w:p>
    <w:p w14:paraId="0DBEEEB3" w14:textId="5DBDE3B9" w:rsidR="00E71B68" w:rsidRPr="006664CB" w:rsidRDefault="00D411EF" w:rsidP="00D411EF">
      <w:pPr>
        <w:pStyle w:val="Heading3"/>
      </w:pPr>
      <w:r w:rsidRPr="006664CB">
        <w:t>80% Section B Compliance</w:t>
      </w:r>
    </w:p>
    <w:p w14:paraId="13CC3BE3" w14:textId="77777777" w:rsidR="0031232C" w:rsidRPr="00371DF6" w:rsidRDefault="0031232C" w:rsidP="00FE6F48">
      <w:pPr>
        <w:rPr>
          <w:b/>
          <w:bCs/>
          <w:sz w:val="20"/>
          <w:szCs w:val="18"/>
        </w:rPr>
        <w:sectPr w:rsidR="0031232C" w:rsidRPr="00371DF6" w:rsidSect="00D411EF">
          <w:type w:val="continuous"/>
          <w:pgSz w:w="12240" w:h="15840" w:code="1"/>
          <w:pgMar w:top="720" w:right="720" w:bottom="720" w:left="720" w:header="720" w:footer="432" w:gutter="0"/>
          <w:cols w:space="720"/>
          <w:docGrid w:linePitch="299"/>
        </w:sectPr>
      </w:pPr>
    </w:p>
    <w:tbl>
      <w:tblPr>
        <w:tblStyle w:val="TableGrid"/>
        <w:tblW w:w="0" w:type="auto"/>
        <w:tblInd w:w="-95" w:type="dxa"/>
        <w:tblCellMar>
          <w:top w:w="43" w:type="dxa"/>
          <w:left w:w="115" w:type="dxa"/>
          <w:bottom w:w="86" w:type="dxa"/>
          <w:right w:w="115" w:type="dxa"/>
        </w:tblCellMar>
        <w:tblLook w:val="0420" w:firstRow="1" w:lastRow="0" w:firstColumn="0" w:lastColumn="0" w:noHBand="0" w:noVBand="1"/>
      </w:tblPr>
      <w:tblGrid>
        <w:gridCol w:w="3778"/>
        <w:gridCol w:w="899"/>
      </w:tblGrid>
      <w:tr w:rsidR="00D411EF" w:rsidRPr="00371DF6" w14:paraId="6D330FCF" w14:textId="77777777" w:rsidTr="003270F4">
        <w:trPr>
          <w:trHeight w:val="97"/>
          <w:tblHeader/>
        </w:trPr>
        <w:tc>
          <w:tcPr>
            <w:tcW w:w="3778" w:type="dxa"/>
            <w:tcBorders>
              <w:right w:val="single" w:sz="4" w:space="0" w:color="FFFFFF" w:themeColor="background1"/>
            </w:tcBorders>
            <w:shd w:val="clear" w:color="auto" w:fill="000000" w:themeFill="text1"/>
          </w:tcPr>
          <w:p w14:paraId="0E7A2ABC" w14:textId="42495EF2" w:rsidR="00D411EF" w:rsidRPr="00371DF6" w:rsidRDefault="00D411EF" w:rsidP="00FE6F48">
            <w:pPr>
              <w:rPr>
                <w:b/>
                <w:bCs/>
              </w:rPr>
            </w:pPr>
            <w:r w:rsidRPr="00371DF6">
              <w:rPr>
                <w:b/>
                <w:bCs/>
              </w:rPr>
              <w:t>80% Section B Compliance</w:t>
            </w:r>
          </w:p>
        </w:tc>
        <w:tc>
          <w:tcPr>
            <w:tcW w:w="899" w:type="dxa"/>
            <w:tcBorders>
              <w:left w:val="single" w:sz="4" w:space="0" w:color="FFFFFF" w:themeColor="background1"/>
            </w:tcBorders>
            <w:shd w:val="clear" w:color="auto" w:fill="000000" w:themeFill="text1"/>
          </w:tcPr>
          <w:p w14:paraId="7FC6157B" w14:textId="77777777" w:rsidR="00D411EF" w:rsidRPr="00371DF6" w:rsidRDefault="00D411EF" w:rsidP="00FE6F48">
            <w:pPr>
              <w:rPr>
                <w:b/>
                <w:bCs/>
              </w:rPr>
            </w:pPr>
            <w:r w:rsidRPr="00371DF6">
              <w:rPr>
                <w:b/>
                <w:bCs/>
              </w:rPr>
              <w:t>Score</w:t>
            </w:r>
          </w:p>
        </w:tc>
      </w:tr>
      <w:tr w:rsidR="00D411EF" w:rsidRPr="00371DF6" w14:paraId="71F2467B" w14:textId="77777777" w:rsidTr="001F6A74">
        <w:trPr>
          <w:trHeight w:val="321"/>
        </w:trPr>
        <w:tc>
          <w:tcPr>
            <w:tcW w:w="3778" w:type="dxa"/>
          </w:tcPr>
          <w:p w14:paraId="5AF2696A" w14:textId="14D4E671" w:rsidR="00D411EF" w:rsidRPr="00371DF6" w:rsidRDefault="00D411EF" w:rsidP="00FE6F48">
            <w:r w:rsidRPr="00371DF6">
              <w:t xml:space="preserve">A. Number of </w:t>
            </w:r>
            <w:r w:rsidRPr="00371DF6">
              <w:rPr>
                <w:b/>
                <w:bCs/>
              </w:rPr>
              <w:t>Yes</w:t>
            </w:r>
            <w:r w:rsidRPr="00371DF6">
              <w:t xml:space="preserve"> Responses</w:t>
            </w:r>
          </w:p>
        </w:tc>
        <w:tc>
          <w:tcPr>
            <w:tcW w:w="899" w:type="dxa"/>
          </w:tcPr>
          <w:p w14:paraId="20C2F308" w14:textId="77777777" w:rsidR="00D411EF" w:rsidRPr="00371DF6" w:rsidRDefault="00D411EF" w:rsidP="00FE6F48"/>
        </w:tc>
      </w:tr>
      <w:tr w:rsidR="00D411EF" w:rsidRPr="00371DF6" w14:paraId="1DE4387C" w14:textId="77777777" w:rsidTr="001F6A74">
        <w:trPr>
          <w:trHeight w:val="321"/>
        </w:trPr>
        <w:tc>
          <w:tcPr>
            <w:tcW w:w="3778" w:type="dxa"/>
          </w:tcPr>
          <w:p w14:paraId="14028264" w14:textId="273736EA" w:rsidR="00D411EF" w:rsidRPr="00371DF6" w:rsidRDefault="00D411EF" w:rsidP="00FE6F48">
            <w:r w:rsidRPr="00371DF6">
              <w:t xml:space="preserve">B. Number of </w:t>
            </w:r>
            <w:r w:rsidRPr="00371DF6">
              <w:rPr>
                <w:b/>
                <w:bCs/>
              </w:rPr>
              <w:t>No</w:t>
            </w:r>
            <w:r w:rsidRPr="00371DF6">
              <w:t xml:space="preserve"> Responses</w:t>
            </w:r>
          </w:p>
        </w:tc>
        <w:tc>
          <w:tcPr>
            <w:tcW w:w="899" w:type="dxa"/>
          </w:tcPr>
          <w:p w14:paraId="3F50E815" w14:textId="77777777" w:rsidR="00D411EF" w:rsidRPr="00371DF6" w:rsidRDefault="00D411EF" w:rsidP="00FE6F48"/>
        </w:tc>
      </w:tr>
      <w:tr w:rsidR="00D411EF" w:rsidRPr="00371DF6" w14:paraId="29D9F9D0" w14:textId="77777777" w:rsidTr="001F6A74">
        <w:trPr>
          <w:trHeight w:val="321"/>
        </w:trPr>
        <w:tc>
          <w:tcPr>
            <w:tcW w:w="3778" w:type="dxa"/>
          </w:tcPr>
          <w:p w14:paraId="37C1B864" w14:textId="329E9F07" w:rsidR="00D411EF" w:rsidRPr="00371DF6" w:rsidRDefault="00D411EF" w:rsidP="00FE6F48">
            <w:r w:rsidRPr="00371DF6">
              <w:t xml:space="preserve">C. Subtotal </w:t>
            </w:r>
            <w:r w:rsidRPr="00371DF6">
              <w:rPr>
                <w:b/>
                <w:bCs/>
              </w:rPr>
              <w:t>[A + B]</w:t>
            </w:r>
          </w:p>
        </w:tc>
        <w:tc>
          <w:tcPr>
            <w:tcW w:w="899" w:type="dxa"/>
          </w:tcPr>
          <w:p w14:paraId="1DCBADDF" w14:textId="77777777" w:rsidR="00D411EF" w:rsidRPr="00371DF6" w:rsidRDefault="00D411EF" w:rsidP="00FE6F48"/>
        </w:tc>
      </w:tr>
      <w:tr w:rsidR="00D411EF" w:rsidRPr="00371DF6" w14:paraId="663DF9D3" w14:textId="77777777" w:rsidTr="001F6A74">
        <w:trPr>
          <w:trHeight w:val="321"/>
        </w:trPr>
        <w:tc>
          <w:tcPr>
            <w:tcW w:w="3778" w:type="dxa"/>
          </w:tcPr>
          <w:p w14:paraId="2F0D6F54" w14:textId="00E5F9AB" w:rsidR="00D411EF" w:rsidRPr="00371DF6" w:rsidRDefault="00D411EF" w:rsidP="00FE6F48">
            <w:r w:rsidRPr="00371DF6">
              <w:t>D. Multiply [</w:t>
            </w:r>
            <w:r w:rsidRPr="00371DF6">
              <w:rPr>
                <w:b/>
                <w:bCs/>
              </w:rPr>
              <w:t xml:space="preserve">(C) </w:t>
            </w:r>
            <w:r w:rsidRPr="00371DF6">
              <w:t>× 80%]</w:t>
            </w:r>
          </w:p>
        </w:tc>
        <w:tc>
          <w:tcPr>
            <w:tcW w:w="899" w:type="dxa"/>
          </w:tcPr>
          <w:p w14:paraId="3174BB30" w14:textId="77777777" w:rsidR="00D411EF" w:rsidRPr="00371DF6" w:rsidRDefault="00D411EF" w:rsidP="00FE6F48"/>
        </w:tc>
      </w:tr>
    </w:tbl>
    <w:p w14:paraId="58D61150" w14:textId="7692CD81" w:rsidR="00D411EF" w:rsidRPr="00371DF6" w:rsidRDefault="00D411EF" w:rsidP="00D411EF">
      <w:pPr>
        <w:rPr>
          <w:sz w:val="20"/>
          <w:szCs w:val="18"/>
        </w:rPr>
      </w:pPr>
    </w:p>
    <w:tbl>
      <w:tblPr>
        <w:tblStyle w:val="TableGrid"/>
        <w:tblW w:w="5468" w:type="dxa"/>
        <w:tblInd w:w="-275" w:type="dxa"/>
        <w:tblCellMar>
          <w:top w:w="43" w:type="dxa"/>
          <w:left w:w="115" w:type="dxa"/>
          <w:bottom w:w="86" w:type="dxa"/>
          <w:right w:w="115" w:type="dxa"/>
        </w:tblCellMar>
        <w:tblLook w:val="0420" w:firstRow="1" w:lastRow="0" w:firstColumn="0" w:lastColumn="0" w:noHBand="0" w:noVBand="1"/>
      </w:tblPr>
      <w:tblGrid>
        <w:gridCol w:w="4054"/>
        <w:gridCol w:w="1414"/>
      </w:tblGrid>
      <w:tr w:rsidR="00D411EF" w:rsidRPr="00371DF6" w14:paraId="204FE716" w14:textId="77777777" w:rsidTr="003270F4">
        <w:trPr>
          <w:trHeight w:val="306"/>
          <w:tblHeader/>
        </w:trPr>
        <w:tc>
          <w:tcPr>
            <w:tcW w:w="4054" w:type="dxa"/>
            <w:tcBorders>
              <w:right w:val="single" w:sz="4" w:space="0" w:color="FFFFFF" w:themeColor="background1"/>
            </w:tcBorders>
            <w:shd w:val="clear" w:color="auto" w:fill="000000" w:themeFill="text1"/>
          </w:tcPr>
          <w:p w14:paraId="2D8FD060" w14:textId="27A46094" w:rsidR="00D411EF" w:rsidRPr="00371DF6" w:rsidRDefault="00D411EF" w:rsidP="00FE6F48">
            <w:pPr>
              <w:rPr>
                <w:b/>
                <w:bCs/>
              </w:rPr>
            </w:pPr>
            <w:r w:rsidRPr="00371DF6">
              <w:rPr>
                <w:b/>
                <w:bCs/>
              </w:rPr>
              <w:t xml:space="preserve">NJQSAC Fiscal DPR </w:t>
            </w:r>
            <w:r w:rsidRPr="00371DF6">
              <w:rPr>
                <w:b/>
                <w:bCs/>
              </w:rPr>
              <w:br/>
            </w:r>
            <w:r w:rsidR="003270F4">
              <w:rPr>
                <w:b/>
                <w:bCs/>
              </w:rPr>
              <w:t>(</w:t>
            </w:r>
            <w:r w:rsidRPr="003270F4">
              <w:rPr>
                <w:b/>
                <w:bCs/>
              </w:rPr>
              <w:t>At least 80% of items are</w:t>
            </w:r>
            <w:r w:rsidR="00625A20">
              <w:rPr>
                <w:b/>
                <w:bCs/>
              </w:rPr>
              <w:t xml:space="preserve"> compliant</w:t>
            </w:r>
            <w:r w:rsidRPr="003270F4">
              <w:rPr>
                <w:b/>
                <w:bCs/>
              </w:rPr>
              <w:t xml:space="preserve"> in the building</w:t>
            </w:r>
            <w:r w:rsidR="003270F4">
              <w:rPr>
                <w:b/>
                <w:bCs/>
              </w:rPr>
              <w:t>/buildings)</w:t>
            </w:r>
          </w:p>
        </w:tc>
        <w:tc>
          <w:tcPr>
            <w:tcW w:w="1414" w:type="dxa"/>
            <w:tcBorders>
              <w:left w:val="single" w:sz="4" w:space="0" w:color="FFFFFF" w:themeColor="background1"/>
            </w:tcBorders>
            <w:shd w:val="clear" w:color="auto" w:fill="000000" w:themeFill="text1"/>
          </w:tcPr>
          <w:p w14:paraId="0139C53A" w14:textId="4E4B47E6" w:rsidR="00D411EF" w:rsidRPr="00371DF6" w:rsidRDefault="00B70357" w:rsidP="00FE6F48">
            <w:pPr>
              <w:rPr>
                <w:b/>
                <w:bCs/>
              </w:rPr>
            </w:pPr>
            <w:r>
              <w:rPr>
                <w:b/>
                <w:bCs/>
              </w:rPr>
              <w:t>Must s</w:t>
            </w:r>
            <w:r w:rsidR="00D411EF" w:rsidRPr="00371DF6">
              <w:rPr>
                <w:b/>
                <w:bCs/>
              </w:rPr>
              <w:t>elect one (</w:t>
            </w:r>
            <w:r w:rsidR="00D411EF" w:rsidRPr="00371DF6">
              <w:rPr>
                <w:rFonts w:ascii="Segoe UI Symbol" w:hAnsi="Segoe UI Symbol" w:cs="Segoe UI Symbol"/>
                <w:b/>
                <w:bCs/>
              </w:rPr>
              <w:t>✓)</w:t>
            </w:r>
          </w:p>
        </w:tc>
      </w:tr>
      <w:tr w:rsidR="00D411EF" w:rsidRPr="00371DF6" w14:paraId="67272C59" w14:textId="77777777" w:rsidTr="00665F6A">
        <w:trPr>
          <w:trHeight w:val="148"/>
        </w:trPr>
        <w:tc>
          <w:tcPr>
            <w:tcW w:w="4054" w:type="dxa"/>
          </w:tcPr>
          <w:p w14:paraId="3461067E" w14:textId="057C617E" w:rsidR="00D411EF" w:rsidRPr="00371DF6" w:rsidRDefault="00D411EF" w:rsidP="00FE6F48">
            <w:r w:rsidRPr="00371DF6">
              <w:rPr>
                <w:b/>
                <w:bCs/>
              </w:rPr>
              <w:t>Compliant</w:t>
            </w:r>
            <w:r w:rsidR="0031232C" w:rsidRPr="00371DF6">
              <w:br/>
              <w:t>The school building passes if Line (A) is equal to or greater than Line (D)</w:t>
            </w:r>
          </w:p>
        </w:tc>
        <w:tc>
          <w:tcPr>
            <w:tcW w:w="1414" w:type="dxa"/>
          </w:tcPr>
          <w:p w14:paraId="0942EA67" w14:textId="77777777" w:rsidR="00D411EF" w:rsidRPr="00371DF6" w:rsidRDefault="00D411EF" w:rsidP="00FE6F48"/>
        </w:tc>
      </w:tr>
      <w:tr w:rsidR="00D411EF" w:rsidRPr="00371DF6" w14:paraId="7AA210EC" w14:textId="77777777" w:rsidTr="00665F6A">
        <w:trPr>
          <w:trHeight w:val="148"/>
        </w:trPr>
        <w:tc>
          <w:tcPr>
            <w:tcW w:w="4054" w:type="dxa"/>
          </w:tcPr>
          <w:p w14:paraId="64DD39FE" w14:textId="77777777" w:rsidR="00D411EF" w:rsidRPr="00371DF6" w:rsidRDefault="00D411EF" w:rsidP="00FE6F48">
            <w:pPr>
              <w:rPr>
                <w:b/>
                <w:bCs/>
              </w:rPr>
            </w:pPr>
            <w:r w:rsidRPr="00371DF6">
              <w:rPr>
                <w:b/>
                <w:bCs/>
              </w:rPr>
              <w:t>Non-compliant</w:t>
            </w:r>
          </w:p>
          <w:p w14:paraId="1606BDC3" w14:textId="1E441BFA" w:rsidR="00D411EF" w:rsidRPr="00371DF6" w:rsidRDefault="0031232C" w:rsidP="00FE6F48">
            <w:r w:rsidRPr="00371DF6">
              <w:t>The school building fails if Line (A) is less than Line (D). Corrective action is needed.</w:t>
            </w:r>
          </w:p>
        </w:tc>
        <w:tc>
          <w:tcPr>
            <w:tcW w:w="1414" w:type="dxa"/>
          </w:tcPr>
          <w:p w14:paraId="1BAA9851" w14:textId="77777777" w:rsidR="00D411EF" w:rsidRPr="00371DF6" w:rsidRDefault="00D411EF" w:rsidP="00FE6F48"/>
        </w:tc>
      </w:tr>
    </w:tbl>
    <w:p w14:paraId="4658CDE4" w14:textId="77777777" w:rsidR="0031232C" w:rsidRPr="00371DF6" w:rsidRDefault="0031232C" w:rsidP="00D411EF">
      <w:pPr>
        <w:rPr>
          <w:sz w:val="20"/>
          <w:szCs w:val="18"/>
        </w:rPr>
        <w:sectPr w:rsidR="0031232C" w:rsidRPr="00371DF6" w:rsidSect="0031232C">
          <w:type w:val="continuous"/>
          <w:pgSz w:w="12240" w:h="15840" w:code="1"/>
          <w:pgMar w:top="720" w:right="720" w:bottom="720" w:left="720" w:header="720" w:footer="432" w:gutter="0"/>
          <w:cols w:num="2" w:space="720"/>
          <w:docGrid w:linePitch="299"/>
        </w:sectPr>
      </w:pPr>
    </w:p>
    <w:p w14:paraId="76D8FAC3" w14:textId="6FB10C33" w:rsidR="00B737BF" w:rsidRDefault="0031232C" w:rsidP="00D46D59">
      <w:pPr>
        <w:pStyle w:val="Heading3"/>
        <w:pBdr>
          <w:top w:val="double" w:sz="4" w:space="4" w:color="auto"/>
          <w:left w:val="double" w:sz="4" w:space="4" w:color="auto"/>
          <w:bottom w:val="double" w:sz="4" w:space="4" w:color="auto"/>
          <w:right w:val="double" w:sz="4" w:space="4" w:color="auto"/>
        </w:pBdr>
        <w:shd w:val="clear" w:color="auto" w:fill="auto"/>
        <w:spacing w:before="0" w:after="120"/>
        <w:ind w:left="115" w:right="144"/>
        <w:jc w:val="center"/>
        <w:rPr>
          <w:sz w:val="28"/>
          <w:szCs w:val="24"/>
        </w:rPr>
      </w:pPr>
      <w:r w:rsidRPr="0031232C">
        <w:rPr>
          <w:sz w:val="28"/>
          <w:szCs w:val="24"/>
        </w:rPr>
        <w:t>LEA Assurance Signatures</w:t>
      </w:r>
    </w:p>
    <w:p w14:paraId="762DFE54" w14:textId="5D82DBD1" w:rsidR="00F54C65" w:rsidRPr="00F54C65" w:rsidRDefault="00F54C65" w:rsidP="00F54C65">
      <w:pPr>
        <w:pBdr>
          <w:bottom w:val="single" w:sz="4" w:space="1" w:color="auto"/>
        </w:pBdr>
        <w:spacing w:before="240" w:after="240"/>
        <w:rPr>
          <w:sz w:val="24"/>
          <w:szCs w:val="24"/>
        </w:rPr>
      </w:pPr>
      <w:r w:rsidRPr="00F54C65">
        <w:rPr>
          <w:b/>
          <w:bCs/>
          <w:sz w:val="24"/>
          <w:szCs w:val="24"/>
        </w:rPr>
        <w:t>School Facility Name:</w:t>
      </w:r>
    </w:p>
    <w:tbl>
      <w:tblPr>
        <w:tblStyle w:val="TableGrid"/>
        <w:tblW w:w="11092" w:type="dxa"/>
        <w:tblLook w:val="0420" w:firstRow="1" w:lastRow="0" w:firstColumn="0" w:lastColumn="0" w:noHBand="0" w:noVBand="1"/>
      </w:tblPr>
      <w:tblGrid>
        <w:gridCol w:w="4861"/>
        <w:gridCol w:w="4506"/>
        <w:gridCol w:w="1725"/>
      </w:tblGrid>
      <w:tr w:rsidR="006128CD" w14:paraId="4EDD84E6" w14:textId="77777777" w:rsidTr="003270F4">
        <w:trPr>
          <w:trHeight w:val="395"/>
          <w:tblHeader/>
        </w:trPr>
        <w:tc>
          <w:tcPr>
            <w:tcW w:w="4861" w:type="dxa"/>
            <w:tcBorders>
              <w:right w:val="single" w:sz="4" w:space="0" w:color="FFFFFF" w:themeColor="background1"/>
            </w:tcBorders>
            <w:shd w:val="clear" w:color="auto" w:fill="000000" w:themeFill="text1"/>
          </w:tcPr>
          <w:p w14:paraId="7A398D3B" w14:textId="0D914B08" w:rsidR="006128CD" w:rsidRPr="00665F6A" w:rsidRDefault="006128CD" w:rsidP="00E575D6">
            <w:pPr>
              <w:spacing w:before="60" w:after="60"/>
              <w:rPr>
                <w:b/>
                <w:bCs/>
                <w:szCs w:val="22"/>
              </w:rPr>
            </w:pPr>
            <w:r>
              <w:rPr>
                <w:b/>
                <w:bCs/>
                <w:szCs w:val="22"/>
              </w:rPr>
              <w:t>Title</w:t>
            </w:r>
          </w:p>
        </w:tc>
        <w:tc>
          <w:tcPr>
            <w:tcW w:w="4506" w:type="dxa"/>
            <w:tcBorders>
              <w:left w:val="single" w:sz="4" w:space="0" w:color="FFFFFF" w:themeColor="background1"/>
              <w:right w:val="single" w:sz="4" w:space="0" w:color="FFFFFF" w:themeColor="background1"/>
            </w:tcBorders>
            <w:shd w:val="clear" w:color="auto" w:fill="000000" w:themeFill="text1"/>
          </w:tcPr>
          <w:p w14:paraId="378C68FA" w14:textId="0D61C119" w:rsidR="006128CD" w:rsidRPr="00665F6A" w:rsidRDefault="006128CD" w:rsidP="00E575D6">
            <w:pPr>
              <w:spacing w:before="60" w:after="60"/>
              <w:rPr>
                <w:b/>
                <w:bCs/>
                <w:szCs w:val="22"/>
              </w:rPr>
            </w:pPr>
            <w:r w:rsidRPr="00665F6A">
              <w:rPr>
                <w:b/>
                <w:bCs/>
                <w:szCs w:val="22"/>
              </w:rPr>
              <w:t>Signature</w:t>
            </w:r>
          </w:p>
        </w:tc>
        <w:tc>
          <w:tcPr>
            <w:tcW w:w="1725" w:type="dxa"/>
            <w:tcBorders>
              <w:left w:val="single" w:sz="4" w:space="0" w:color="FFFFFF" w:themeColor="background1"/>
            </w:tcBorders>
            <w:shd w:val="clear" w:color="auto" w:fill="000000" w:themeFill="text1"/>
          </w:tcPr>
          <w:p w14:paraId="20A40195" w14:textId="733D8525" w:rsidR="006128CD" w:rsidRPr="00665F6A" w:rsidRDefault="006128CD" w:rsidP="00E575D6">
            <w:pPr>
              <w:spacing w:before="60" w:after="60"/>
              <w:rPr>
                <w:b/>
                <w:bCs/>
                <w:szCs w:val="22"/>
              </w:rPr>
            </w:pPr>
            <w:r w:rsidRPr="00665F6A">
              <w:rPr>
                <w:b/>
                <w:bCs/>
                <w:szCs w:val="22"/>
              </w:rPr>
              <w:t>Date</w:t>
            </w:r>
          </w:p>
        </w:tc>
      </w:tr>
      <w:tr w:rsidR="006128CD" w14:paraId="14555206" w14:textId="77777777" w:rsidTr="006F0E59">
        <w:trPr>
          <w:trHeight w:val="710"/>
        </w:trPr>
        <w:tc>
          <w:tcPr>
            <w:tcW w:w="4861" w:type="dxa"/>
          </w:tcPr>
          <w:p w14:paraId="582D049D" w14:textId="0655A46F" w:rsidR="006128CD" w:rsidRDefault="006128CD" w:rsidP="00E575D6">
            <w:pPr>
              <w:spacing w:before="60" w:after="60"/>
              <w:rPr>
                <w:szCs w:val="22"/>
              </w:rPr>
            </w:pPr>
            <w:r>
              <w:rPr>
                <w:szCs w:val="22"/>
              </w:rPr>
              <w:t>Completed by (add title</w:t>
            </w:r>
            <w:r w:rsidR="006D285B">
              <w:rPr>
                <w:szCs w:val="22"/>
              </w:rPr>
              <w:t xml:space="preserve"> below</w:t>
            </w:r>
            <w:r>
              <w:rPr>
                <w:szCs w:val="22"/>
              </w:rPr>
              <w:t>)</w:t>
            </w:r>
            <w:r w:rsidR="006D285B">
              <w:rPr>
                <w:szCs w:val="22"/>
              </w:rPr>
              <w:t>:</w:t>
            </w:r>
            <w:r w:rsidR="006D285B">
              <w:rPr>
                <w:szCs w:val="22"/>
              </w:rPr>
              <w:br/>
            </w:r>
          </w:p>
        </w:tc>
        <w:tc>
          <w:tcPr>
            <w:tcW w:w="4506" w:type="dxa"/>
          </w:tcPr>
          <w:p w14:paraId="2340483E" w14:textId="19F82948" w:rsidR="006128CD" w:rsidRDefault="006128CD" w:rsidP="00E575D6">
            <w:pPr>
              <w:spacing w:before="60" w:after="60"/>
              <w:rPr>
                <w:szCs w:val="22"/>
              </w:rPr>
            </w:pPr>
          </w:p>
        </w:tc>
        <w:tc>
          <w:tcPr>
            <w:tcW w:w="1725" w:type="dxa"/>
          </w:tcPr>
          <w:p w14:paraId="74204072" w14:textId="77777777" w:rsidR="006128CD" w:rsidRDefault="006128CD" w:rsidP="00E575D6">
            <w:pPr>
              <w:spacing w:before="60" w:after="60"/>
              <w:rPr>
                <w:szCs w:val="22"/>
              </w:rPr>
            </w:pPr>
          </w:p>
        </w:tc>
      </w:tr>
      <w:tr w:rsidR="006128CD" w14:paraId="2FECB7D8" w14:textId="77777777" w:rsidTr="006F0E59">
        <w:trPr>
          <w:trHeight w:val="726"/>
        </w:trPr>
        <w:tc>
          <w:tcPr>
            <w:tcW w:w="4861" w:type="dxa"/>
          </w:tcPr>
          <w:p w14:paraId="544160E5" w14:textId="63134CA8" w:rsidR="006128CD" w:rsidRDefault="006128CD" w:rsidP="003A4C82">
            <w:pPr>
              <w:spacing w:before="120"/>
              <w:rPr>
                <w:szCs w:val="22"/>
              </w:rPr>
            </w:pPr>
            <w:r w:rsidRPr="006128CD">
              <w:rPr>
                <w:rFonts w:cs="Calibri"/>
                <w:color w:val="000000"/>
                <w:szCs w:val="22"/>
              </w:rPr>
              <w:t>Certified Educational Facilities Man</w:t>
            </w:r>
            <w:r>
              <w:rPr>
                <w:rFonts w:cs="Calibri"/>
                <w:color w:val="000000"/>
                <w:szCs w:val="22"/>
              </w:rPr>
              <w:t>a</w:t>
            </w:r>
            <w:r w:rsidRPr="006128CD">
              <w:rPr>
                <w:rFonts w:cs="Calibri"/>
                <w:color w:val="000000"/>
                <w:szCs w:val="22"/>
              </w:rPr>
              <w:t>ger (if position used by district) or Head/Lead Custodian</w:t>
            </w:r>
          </w:p>
        </w:tc>
        <w:tc>
          <w:tcPr>
            <w:tcW w:w="4506" w:type="dxa"/>
          </w:tcPr>
          <w:p w14:paraId="2838665B" w14:textId="37FE0D58" w:rsidR="006128CD" w:rsidRDefault="006128CD" w:rsidP="00665F6A">
            <w:pPr>
              <w:spacing w:before="120" w:after="120"/>
              <w:rPr>
                <w:szCs w:val="22"/>
              </w:rPr>
            </w:pPr>
          </w:p>
        </w:tc>
        <w:tc>
          <w:tcPr>
            <w:tcW w:w="1725" w:type="dxa"/>
          </w:tcPr>
          <w:p w14:paraId="16BB710D" w14:textId="77777777" w:rsidR="006128CD" w:rsidRDefault="006128CD" w:rsidP="00665F6A">
            <w:pPr>
              <w:spacing w:before="120" w:after="120"/>
              <w:rPr>
                <w:szCs w:val="22"/>
              </w:rPr>
            </w:pPr>
          </w:p>
        </w:tc>
      </w:tr>
      <w:tr w:rsidR="006128CD" w14:paraId="1551002C" w14:textId="77777777" w:rsidTr="006F0E59">
        <w:trPr>
          <w:trHeight w:val="710"/>
        </w:trPr>
        <w:tc>
          <w:tcPr>
            <w:tcW w:w="4861" w:type="dxa"/>
          </w:tcPr>
          <w:p w14:paraId="087ECFCC" w14:textId="3C65425C" w:rsidR="006128CD" w:rsidRDefault="006128CD" w:rsidP="003A4C82">
            <w:pPr>
              <w:spacing w:before="120"/>
              <w:rPr>
                <w:szCs w:val="22"/>
              </w:rPr>
            </w:pPr>
            <w:r w:rsidRPr="006128CD">
              <w:rPr>
                <w:rFonts w:cs="Calibri"/>
                <w:color w:val="000000"/>
                <w:szCs w:val="22"/>
              </w:rPr>
              <w:t>Chief School Administrator or School Business Administrator</w:t>
            </w:r>
          </w:p>
        </w:tc>
        <w:tc>
          <w:tcPr>
            <w:tcW w:w="4506" w:type="dxa"/>
          </w:tcPr>
          <w:p w14:paraId="2755B52F" w14:textId="6B2F167E" w:rsidR="006128CD" w:rsidRDefault="006128CD" w:rsidP="00665F6A">
            <w:pPr>
              <w:spacing w:before="120" w:after="120"/>
              <w:rPr>
                <w:szCs w:val="22"/>
              </w:rPr>
            </w:pPr>
          </w:p>
        </w:tc>
        <w:tc>
          <w:tcPr>
            <w:tcW w:w="1725" w:type="dxa"/>
          </w:tcPr>
          <w:p w14:paraId="1E148C24" w14:textId="77777777" w:rsidR="006128CD" w:rsidRDefault="006128CD" w:rsidP="00665F6A">
            <w:pPr>
              <w:spacing w:before="120" w:after="120"/>
              <w:rPr>
                <w:szCs w:val="22"/>
              </w:rPr>
            </w:pPr>
          </w:p>
        </w:tc>
      </w:tr>
    </w:tbl>
    <w:p w14:paraId="5B0A7A25" w14:textId="77777777" w:rsidR="00665F6A" w:rsidRPr="00F54C65" w:rsidRDefault="00665F6A" w:rsidP="00F54C65">
      <w:pPr>
        <w:spacing w:after="100" w:afterAutospacing="1"/>
        <w:rPr>
          <w:sz w:val="10"/>
          <w:szCs w:val="10"/>
        </w:rPr>
      </w:pPr>
    </w:p>
    <w:sectPr w:rsidR="00665F6A" w:rsidRPr="00F54C65" w:rsidSect="00665F6A">
      <w:type w:val="continuous"/>
      <w:pgSz w:w="12240" w:h="15840" w:code="1"/>
      <w:pgMar w:top="720" w:right="576" w:bottom="720" w:left="576"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C8F8" w14:textId="77777777" w:rsidR="00925434" w:rsidRDefault="00925434">
      <w:r>
        <w:separator/>
      </w:r>
    </w:p>
  </w:endnote>
  <w:endnote w:type="continuationSeparator" w:id="0">
    <w:p w14:paraId="39A7F799" w14:textId="77777777" w:rsidR="00925434" w:rsidRDefault="0092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15856"/>
      <w:docPartObj>
        <w:docPartGallery w:val="Page Numbers (Bottom of Page)"/>
        <w:docPartUnique/>
      </w:docPartObj>
    </w:sdtPr>
    <w:sdtContent>
      <w:sdt>
        <w:sdtPr>
          <w:id w:val="-273325274"/>
          <w:docPartObj>
            <w:docPartGallery w:val="Page Numbers (Top of Page)"/>
            <w:docPartUnique/>
          </w:docPartObj>
        </w:sdtPr>
        <w:sdtContent>
          <w:p w14:paraId="513EAC24" w14:textId="5EBE6AF1" w:rsidR="00791D7F" w:rsidRPr="002E3EC3" w:rsidRDefault="002E3EC3" w:rsidP="002E3EC3">
            <w:pPr>
              <w:pStyle w:val="Footer"/>
              <w:tabs>
                <w:tab w:val="clear" w:pos="4320"/>
                <w:tab w:val="left" w:pos="8640"/>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ab/>
              <w:t>Updated August 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48564"/>
      <w:docPartObj>
        <w:docPartGallery w:val="Page Numbers (Bottom of Page)"/>
        <w:docPartUnique/>
      </w:docPartObj>
    </w:sdtPr>
    <w:sdtContent>
      <w:sdt>
        <w:sdtPr>
          <w:id w:val="-1705238520"/>
          <w:docPartObj>
            <w:docPartGallery w:val="Page Numbers (Top of Page)"/>
            <w:docPartUnique/>
          </w:docPartObj>
        </w:sdtPr>
        <w:sdtContent>
          <w:p w14:paraId="493F2BE3" w14:textId="5F7F51B2" w:rsidR="002E3EC3" w:rsidRDefault="002E3EC3" w:rsidP="002E3EC3">
            <w:pPr>
              <w:pStyle w:val="Footer"/>
              <w:tabs>
                <w:tab w:val="clear" w:pos="4320"/>
                <w:tab w:val="clear" w:pos="8640"/>
                <w:tab w:val="left" w:pos="7920"/>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ab/>
              <w:t>Updated August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A3C1" w14:textId="77777777" w:rsidR="00925434" w:rsidRDefault="00925434">
      <w:r>
        <w:separator/>
      </w:r>
    </w:p>
  </w:footnote>
  <w:footnote w:type="continuationSeparator" w:id="0">
    <w:p w14:paraId="5A4E421D" w14:textId="77777777" w:rsidR="00925434" w:rsidRDefault="0092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0EF5" w14:textId="6B4C24E9" w:rsidR="00E300ED" w:rsidRPr="00E300ED" w:rsidRDefault="00E300ED" w:rsidP="00E300ED">
    <w:pPr>
      <w:pStyle w:val="Header"/>
      <w:spacing w:after="240"/>
      <w:jc w:val="right"/>
      <w:rPr>
        <w:sz w:val="28"/>
        <w:szCs w:val="24"/>
      </w:rPr>
    </w:pPr>
    <w:r w:rsidRPr="00E300ED">
      <w:rPr>
        <w:sz w:val="28"/>
        <w:szCs w:val="24"/>
      </w:rPr>
      <w:t>100% Compliance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23C2" w14:textId="6DCC18E1" w:rsidR="00E300ED" w:rsidRPr="002E3EC3" w:rsidRDefault="002E3EC3" w:rsidP="002E3EC3">
    <w:pPr>
      <w:pStyle w:val="Header"/>
      <w:jc w:val="right"/>
      <w:rPr>
        <w:sz w:val="28"/>
        <w:szCs w:val="24"/>
      </w:rPr>
    </w:pPr>
    <w:r w:rsidRPr="00E300ED">
      <w:rPr>
        <w:sz w:val="28"/>
        <w:szCs w:val="24"/>
      </w:rPr>
      <w:t>100% Compliance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DA" w14:textId="56CDC87B" w:rsidR="00E300ED" w:rsidRPr="00E300ED" w:rsidRDefault="001F1670" w:rsidP="00E300ED">
    <w:pPr>
      <w:pStyle w:val="Header"/>
      <w:spacing w:after="240"/>
      <w:jc w:val="right"/>
      <w:rPr>
        <w:sz w:val="28"/>
        <w:szCs w:val="24"/>
      </w:rPr>
    </w:pPr>
    <w:r>
      <w:rPr>
        <w:sz w:val="28"/>
        <w:szCs w:val="24"/>
      </w:rPr>
      <w:t>80% Compliance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35B7" w14:textId="64769122" w:rsidR="00B737BF" w:rsidRPr="00E300ED" w:rsidRDefault="00B737BF" w:rsidP="00E300ED">
    <w:pPr>
      <w:pStyle w:val="Header"/>
      <w:spacing w:after="240"/>
      <w:jc w:val="right"/>
      <w:rPr>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6CFA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96F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D6C3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89B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C2F2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A22E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68C2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810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828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61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572CA"/>
    <w:multiLevelType w:val="hybridMultilevel"/>
    <w:tmpl w:val="20D4C414"/>
    <w:lvl w:ilvl="0" w:tplc="04090017">
      <w:start w:val="1"/>
      <w:numFmt w:val="low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06731526"/>
    <w:multiLevelType w:val="hybridMultilevel"/>
    <w:tmpl w:val="2642342E"/>
    <w:lvl w:ilvl="0" w:tplc="04090001">
      <w:start w:val="1"/>
      <w:numFmt w:val="bullet"/>
      <w:lvlText w:val=""/>
      <w:lvlJc w:val="left"/>
      <w:pPr>
        <w:ind w:left="720" w:hanging="360"/>
      </w:pPr>
      <w:rPr>
        <w:rFonts w:ascii="Symbol" w:hAnsi="Symbol" w:hint="default"/>
      </w:rPr>
    </w:lvl>
    <w:lvl w:ilvl="1" w:tplc="5D40D3A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67B26"/>
    <w:multiLevelType w:val="hybridMultilevel"/>
    <w:tmpl w:val="1ADCBD2E"/>
    <w:lvl w:ilvl="0" w:tplc="2C482A2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E4624"/>
    <w:multiLevelType w:val="hybridMultilevel"/>
    <w:tmpl w:val="494080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8124183"/>
    <w:multiLevelType w:val="hybridMultilevel"/>
    <w:tmpl w:val="11E62762"/>
    <w:lvl w:ilvl="0" w:tplc="31CA94B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33F24"/>
    <w:multiLevelType w:val="hybridMultilevel"/>
    <w:tmpl w:val="3CEA3C14"/>
    <w:lvl w:ilvl="0" w:tplc="35FC958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04D69"/>
    <w:multiLevelType w:val="singleLevel"/>
    <w:tmpl w:val="18222358"/>
    <w:lvl w:ilvl="0">
      <w:start w:val="1"/>
      <w:numFmt w:val="lowerLetter"/>
      <w:lvlText w:val="%1."/>
      <w:lvlJc w:val="left"/>
      <w:pPr>
        <w:tabs>
          <w:tab w:val="num" w:pos="360"/>
        </w:tabs>
        <w:ind w:left="360" w:hanging="360"/>
      </w:pPr>
      <w:rPr>
        <w:rFonts w:hint="default"/>
        <w:color w:val="auto"/>
      </w:rPr>
    </w:lvl>
  </w:abstractNum>
  <w:abstractNum w:abstractNumId="17" w15:restartNumberingAfterBreak="0">
    <w:nsid w:val="2526581B"/>
    <w:multiLevelType w:val="hybridMultilevel"/>
    <w:tmpl w:val="90129C20"/>
    <w:lvl w:ilvl="0" w:tplc="D152D3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26AAB"/>
    <w:multiLevelType w:val="hybridMultilevel"/>
    <w:tmpl w:val="0030A8F0"/>
    <w:lvl w:ilvl="0" w:tplc="0A48C1AA">
      <w:start w:val="1"/>
      <w:numFmt w:val="lowerLetter"/>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E84E5E"/>
    <w:multiLevelType w:val="hybridMultilevel"/>
    <w:tmpl w:val="B4FA7C42"/>
    <w:lvl w:ilvl="0" w:tplc="04090019">
      <w:start w:val="1"/>
      <w:numFmt w:val="lowerLetter"/>
      <w:lvlText w:val="%1."/>
      <w:lvlJc w:val="left"/>
      <w:pPr>
        <w:tabs>
          <w:tab w:val="num" w:pos="1080"/>
        </w:tabs>
        <w:ind w:left="1080" w:hanging="360"/>
      </w:pPr>
    </w:lvl>
    <w:lvl w:ilvl="1" w:tplc="1E6EBB0E">
      <w:start w:val="1"/>
      <w:numFmt w:val="lowerLetter"/>
      <w:lvlText w:val="%2."/>
      <w:lvlJc w:val="left"/>
      <w:pPr>
        <w:tabs>
          <w:tab w:val="num" w:pos="1800"/>
        </w:tabs>
        <w:ind w:left="1800" w:hanging="360"/>
      </w:pPr>
      <w:rPr>
        <w:rFonts w:ascii="Times New Roman" w:eastAsia="Times New Roman" w:hAnsi="Times New Roman" w:cs="Times New Roman"/>
      </w:rPr>
    </w:lvl>
    <w:lvl w:ilvl="2" w:tplc="4ECECE24">
      <w:start w:val="1"/>
      <w:numFmt w:val="bullet"/>
      <w:lvlText w:val=""/>
      <w:lvlJc w:val="left"/>
      <w:pPr>
        <w:tabs>
          <w:tab w:val="num" w:pos="1620"/>
        </w:tabs>
        <w:ind w:left="1728" w:hanging="288"/>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A322DA2"/>
    <w:multiLevelType w:val="hybridMultilevel"/>
    <w:tmpl w:val="CE2E5A5A"/>
    <w:lvl w:ilvl="0" w:tplc="82B24A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05A86"/>
    <w:multiLevelType w:val="hybridMultilevel"/>
    <w:tmpl w:val="4492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B1028"/>
    <w:multiLevelType w:val="hybridMultilevel"/>
    <w:tmpl w:val="BBE61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D40D3A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82E1D"/>
    <w:multiLevelType w:val="hybridMultilevel"/>
    <w:tmpl w:val="727C809C"/>
    <w:lvl w:ilvl="0" w:tplc="407E80F6">
      <w:start w:val="1"/>
      <w:numFmt w:val="lowerLetter"/>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53C62103"/>
    <w:multiLevelType w:val="singleLevel"/>
    <w:tmpl w:val="8D1E4A40"/>
    <w:lvl w:ilvl="0">
      <w:start w:val="1"/>
      <w:numFmt w:val="decimal"/>
      <w:lvlText w:val="%1."/>
      <w:lvlJc w:val="left"/>
      <w:pPr>
        <w:ind w:left="1080" w:hanging="360"/>
      </w:pPr>
      <w:rPr>
        <w:b/>
      </w:rPr>
    </w:lvl>
  </w:abstractNum>
  <w:abstractNum w:abstractNumId="25" w15:restartNumberingAfterBreak="0">
    <w:nsid w:val="561B23B7"/>
    <w:multiLevelType w:val="hybridMultilevel"/>
    <w:tmpl w:val="9FC27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D95F99"/>
    <w:multiLevelType w:val="hybridMultilevel"/>
    <w:tmpl w:val="4322C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CD0AD0"/>
    <w:multiLevelType w:val="hybridMultilevel"/>
    <w:tmpl w:val="B61C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D46FA"/>
    <w:multiLevelType w:val="hybridMultilevel"/>
    <w:tmpl w:val="5F20D0E8"/>
    <w:lvl w:ilvl="0" w:tplc="F948D060">
      <w:start w:val="1"/>
      <w:numFmt w:val="decimal"/>
      <w:lvlText w:val="%1."/>
      <w:lvlJc w:val="left"/>
      <w:pPr>
        <w:ind w:left="288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00D52"/>
    <w:multiLevelType w:val="hybridMultilevel"/>
    <w:tmpl w:val="62609360"/>
    <w:lvl w:ilvl="0" w:tplc="8D2C4E8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7CE152D"/>
    <w:multiLevelType w:val="hybridMultilevel"/>
    <w:tmpl w:val="CCE4E18E"/>
    <w:lvl w:ilvl="0" w:tplc="8064FD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2597A"/>
    <w:multiLevelType w:val="hybridMultilevel"/>
    <w:tmpl w:val="A89C0A32"/>
    <w:lvl w:ilvl="0" w:tplc="0A48C1A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31E25"/>
    <w:multiLevelType w:val="hybridMultilevel"/>
    <w:tmpl w:val="4170B608"/>
    <w:lvl w:ilvl="0" w:tplc="9FD08754">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6059C"/>
    <w:multiLevelType w:val="hybridMultilevel"/>
    <w:tmpl w:val="06EE2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7B3D96"/>
    <w:multiLevelType w:val="hybridMultilevel"/>
    <w:tmpl w:val="BF70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7048F"/>
    <w:multiLevelType w:val="hybridMultilevel"/>
    <w:tmpl w:val="33603222"/>
    <w:lvl w:ilvl="0" w:tplc="3C643926">
      <w:start w:val="12"/>
      <w:numFmt w:val="decimal"/>
      <w:lvlText w:val="%1."/>
      <w:lvlJc w:val="left"/>
      <w:pPr>
        <w:tabs>
          <w:tab w:val="num" w:pos="900"/>
        </w:tabs>
        <w:ind w:left="90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133984">
    <w:abstractNumId w:val="24"/>
  </w:num>
  <w:num w:numId="2" w16cid:durableId="442531623">
    <w:abstractNumId w:val="16"/>
  </w:num>
  <w:num w:numId="3" w16cid:durableId="1706099640">
    <w:abstractNumId w:val="23"/>
  </w:num>
  <w:num w:numId="4" w16cid:durableId="218328629">
    <w:abstractNumId w:val="30"/>
  </w:num>
  <w:num w:numId="5" w16cid:durableId="417600346">
    <w:abstractNumId w:val="32"/>
  </w:num>
  <w:num w:numId="6" w16cid:durableId="464474373">
    <w:abstractNumId w:val="12"/>
  </w:num>
  <w:num w:numId="7" w16cid:durableId="1965427773">
    <w:abstractNumId w:val="15"/>
  </w:num>
  <w:num w:numId="8" w16cid:durableId="126706142">
    <w:abstractNumId w:val="20"/>
  </w:num>
  <w:num w:numId="9" w16cid:durableId="903678695">
    <w:abstractNumId w:val="17"/>
  </w:num>
  <w:num w:numId="10" w16cid:durableId="910316382">
    <w:abstractNumId w:val="14"/>
  </w:num>
  <w:num w:numId="11" w16cid:durableId="794562467">
    <w:abstractNumId w:val="26"/>
  </w:num>
  <w:num w:numId="12" w16cid:durableId="228198235">
    <w:abstractNumId w:val="28"/>
  </w:num>
  <w:num w:numId="13" w16cid:durableId="283192497">
    <w:abstractNumId w:val="33"/>
  </w:num>
  <w:num w:numId="14" w16cid:durableId="716902146">
    <w:abstractNumId w:val="27"/>
  </w:num>
  <w:num w:numId="15" w16cid:durableId="1912888345">
    <w:abstractNumId w:val="29"/>
  </w:num>
  <w:num w:numId="16" w16cid:durableId="514882751">
    <w:abstractNumId w:val="9"/>
  </w:num>
  <w:num w:numId="17" w16cid:durableId="288904451">
    <w:abstractNumId w:val="7"/>
  </w:num>
  <w:num w:numId="18" w16cid:durableId="1504783034">
    <w:abstractNumId w:val="6"/>
  </w:num>
  <w:num w:numId="19" w16cid:durableId="148526847">
    <w:abstractNumId w:val="5"/>
  </w:num>
  <w:num w:numId="20" w16cid:durableId="1572960049">
    <w:abstractNumId w:val="4"/>
  </w:num>
  <w:num w:numId="21" w16cid:durableId="254367013">
    <w:abstractNumId w:val="8"/>
  </w:num>
  <w:num w:numId="22" w16cid:durableId="2094624824">
    <w:abstractNumId w:val="3"/>
  </w:num>
  <w:num w:numId="23" w16cid:durableId="236986083">
    <w:abstractNumId w:val="2"/>
  </w:num>
  <w:num w:numId="24" w16cid:durableId="1677343537">
    <w:abstractNumId w:val="1"/>
  </w:num>
  <w:num w:numId="25" w16cid:durableId="540871226">
    <w:abstractNumId w:val="0"/>
  </w:num>
  <w:num w:numId="26" w16cid:durableId="2140414757">
    <w:abstractNumId w:val="31"/>
  </w:num>
  <w:num w:numId="27" w16cid:durableId="1914774091">
    <w:abstractNumId w:val="11"/>
  </w:num>
  <w:num w:numId="28" w16cid:durableId="184709979">
    <w:abstractNumId w:val="25"/>
  </w:num>
  <w:num w:numId="29" w16cid:durableId="703866672">
    <w:abstractNumId w:val="13"/>
  </w:num>
  <w:num w:numId="30" w16cid:durableId="1779718688">
    <w:abstractNumId w:val="21"/>
  </w:num>
  <w:num w:numId="31" w16cid:durableId="258488320">
    <w:abstractNumId w:val="35"/>
  </w:num>
  <w:num w:numId="32" w16cid:durableId="1883129846">
    <w:abstractNumId w:val="22"/>
  </w:num>
  <w:num w:numId="33" w16cid:durableId="2035878900">
    <w:abstractNumId w:val="19"/>
  </w:num>
  <w:num w:numId="34" w16cid:durableId="1190754153">
    <w:abstractNumId w:val="34"/>
  </w:num>
  <w:num w:numId="35" w16cid:durableId="1822036942">
    <w:abstractNumId w:val="18"/>
  </w:num>
  <w:num w:numId="36" w16cid:durableId="2911380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A24" w:allStyles="0" w:customStyles="0" w:latentStyles="1" w:stylesInUse="0" w:headingStyles="1" w:numberingStyles="0" w:tableStyles="0" w:directFormattingOnRuns="0"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B9"/>
    <w:rsid w:val="00001C19"/>
    <w:rsid w:val="00012B2D"/>
    <w:rsid w:val="00016A2A"/>
    <w:rsid w:val="000238E2"/>
    <w:rsid w:val="00024164"/>
    <w:rsid w:val="00024FC4"/>
    <w:rsid w:val="00025B18"/>
    <w:rsid w:val="000307C7"/>
    <w:rsid w:val="000357A3"/>
    <w:rsid w:val="00035960"/>
    <w:rsid w:val="00036879"/>
    <w:rsid w:val="00040895"/>
    <w:rsid w:val="000408EB"/>
    <w:rsid w:val="000434AA"/>
    <w:rsid w:val="00046A79"/>
    <w:rsid w:val="00046CCF"/>
    <w:rsid w:val="00050290"/>
    <w:rsid w:val="00056E70"/>
    <w:rsid w:val="00057879"/>
    <w:rsid w:val="00062A1F"/>
    <w:rsid w:val="00063056"/>
    <w:rsid w:val="00063A4A"/>
    <w:rsid w:val="00065743"/>
    <w:rsid w:val="00065DDA"/>
    <w:rsid w:val="000669F1"/>
    <w:rsid w:val="00071A7F"/>
    <w:rsid w:val="00071DB3"/>
    <w:rsid w:val="000816C7"/>
    <w:rsid w:val="0008276E"/>
    <w:rsid w:val="0008575B"/>
    <w:rsid w:val="00086B02"/>
    <w:rsid w:val="000909EA"/>
    <w:rsid w:val="00091537"/>
    <w:rsid w:val="00096542"/>
    <w:rsid w:val="00096FA7"/>
    <w:rsid w:val="000A1D80"/>
    <w:rsid w:val="000B0FA0"/>
    <w:rsid w:val="000B59BC"/>
    <w:rsid w:val="000B6CF5"/>
    <w:rsid w:val="000C002A"/>
    <w:rsid w:val="000C17C1"/>
    <w:rsid w:val="000C2F64"/>
    <w:rsid w:val="000C4D05"/>
    <w:rsid w:val="000C63FF"/>
    <w:rsid w:val="000C6E80"/>
    <w:rsid w:val="000C714A"/>
    <w:rsid w:val="000D0A67"/>
    <w:rsid w:val="000D23C7"/>
    <w:rsid w:val="000D535B"/>
    <w:rsid w:val="000E0145"/>
    <w:rsid w:val="000E0CFC"/>
    <w:rsid w:val="000E44E3"/>
    <w:rsid w:val="000E64B9"/>
    <w:rsid w:val="000F4D61"/>
    <w:rsid w:val="000F56D6"/>
    <w:rsid w:val="000F574E"/>
    <w:rsid w:val="000F773B"/>
    <w:rsid w:val="001000A0"/>
    <w:rsid w:val="00100F60"/>
    <w:rsid w:val="00101726"/>
    <w:rsid w:val="00104EFB"/>
    <w:rsid w:val="001056E2"/>
    <w:rsid w:val="0010790E"/>
    <w:rsid w:val="00115F30"/>
    <w:rsid w:val="00117394"/>
    <w:rsid w:val="0012174E"/>
    <w:rsid w:val="001237C9"/>
    <w:rsid w:val="00130A06"/>
    <w:rsid w:val="00131BBA"/>
    <w:rsid w:val="00132865"/>
    <w:rsid w:val="0013316F"/>
    <w:rsid w:val="00133FA2"/>
    <w:rsid w:val="00134ABA"/>
    <w:rsid w:val="001400E1"/>
    <w:rsid w:val="00140457"/>
    <w:rsid w:val="00142628"/>
    <w:rsid w:val="001516E6"/>
    <w:rsid w:val="00151CB7"/>
    <w:rsid w:val="00152648"/>
    <w:rsid w:val="00155110"/>
    <w:rsid w:val="001556A5"/>
    <w:rsid w:val="001562CA"/>
    <w:rsid w:val="00160DAB"/>
    <w:rsid w:val="00162BE9"/>
    <w:rsid w:val="0016433E"/>
    <w:rsid w:val="001679A6"/>
    <w:rsid w:val="00170A43"/>
    <w:rsid w:val="00170CFF"/>
    <w:rsid w:val="0017571C"/>
    <w:rsid w:val="00181620"/>
    <w:rsid w:val="00183F11"/>
    <w:rsid w:val="00186881"/>
    <w:rsid w:val="00187F8A"/>
    <w:rsid w:val="00190453"/>
    <w:rsid w:val="00190741"/>
    <w:rsid w:val="00190970"/>
    <w:rsid w:val="00191EDE"/>
    <w:rsid w:val="001A0D3A"/>
    <w:rsid w:val="001A290D"/>
    <w:rsid w:val="001A2C5B"/>
    <w:rsid w:val="001A6AEF"/>
    <w:rsid w:val="001B02CF"/>
    <w:rsid w:val="001B2B83"/>
    <w:rsid w:val="001C02B2"/>
    <w:rsid w:val="001C0767"/>
    <w:rsid w:val="001C2AEE"/>
    <w:rsid w:val="001D00AA"/>
    <w:rsid w:val="001D184F"/>
    <w:rsid w:val="001D4826"/>
    <w:rsid w:val="001D69B7"/>
    <w:rsid w:val="001D6C49"/>
    <w:rsid w:val="001D700A"/>
    <w:rsid w:val="001D7C62"/>
    <w:rsid w:val="001E0130"/>
    <w:rsid w:val="001E2DDC"/>
    <w:rsid w:val="001E4143"/>
    <w:rsid w:val="001E4CA5"/>
    <w:rsid w:val="001E7E55"/>
    <w:rsid w:val="001F1670"/>
    <w:rsid w:val="001F667B"/>
    <w:rsid w:val="001F6A74"/>
    <w:rsid w:val="00200943"/>
    <w:rsid w:val="00201201"/>
    <w:rsid w:val="00205BA8"/>
    <w:rsid w:val="002068D8"/>
    <w:rsid w:val="00207745"/>
    <w:rsid w:val="00211585"/>
    <w:rsid w:val="00214334"/>
    <w:rsid w:val="002229D7"/>
    <w:rsid w:val="00230B75"/>
    <w:rsid w:val="00233AB9"/>
    <w:rsid w:val="002372E9"/>
    <w:rsid w:val="00237C36"/>
    <w:rsid w:val="00241675"/>
    <w:rsid w:val="002418F0"/>
    <w:rsid w:val="002436D4"/>
    <w:rsid w:val="00250ED4"/>
    <w:rsid w:val="0025670F"/>
    <w:rsid w:val="0026224B"/>
    <w:rsid w:val="002636D4"/>
    <w:rsid w:val="00270463"/>
    <w:rsid w:val="00270563"/>
    <w:rsid w:val="002712D4"/>
    <w:rsid w:val="002726A7"/>
    <w:rsid w:val="00273A20"/>
    <w:rsid w:val="00275D47"/>
    <w:rsid w:val="0027610D"/>
    <w:rsid w:val="00280346"/>
    <w:rsid w:val="00283399"/>
    <w:rsid w:val="0028587E"/>
    <w:rsid w:val="002871DD"/>
    <w:rsid w:val="00287AFE"/>
    <w:rsid w:val="002909E9"/>
    <w:rsid w:val="002925E9"/>
    <w:rsid w:val="0029373A"/>
    <w:rsid w:val="00294E50"/>
    <w:rsid w:val="0029503C"/>
    <w:rsid w:val="00295737"/>
    <w:rsid w:val="002A0550"/>
    <w:rsid w:val="002A0D6D"/>
    <w:rsid w:val="002A1043"/>
    <w:rsid w:val="002A16E5"/>
    <w:rsid w:val="002A4A86"/>
    <w:rsid w:val="002B0092"/>
    <w:rsid w:val="002B4CAD"/>
    <w:rsid w:val="002B4F2D"/>
    <w:rsid w:val="002B7FE6"/>
    <w:rsid w:val="002C1ADE"/>
    <w:rsid w:val="002C1DF6"/>
    <w:rsid w:val="002C4077"/>
    <w:rsid w:val="002C469D"/>
    <w:rsid w:val="002C6487"/>
    <w:rsid w:val="002C6F0B"/>
    <w:rsid w:val="002D29D7"/>
    <w:rsid w:val="002D5F12"/>
    <w:rsid w:val="002D7798"/>
    <w:rsid w:val="002D7E4C"/>
    <w:rsid w:val="002E1274"/>
    <w:rsid w:val="002E1F0F"/>
    <w:rsid w:val="002E248E"/>
    <w:rsid w:val="002E25DD"/>
    <w:rsid w:val="002E3EC3"/>
    <w:rsid w:val="002E6CD5"/>
    <w:rsid w:val="002E6D73"/>
    <w:rsid w:val="002E7598"/>
    <w:rsid w:val="002E7D4F"/>
    <w:rsid w:val="00300C83"/>
    <w:rsid w:val="003022C4"/>
    <w:rsid w:val="00302741"/>
    <w:rsid w:val="00306143"/>
    <w:rsid w:val="0031232C"/>
    <w:rsid w:val="00313403"/>
    <w:rsid w:val="00314396"/>
    <w:rsid w:val="00322BD6"/>
    <w:rsid w:val="003270F4"/>
    <w:rsid w:val="003276E4"/>
    <w:rsid w:val="003343B4"/>
    <w:rsid w:val="00335883"/>
    <w:rsid w:val="003360DB"/>
    <w:rsid w:val="00342C18"/>
    <w:rsid w:val="00343B51"/>
    <w:rsid w:val="00351E86"/>
    <w:rsid w:val="00352839"/>
    <w:rsid w:val="00355078"/>
    <w:rsid w:val="003643C5"/>
    <w:rsid w:val="00365D8E"/>
    <w:rsid w:val="00365E48"/>
    <w:rsid w:val="00366B29"/>
    <w:rsid w:val="00371DF6"/>
    <w:rsid w:val="0037431B"/>
    <w:rsid w:val="00380751"/>
    <w:rsid w:val="00381CE3"/>
    <w:rsid w:val="003823C1"/>
    <w:rsid w:val="0038393D"/>
    <w:rsid w:val="00396733"/>
    <w:rsid w:val="003A047A"/>
    <w:rsid w:val="003A101B"/>
    <w:rsid w:val="003A3447"/>
    <w:rsid w:val="003A3A1E"/>
    <w:rsid w:val="003A4C82"/>
    <w:rsid w:val="003A5054"/>
    <w:rsid w:val="003A58E9"/>
    <w:rsid w:val="003A71F0"/>
    <w:rsid w:val="003B1C5D"/>
    <w:rsid w:val="003B4CFD"/>
    <w:rsid w:val="003B635C"/>
    <w:rsid w:val="003B6F74"/>
    <w:rsid w:val="003C3FE4"/>
    <w:rsid w:val="003C4F6F"/>
    <w:rsid w:val="003D1A9E"/>
    <w:rsid w:val="003D2899"/>
    <w:rsid w:val="003D5579"/>
    <w:rsid w:val="003D5713"/>
    <w:rsid w:val="003D5E76"/>
    <w:rsid w:val="003E204B"/>
    <w:rsid w:val="003E2108"/>
    <w:rsid w:val="003E4CBC"/>
    <w:rsid w:val="003E6168"/>
    <w:rsid w:val="003E63E7"/>
    <w:rsid w:val="003F4093"/>
    <w:rsid w:val="003F5388"/>
    <w:rsid w:val="0040085D"/>
    <w:rsid w:val="00402943"/>
    <w:rsid w:val="004069AC"/>
    <w:rsid w:val="00407704"/>
    <w:rsid w:val="00415A03"/>
    <w:rsid w:val="004172C1"/>
    <w:rsid w:val="00417A06"/>
    <w:rsid w:val="00422610"/>
    <w:rsid w:val="00422C0A"/>
    <w:rsid w:val="00425347"/>
    <w:rsid w:val="00426E70"/>
    <w:rsid w:val="004307E5"/>
    <w:rsid w:val="0043189B"/>
    <w:rsid w:val="004339F1"/>
    <w:rsid w:val="0043652B"/>
    <w:rsid w:val="004533F0"/>
    <w:rsid w:val="00454929"/>
    <w:rsid w:val="00456C9B"/>
    <w:rsid w:val="0046006C"/>
    <w:rsid w:val="00461068"/>
    <w:rsid w:val="00461A1E"/>
    <w:rsid w:val="00467355"/>
    <w:rsid w:val="00470C16"/>
    <w:rsid w:val="00472190"/>
    <w:rsid w:val="0047257B"/>
    <w:rsid w:val="004758C5"/>
    <w:rsid w:val="00482283"/>
    <w:rsid w:val="00484673"/>
    <w:rsid w:val="00484AE7"/>
    <w:rsid w:val="00490501"/>
    <w:rsid w:val="00490D7B"/>
    <w:rsid w:val="00493372"/>
    <w:rsid w:val="00493BE7"/>
    <w:rsid w:val="004973E4"/>
    <w:rsid w:val="00497E77"/>
    <w:rsid w:val="004A2E40"/>
    <w:rsid w:val="004B3DF7"/>
    <w:rsid w:val="004B3E9F"/>
    <w:rsid w:val="004B421B"/>
    <w:rsid w:val="004C2DBE"/>
    <w:rsid w:val="004C45B1"/>
    <w:rsid w:val="004C6700"/>
    <w:rsid w:val="004C73DD"/>
    <w:rsid w:val="004D52D1"/>
    <w:rsid w:val="004D5CE9"/>
    <w:rsid w:val="004D66ED"/>
    <w:rsid w:val="004E21A7"/>
    <w:rsid w:val="004E2F33"/>
    <w:rsid w:val="004E4FB6"/>
    <w:rsid w:val="004E6308"/>
    <w:rsid w:val="004E7371"/>
    <w:rsid w:val="004F0B98"/>
    <w:rsid w:val="004F43A2"/>
    <w:rsid w:val="004F4A2C"/>
    <w:rsid w:val="004F5B93"/>
    <w:rsid w:val="00501690"/>
    <w:rsid w:val="00501819"/>
    <w:rsid w:val="00502F86"/>
    <w:rsid w:val="00503098"/>
    <w:rsid w:val="005038CF"/>
    <w:rsid w:val="00517C6D"/>
    <w:rsid w:val="00524C1F"/>
    <w:rsid w:val="005262E0"/>
    <w:rsid w:val="0053507A"/>
    <w:rsid w:val="005376B5"/>
    <w:rsid w:val="00541FA4"/>
    <w:rsid w:val="00545FF9"/>
    <w:rsid w:val="0054705D"/>
    <w:rsid w:val="00556885"/>
    <w:rsid w:val="00557B3E"/>
    <w:rsid w:val="005623D3"/>
    <w:rsid w:val="0056459C"/>
    <w:rsid w:val="00565094"/>
    <w:rsid w:val="00565482"/>
    <w:rsid w:val="00585E72"/>
    <w:rsid w:val="00592151"/>
    <w:rsid w:val="00592AA0"/>
    <w:rsid w:val="00595850"/>
    <w:rsid w:val="005967F0"/>
    <w:rsid w:val="005A0F3B"/>
    <w:rsid w:val="005A18AC"/>
    <w:rsid w:val="005A494F"/>
    <w:rsid w:val="005A603A"/>
    <w:rsid w:val="005A7EC0"/>
    <w:rsid w:val="005B0A36"/>
    <w:rsid w:val="005B3435"/>
    <w:rsid w:val="005B5594"/>
    <w:rsid w:val="005B62D0"/>
    <w:rsid w:val="005B6C9B"/>
    <w:rsid w:val="005B6E4C"/>
    <w:rsid w:val="005C23C2"/>
    <w:rsid w:val="005C3BA9"/>
    <w:rsid w:val="005C4498"/>
    <w:rsid w:val="005D2C72"/>
    <w:rsid w:val="005D2F5A"/>
    <w:rsid w:val="005D5411"/>
    <w:rsid w:val="005E2616"/>
    <w:rsid w:val="005E6A96"/>
    <w:rsid w:val="005F03A2"/>
    <w:rsid w:val="005F189C"/>
    <w:rsid w:val="005F26B4"/>
    <w:rsid w:val="00600A0D"/>
    <w:rsid w:val="006031CB"/>
    <w:rsid w:val="006046FE"/>
    <w:rsid w:val="00605838"/>
    <w:rsid w:val="00610CC1"/>
    <w:rsid w:val="006128CD"/>
    <w:rsid w:val="00613148"/>
    <w:rsid w:val="006174BF"/>
    <w:rsid w:val="0062065E"/>
    <w:rsid w:val="006259D5"/>
    <w:rsid w:val="00625A20"/>
    <w:rsid w:val="00630819"/>
    <w:rsid w:val="006315FA"/>
    <w:rsid w:val="00633042"/>
    <w:rsid w:val="00633BB4"/>
    <w:rsid w:val="00634C44"/>
    <w:rsid w:val="0063530D"/>
    <w:rsid w:val="006435A2"/>
    <w:rsid w:val="00645395"/>
    <w:rsid w:val="00645FBC"/>
    <w:rsid w:val="006502FC"/>
    <w:rsid w:val="00651832"/>
    <w:rsid w:val="00653784"/>
    <w:rsid w:val="00653EC1"/>
    <w:rsid w:val="00655C16"/>
    <w:rsid w:val="00656739"/>
    <w:rsid w:val="0065679E"/>
    <w:rsid w:val="00657134"/>
    <w:rsid w:val="006571E8"/>
    <w:rsid w:val="00661A76"/>
    <w:rsid w:val="00665F6A"/>
    <w:rsid w:val="006664CB"/>
    <w:rsid w:val="00667307"/>
    <w:rsid w:val="00674152"/>
    <w:rsid w:val="00675063"/>
    <w:rsid w:val="0067549B"/>
    <w:rsid w:val="00675730"/>
    <w:rsid w:val="006813F3"/>
    <w:rsid w:val="006824AA"/>
    <w:rsid w:val="00682B69"/>
    <w:rsid w:val="00683B9C"/>
    <w:rsid w:val="00685405"/>
    <w:rsid w:val="00686713"/>
    <w:rsid w:val="00687001"/>
    <w:rsid w:val="00692FB1"/>
    <w:rsid w:val="00695FF4"/>
    <w:rsid w:val="006A0564"/>
    <w:rsid w:val="006A4EA0"/>
    <w:rsid w:val="006A770D"/>
    <w:rsid w:val="006A7FF8"/>
    <w:rsid w:val="006B59EC"/>
    <w:rsid w:val="006B5ADE"/>
    <w:rsid w:val="006B67EE"/>
    <w:rsid w:val="006C27D9"/>
    <w:rsid w:val="006C3D91"/>
    <w:rsid w:val="006C5579"/>
    <w:rsid w:val="006D285B"/>
    <w:rsid w:val="006E137A"/>
    <w:rsid w:val="006E22C2"/>
    <w:rsid w:val="006E26CB"/>
    <w:rsid w:val="006E372B"/>
    <w:rsid w:val="006E475E"/>
    <w:rsid w:val="006E7239"/>
    <w:rsid w:val="006F0E59"/>
    <w:rsid w:val="006F1738"/>
    <w:rsid w:val="006F6A6C"/>
    <w:rsid w:val="00703E86"/>
    <w:rsid w:val="00706DA6"/>
    <w:rsid w:val="00725278"/>
    <w:rsid w:val="007268A8"/>
    <w:rsid w:val="00733661"/>
    <w:rsid w:val="00733869"/>
    <w:rsid w:val="007343DE"/>
    <w:rsid w:val="007364F3"/>
    <w:rsid w:val="0073697A"/>
    <w:rsid w:val="00741A4C"/>
    <w:rsid w:val="0074377B"/>
    <w:rsid w:val="00751446"/>
    <w:rsid w:val="0075200C"/>
    <w:rsid w:val="00754F4E"/>
    <w:rsid w:val="0076080C"/>
    <w:rsid w:val="00765F55"/>
    <w:rsid w:val="00766097"/>
    <w:rsid w:val="007741DA"/>
    <w:rsid w:val="00776629"/>
    <w:rsid w:val="00780355"/>
    <w:rsid w:val="00780388"/>
    <w:rsid w:val="00780768"/>
    <w:rsid w:val="007833F3"/>
    <w:rsid w:val="00783866"/>
    <w:rsid w:val="00787763"/>
    <w:rsid w:val="00791D7F"/>
    <w:rsid w:val="00794193"/>
    <w:rsid w:val="0079645A"/>
    <w:rsid w:val="007A2E19"/>
    <w:rsid w:val="007A3153"/>
    <w:rsid w:val="007A3C22"/>
    <w:rsid w:val="007B5051"/>
    <w:rsid w:val="007C4832"/>
    <w:rsid w:val="007C71FF"/>
    <w:rsid w:val="007C73D1"/>
    <w:rsid w:val="007C7EE1"/>
    <w:rsid w:val="007D1EF7"/>
    <w:rsid w:val="007D5602"/>
    <w:rsid w:val="007D7664"/>
    <w:rsid w:val="007D7CC1"/>
    <w:rsid w:val="007E2376"/>
    <w:rsid w:val="007E4B18"/>
    <w:rsid w:val="007F115D"/>
    <w:rsid w:val="007F1C03"/>
    <w:rsid w:val="007F3D2F"/>
    <w:rsid w:val="007F4947"/>
    <w:rsid w:val="007F62EE"/>
    <w:rsid w:val="007F7C0B"/>
    <w:rsid w:val="00805AAB"/>
    <w:rsid w:val="00815E4D"/>
    <w:rsid w:val="008175AA"/>
    <w:rsid w:val="00820D32"/>
    <w:rsid w:val="00821907"/>
    <w:rsid w:val="00821BAC"/>
    <w:rsid w:val="00827508"/>
    <w:rsid w:val="00827E39"/>
    <w:rsid w:val="00830DA2"/>
    <w:rsid w:val="0083282D"/>
    <w:rsid w:val="008331B6"/>
    <w:rsid w:val="00833F2E"/>
    <w:rsid w:val="00833FF6"/>
    <w:rsid w:val="008372EC"/>
    <w:rsid w:val="00840D44"/>
    <w:rsid w:val="00842011"/>
    <w:rsid w:val="0084323A"/>
    <w:rsid w:val="008440DF"/>
    <w:rsid w:val="00853564"/>
    <w:rsid w:val="00853670"/>
    <w:rsid w:val="00855F07"/>
    <w:rsid w:val="008560B4"/>
    <w:rsid w:val="00856247"/>
    <w:rsid w:val="00856B92"/>
    <w:rsid w:val="00856D89"/>
    <w:rsid w:val="00857918"/>
    <w:rsid w:val="00857D85"/>
    <w:rsid w:val="0086029E"/>
    <w:rsid w:val="00860A25"/>
    <w:rsid w:val="00861CB3"/>
    <w:rsid w:val="008655C7"/>
    <w:rsid w:val="00865B14"/>
    <w:rsid w:val="00872027"/>
    <w:rsid w:val="0087450A"/>
    <w:rsid w:val="0087794F"/>
    <w:rsid w:val="00881862"/>
    <w:rsid w:val="008838DC"/>
    <w:rsid w:val="00883C97"/>
    <w:rsid w:val="008845AC"/>
    <w:rsid w:val="00886E2A"/>
    <w:rsid w:val="008A258F"/>
    <w:rsid w:val="008A296F"/>
    <w:rsid w:val="008A3E68"/>
    <w:rsid w:val="008B306A"/>
    <w:rsid w:val="008B6C6F"/>
    <w:rsid w:val="008C0E5C"/>
    <w:rsid w:val="008C592D"/>
    <w:rsid w:val="008C6D85"/>
    <w:rsid w:val="008D41EB"/>
    <w:rsid w:val="008D616B"/>
    <w:rsid w:val="008D7389"/>
    <w:rsid w:val="008E1FE1"/>
    <w:rsid w:val="008E5B72"/>
    <w:rsid w:val="008F1664"/>
    <w:rsid w:val="008F48A4"/>
    <w:rsid w:val="0090256A"/>
    <w:rsid w:val="00903337"/>
    <w:rsid w:val="00905967"/>
    <w:rsid w:val="00911523"/>
    <w:rsid w:val="00911A11"/>
    <w:rsid w:val="00911F53"/>
    <w:rsid w:val="00914793"/>
    <w:rsid w:val="00915D1F"/>
    <w:rsid w:val="009172E6"/>
    <w:rsid w:val="00925434"/>
    <w:rsid w:val="00926093"/>
    <w:rsid w:val="00930F28"/>
    <w:rsid w:val="00931471"/>
    <w:rsid w:val="0094257D"/>
    <w:rsid w:val="00942696"/>
    <w:rsid w:val="009466DF"/>
    <w:rsid w:val="00951542"/>
    <w:rsid w:val="00953574"/>
    <w:rsid w:val="00954404"/>
    <w:rsid w:val="00954D0E"/>
    <w:rsid w:val="009564E2"/>
    <w:rsid w:val="00957156"/>
    <w:rsid w:val="009607B2"/>
    <w:rsid w:val="009625CF"/>
    <w:rsid w:val="00964379"/>
    <w:rsid w:val="00965503"/>
    <w:rsid w:val="009657CB"/>
    <w:rsid w:val="00966B0C"/>
    <w:rsid w:val="0096717A"/>
    <w:rsid w:val="00970FCB"/>
    <w:rsid w:val="00971BE1"/>
    <w:rsid w:val="0097291F"/>
    <w:rsid w:val="00972C0E"/>
    <w:rsid w:val="0097405D"/>
    <w:rsid w:val="00974C2C"/>
    <w:rsid w:val="00975B1A"/>
    <w:rsid w:val="00981764"/>
    <w:rsid w:val="00984B0D"/>
    <w:rsid w:val="00991B6C"/>
    <w:rsid w:val="0099249F"/>
    <w:rsid w:val="009A7724"/>
    <w:rsid w:val="009B3A6D"/>
    <w:rsid w:val="009B42F2"/>
    <w:rsid w:val="009C0447"/>
    <w:rsid w:val="009C06C7"/>
    <w:rsid w:val="009C1345"/>
    <w:rsid w:val="009C2BAD"/>
    <w:rsid w:val="009C4C78"/>
    <w:rsid w:val="009D0E5F"/>
    <w:rsid w:val="009D14A3"/>
    <w:rsid w:val="009D64E5"/>
    <w:rsid w:val="009D6C95"/>
    <w:rsid w:val="009E39AA"/>
    <w:rsid w:val="009E744D"/>
    <w:rsid w:val="009F6C67"/>
    <w:rsid w:val="00A00486"/>
    <w:rsid w:val="00A00D0E"/>
    <w:rsid w:val="00A01711"/>
    <w:rsid w:val="00A050DA"/>
    <w:rsid w:val="00A1014E"/>
    <w:rsid w:val="00A123A4"/>
    <w:rsid w:val="00A21BD0"/>
    <w:rsid w:val="00A23005"/>
    <w:rsid w:val="00A2735E"/>
    <w:rsid w:val="00A2737C"/>
    <w:rsid w:val="00A33AA6"/>
    <w:rsid w:val="00A344C9"/>
    <w:rsid w:val="00A4106B"/>
    <w:rsid w:val="00A44115"/>
    <w:rsid w:val="00A44F98"/>
    <w:rsid w:val="00A526BE"/>
    <w:rsid w:val="00A63432"/>
    <w:rsid w:val="00A65CF2"/>
    <w:rsid w:val="00A6789C"/>
    <w:rsid w:val="00A708E3"/>
    <w:rsid w:val="00A75E0E"/>
    <w:rsid w:val="00A814CC"/>
    <w:rsid w:val="00A83EFA"/>
    <w:rsid w:val="00A84980"/>
    <w:rsid w:val="00A869B2"/>
    <w:rsid w:val="00A939E5"/>
    <w:rsid w:val="00A9630F"/>
    <w:rsid w:val="00AA0AE0"/>
    <w:rsid w:val="00AA2E12"/>
    <w:rsid w:val="00AA38B9"/>
    <w:rsid w:val="00AA7578"/>
    <w:rsid w:val="00AB1A49"/>
    <w:rsid w:val="00AB3892"/>
    <w:rsid w:val="00AB45FF"/>
    <w:rsid w:val="00AB7AB0"/>
    <w:rsid w:val="00AC23AD"/>
    <w:rsid w:val="00AC6409"/>
    <w:rsid w:val="00AD0322"/>
    <w:rsid w:val="00AD1E7F"/>
    <w:rsid w:val="00AD3318"/>
    <w:rsid w:val="00AD4BDD"/>
    <w:rsid w:val="00AE10B0"/>
    <w:rsid w:val="00AE262B"/>
    <w:rsid w:val="00AE3090"/>
    <w:rsid w:val="00AE35DD"/>
    <w:rsid w:val="00AE48D8"/>
    <w:rsid w:val="00AE74D8"/>
    <w:rsid w:val="00AF587E"/>
    <w:rsid w:val="00AF696C"/>
    <w:rsid w:val="00AF721A"/>
    <w:rsid w:val="00B00D2E"/>
    <w:rsid w:val="00B00EC2"/>
    <w:rsid w:val="00B07980"/>
    <w:rsid w:val="00B17B64"/>
    <w:rsid w:val="00B20F1E"/>
    <w:rsid w:val="00B23902"/>
    <w:rsid w:val="00B24DF2"/>
    <w:rsid w:val="00B34162"/>
    <w:rsid w:val="00B3513B"/>
    <w:rsid w:val="00B37196"/>
    <w:rsid w:val="00B40226"/>
    <w:rsid w:val="00B42B47"/>
    <w:rsid w:val="00B42C9F"/>
    <w:rsid w:val="00B42FE1"/>
    <w:rsid w:val="00B45192"/>
    <w:rsid w:val="00B51920"/>
    <w:rsid w:val="00B52FB0"/>
    <w:rsid w:val="00B6047C"/>
    <w:rsid w:val="00B62167"/>
    <w:rsid w:val="00B62C36"/>
    <w:rsid w:val="00B65D53"/>
    <w:rsid w:val="00B66DF8"/>
    <w:rsid w:val="00B70357"/>
    <w:rsid w:val="00B70FE9"/>
    <w:rsid w:val="00B72B80"/>
    <w:rsid w:val="00B733AD"/>
    <w:rsid w:val="00B737BF"/>
    <w:rsid w:val="00B743DC"/>
    <w:rsid w:val="00B87396"/>
    <w:rsid w:val="00B90F65"/>
    <w:rsid w:val="00B92683"/>
    <w:rsid w:val="00B93B56"/>
    <w:rsid w:val="00BA194F"/>
    <w:rsid w:val="00BA2426"/>
    <w:rsid w:val="00BA721A"/>
    <w:rsid w:val="00BB2C03"/>
    <w:rsid w:val="00BB57E0"/>
    <w:rsid w:val="00BB6E05"/>
    <w:rsid w:val="00BC23BC"/>
    <w:rsid w:val="00BC2644"/>
    <w:rsid w:val="00BC3163"/>
    <w:rsid w:val="00BD029F"/>
    <w:rsid w:val="00BD1169"/>
    <w:rsid w:val="00BD55AC"/>
    <w:rsid w:val="00BD669B"/>
    <w:rsid w:val="00BE5337"/>
    <w:rsid w:val="00BE61EA"/>
    <w:rsid w:val="00BF1023"/>
    <w:rsid w:val="00BF2D87"/>
    <w:rsid w:val="00BF51F3"/>
    <w:rsid w:val="00BF545D"/>
    <w:rsid w:val="00BF5DC5"/>
    <w:rsid w:val="00BF6153"/>
    <w:rsid w:val="00BF6CB0"/>
    <w:rsid w:val="00C01BF3"/>
    <w:rsid w:val="00C059AB"/>
    <w:rsid w:val="00C061FD"/>
    <w:rsid w:val="00C066EB"/>
    <w:rsid w:val="00C068A3"/>
    <w:rsid w:val="00C12A3F"/>
    <w:rsid w:val="00C15996"/>
    <w:rsid w:val="00C16786"/>
    <w:rsid w:val="00C16FEC"/>
    <w:rsid w:val="00C21BC3"/>
    <w:rsid w:val="00C2654F"/>
    <w:rsid w:val="00C27242"/>
    <w:rsid w:val="00C2739C"/>
    <w:rsid w:val="00C3212E"/>
    <w:rsid w:val="00C35E63"/>
    <w:rsid w:val="00C3606F"/>
    <w:rsid w:val="00C37EF7"/>
    <w:rsid w:val="00C44C64"/>
    <w:rsid w:val="00C44F35"/>
    <w:rsid w:val="00C474E3"/>
    <w:rsid w:val="00C55932"/>
    <w:rsid w:val="00C56E52"/>
    <w:rsid w:val="00C60F62"/>
    <w:rsid w:val="00C64B64"/>
    <w:rsid w:val="00C66A8D"/>
    <w:rsid w:val="00C6774C"/>
    <w:rsid w:val="00C72791"/>
    <w:rsid w:val="00C73152"/>
    <w:rsid w:val="00C82462"/>
    <w:rsid w:val="00C84270"/>
    <w:rsid w:val="00C84422"/>
    <w:rsid w:val="00C86782"/>
    <w:rsid w:val="00C91E5C"/>
    <w:rsid w:val="00C92582"/>
    <w:rsid w:val="00C95C2C"/>
    <w:rsid w:val="00CA08F8"/>
    <w:rsid w:val="00CA0F4E"/>
    <w:rsid w:val="00CA3442"/>
    <w:rsid w:val="00CA3F3F"/>
    <w:rsid w:val="00CA3F85"/>
    <w:rsid w:val="00CA552A"/>
    <w:rsid w:val="00CA5DA5"/>
    <w:rsid w:val="00CA620E"/>
    <w:rsid w:val="00CA63CB"/>
    <w:rsid w:val="00CA699F"/>
    <w:rsid w:val="00CA7CA6"/>
    <w:rsid w:val="00CB0500"/>
    <w:rsid w:val="00CB5DA0"/>
    <w:rsid w:val="00CB7CDC"/>
    <w:rsid w:val="00CB7D6D"/>
    <w:rsid w:val="00CC1384"/>
    <w:rsid w:val="00CC1DF4"/>
    <w:rsid w:val="00CC22C5"/>
    <w:rsid w:val="00CC3CA6"/>
    <w:rsid w:val="00CD32C6"/>
    <w:rsid w:val="00CE265E"/>
    <w:rsid w:val="00CE5807"/>
    <w:rsid w:val="00CE5B14"/>
    <w:rsid w:val="00CE7AD4"/>
    <w:rsid w:val="00D1191F"/>
    <w:rsid w:val="00D14D49"/>
    <w:rsid w:val="00D17106"/>
    <w:rsid w:val="00D22674"/>
    <w:rsid w:val="00D278D9"/>
    <w:rsid w:val="00D31C87"/>
    <w:rsid w:val="00D31F4E"/>
    <w:rsid w:val="00D34908"/>
    <w:rsid w:val="00D34E16"/>
    <w:rsid w:val="00D357D0"/>
    <w:rsid w:val="00D411EF"/>
    <w:rsid w:val="00D46B81"/>
    <w:rsid w:val="00D46BA9"/>
    <w:rsid w:val="00D46D59"/>
    <w:rsid w:val="00D47FB1"/>
    <w:rsid w:val="00D51F86"/>
    <w:rsid w:val="00D560E5"/>
    <w:rsid w:val="00D56496"/>
    <w:rsid w:val="00D60649"/>
    <w:rsid w:val="00D64001"/>
    <w:rsid w:val="00D64160"/>
    <w:rsid w:val="00D65EF2"/>
    <w:rsid w:val="00D707A8"/>
    <w:rsid w:val="00D72F02"/>
    <w:rsid w:val="00D73F74"/>
    <w:rsid w:val="00D75194"/>
    <w:rsid w:val="00D80D83"/>
    <w:rsid w:val="00D84002"/>
    <w:rsid w:val="00D85920"/>
    <w:rsid w:val="00D86D1E"/>
    <w:rsid w:val="00D86E52"/>
    <w:rsid w:val="00D8783F"/>
    <w:rsid w:val="00D9270D"/>
    <w:rsid w:val="00D94E1D"/>
    <w:rsid w:val="00D95275"/>
    <w:rsid w:val="00D95947"/>
    <w:rsid w:val="00D974C0"/>
    <w:rsid w:val="00D97A91"/>
    <w:rsid w:val="00DA574B"/>
    <w:rsid w:val="00DB088D"/>
    <w:rsid w:val="00DB1FEA"/>
    <w:rsid w:val="00DB6752"/>
    <w:rsid w:val="00DC512C"/>
    <w:rsid w:val="00DC7017"/>
    <w:rsid w:val="00DC73F1"/>
    <w:rsid w:val="00DC797C"/>
    <w:rsid w:val="00DD1AFD"/>
    <w:rsid w:val="00DD22FF"/>
    <w:rsid w:val="00DE1294"/>
    <w:rsid w:val="00DE349F"/>
    <w:rsid w:val="00DF067B"/>
    <w:rsid w:val="00DF193F"/>
    <w:rsid w:val="00DF1EF2"/>
    <w:rsid w:val="00DF274D"/>
    <w:rsid w:val="00E023F0"/>
    <w:rsid w:val="00E057D8"/>
    <w:rsid w:val="00E0655B"/>
    <w:rsid w:val="00E06D57"/>
    <w:rsid w:val="00E1788D"/>
    <w:rsid w:val="00E24EBB"/>
    <w:rsid w:val="00E300ED"/>
    <w:rsid w:val="00E342C4"/>
    <w:rsid w:val="00E364E5"/>
    <w:rsid w:val="00E44950"/>
    <w:rsid w:val="00E4504F"/>
    <w:rsid w:val="00E50985"/>
    <w:rsid w:val="00E575D6"/>
    <w:rsid w:val="00E57748"/>
    <w:rsid w:val="00E63306"/>
    <w:rsid w:val="00E641F6"/>
    <w:rsid w:val="00E64F10"/>
    <w:rsid w:val="00E71B68"/>
    <w:rsid w:val="00E7266B"/>
    <w:rsid w:val="00E757F3"/>
    <w:rsid w:val="00E83D81"/>
    <w:rsid w:val="00E869FC"/>
    <w:rsid w:val="00E900F4"/>
    <w:rsid w:val="00E90388"/>
    <w:rsid w:val="00E938D1"/>
    <w:rsid w:val="00E94D5A"/>
    <w:rsid w:val="00E966E0"/>
    <w:rsid w:val="00E97E47"/>
    <w:rsid w:val="00EA0A72"/>
    <w:rsid w:val="00EB04FB"/>
    <w:rsid w:val="00EB080A"/>
    <w:rsid w:val="00ED0F29"/>
    <w:rsid w:val="00ED120A"/>
    <w:rsid w:val="00ED4061"/>
    <w:rsid w:val="00ED6250"/>
    <w:rsid w:val="00EE0E57"/>
    <w:rsid w:val="00EE1B0A"/>
    <w:rsid w:val="00EE33EB"/>
    <w:rsid w:val="00EE5FFD"/>
    <w:rsid w:val="00EE63B1"/>
    <w:rsid w:val="00EF20CC"/>
    <w:rsid w:val="00EF4817"/>
    <w:rsid w:val="00EF7520"/>
    <w:rsid w:val="00F006DC"/>
    <w:rsid w:val="00F05748"/>
    <w:rsid w:val="00F05A99"/>
    <w:rsid w:val="00F05EBD"/>
    <w:rsid w:val="00F061F4"/>
    <w:rsid w:val="00F07DD8"/>
    <w:rsid w:val="00F107B3"/>
    <w:rsid w:val="00F10D0E"/>
    <w:rsid w:val="00F11E70"/>
    <w:rsid w:val="00F17021"/>
    <w:rsid w:val="00F171E9"/>
    <w:rsid w:val="00F200EF"/>
    <w:rsid w:val="00F206EA"/>
    <w:rsid w:val="00F209EB"/>
    <w:rsid w:val="00F24ECC"/>
    <w:rsid w:val="00F2548E"/>
    <w:rsid w:val="00F30172"/>
    <w:rsid w:val="00F342F4"/>
    <w:rsid w:val="00F34F4D"/>
    <w:rsid w:val="00F37090"/>
    <w:rsid w:val="00F429E9"/>
    <w:rsid w:val="00F474BC"/>
    <w:rsid w:val="00F529A2"/>
    <w:rsid w:val="00F52CC3"/>
    <w:rsid w:val="00F54A06"/>
    <w:rsid w:val="00F54C65"/>
    <w:rsid w:val="00F552E8"/>
    <w:rsid w:val="00F613BC"/>
    <w:rsid w:val="00F70E1D"/>
    <w:rsid w:val="00F70FBB"/>
    <w:rsid w:val="00F756F5"/>
    <w:rsid w:val="00F77B79"/>
    <w:rsid w:val="00F9210D"/>
    <w:rsid w:val="00F92219"/>
    <w:rsid w:val="00F94F6A"/>
    <w:rsid w:val="00F96B18"/>
    <w:rsid w:val="00FB0010"/>
    <w:rsid w:val="00FB4255"/>
    <w:rsid w:val="00FB48C2"/>
    <w:rsid w:val="00FB4B19"/>
    <w:rsid w:val="00FB6226"/>
    <w:rsid w:val="00FB6252"/>
    <w:rsid w:val="00FC04E3"/>
    <w:rsid w:val="00FC0F7F"/>
    <w:rsid w:val="00FC112C"/>
    <w:rsid w:val="00FC29FB"/>
    <w:rsid w:val="00FC3851"/>
    <w:rsid w:val="00FC3E76"/>
    <w:rsid w:val="00FC56D2"/>
    <w:rsid w:val="00FD07B4"/>
    <w:rsid w:val="00FD117A"/>
    <w:rsid w:val="00FD1D00"/>
    <w:rsid w:val="00FD654A"/>
    <w:rsid w:val="00FD7396"/>
    <w:rsid w:val="00FE01CA"/>
    <w:rsid w:val="00FE1455"/>
    <w:rsid w:val="00FE31AF"/>
    <w:rsid w:val="00FE3761"/>
    <w:rsid w:val="00FF30B9"/>
    <w:rsid w:val="00FF4937"/>
    <w:rsid w:val="00FF62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E304C"/>
  <w15:chartTrackingRefBased/>
  <w15:docId w15:val="{F9D45049-239A-4C4F-A3A7-9DCE3A4D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91F"/>
    <w:rPr>
      <w:rFonts w:ascii="Calibri" w:hAnsi="Calibri"/>
      <w:sz w:val="22"/>
    </w:rPr>
  </w:style>
  <w:style w:type="paragraph" w:styleId="Heading1">
    <w:name w:val="heading 1"/>
    <w:basedOn w:val="Normal"/>
    <w:next w:val="Normal"/>
    <w:qFormat/>
    <w:rsid w:val="0097291F"/>
    <w:pPr>
      <w:spacing w:before="240" w:after="240"/>
      <w:jc w:val="center"/>
      <w:outlineLvl w:val="0"/>
    </w:pPr>
    <w:rPr>
      <w:rFonts w:cs="Calibri"/>
      <w:b/>
      <w:sz w:val="40"/>
      <w:szCs w:val="40"/>
    </w:rPr>
  </w:style>
  <w:style w:type="paragraph" w:styleId="Heading2">
    <w:name w:val="heading 2"/>
    <w:basedOn w:val="Normal"/>
    <w:next w:val="Normal"/>
    <w:qFormat/>
    <w:rsid w:val="0097291F"/>
    <w:pPr>
      <w:outlineLvl w:val="1"/>
    </w:pPr>
    <w:rPr>
      <w:rFonts w:cs="Calibri"/>
      <w:b/>
      <w:bCs/>
      <w:sz w:val="36"/>
      <w:szCs w:val="36"/>
    </w:rPr>
  </w:style>
  <w:style w:type="paragraph" w:styleId="Heading3">
    <w:name w:val="heading 3"/>
    <w:basedOn w:val="Normal"/>
    <w:next w:val="Normal"/>
    <w:link w:val="Heading3Char"/>
    <w:unhideWhenUsed/>
    <w:qFormat/>
    <w:rsid w:val="00E300ED"/>
    <w:pPr>
      <w:shd w:val="clear" w:color="auto" w:fill="D9D9D9" w:themeFill="background1" w:themeFillShade="D9"/>
      <w:spacing w:before="240" w:after="240"/>
      <w:ind w:left="-86" w:right="-86" w:firstLine="86"/>
      <w:outlineLvl w:val="2"/>
    </w:pPr>
    <w:rPr>
      <w:rFonts w:cs="Calibri"/>
      <w:b/>
      <w:sz w:val="24"/>
      <w:szCs w:val="22"/>
    </w:rPr>
  </w:style>
  <w:style w:type="paragraph" w:styleId="Heading4">
    <w:name w:val="heading 4"/>
    <w:basedOn w:val="Normal"/>
    <w:next w:val="Normal"/>
    <w:link w:val="Heading4Char"/>
    <w:unhideWhenUsed/>
    <w:qFormat/>
    <w:rsid w:val="00050290"/>
    <w:pPr>
      <w:keepNext/>
      <w:keepLines/>
      <w:pBdr>
        <w:bottom w:val="single" w:sz="4" w:space="1" w:color="auto"/>
      </w:pBdr>
      <w:spacing w:before="240" w:after="100" w:afterAutospacing="1"/>
      <w:outlineLvl w:val="3"/>
    </w:pPr>
    <w:rPr>
      <w:rFonts w:asciiTheme="minorHAnsi" w:eastAsiaTheme="majorEastAsia" w:hAnsiTheme="min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754F4E"/>
  </w:style>
  <w:style w:type="table" w:styleId="TableGrid">
    <w:name w:val="Table Grid"/>
    <w:basedOn w:val="TableNormal"/>
    <w:rsid w:val="0028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ichard">
    <w:name w:val="erichard"/>
    <w:semiHidden/>
    <w:rsid w:val="003D5713"/>
    <w:rPr>
      <w:rFonts w:ascii="Arial" w:hAnsi="Arial" w:cs="Arial"/>
      <w:color w:val="000080"/>
      <w:sz w:val="20"/>
      <w:szCs w:val="20"/>
    </w:rPr>
  </w:style>
  <w:style w:type="character" w:customStyle="1" w:styleId="FooterChar">
    <w:name w:val="Footer Char"/>
    <w:link w:val="Footer"/>
    <w:uiPriority w:val="99"/>
    <w:rsid w:val="00140457"/>
    <w:rPr>
      <w:sz w:val="24"/>
    </w:rPr>
  </w:style>
  <w:style w:type="paragraph" w:styleId="ListParagraph">
    <w:name w:val="List Paragraph"/>
    <w:basedOn w:val="Normal"/>
    <w:uiPriority w:val="34"/>
    <w:qFormat/>
    <w:rsid w:val="000B0FA0"/>
    <w:pPr>
      <w:ind w:left="720"/>
      <w:contextualSpacing/>
    </w:pPr>
  </w:style>
  <w:style w:type="paragraph" w:customStyle="1" w:styleId="Default">
    <w:name w:val="Default"/>
    <w:basedOn w:val="Normal"/>
    <w:rsid w:val="007833F3"/>
    <w:pPr>
      <w:autoSpaceDE w:val="0"/>
      <w:autoSpaceDN w:val="0"/>
    </w:pPr>
    <w:rPr>
      <w:rFonts w:eastAsia="Calibri"/>
      <w:color w:val="000000"/>
      <w:szCs w:val="24"/>
    </w:rPr>
  </w:style>
  <w:style w:type="character" w:styleId="Strong">
    <w:name w:val="Strong"/>
    <w:uiPriority w:val="22"/>
    <w:qFormat/>
    <w:rsid w:val="00AF721A"/>
    <w:rPr>
      <w:rFonts w:asciiTheme="minorHAnsi" w:hAnsiTheme="minorHAnsi"/>
      <w:b/>
      <w:bCs/>
      <w:sz w:val="22"/>
    </w:rPr>
  </w:style>
  <w:style w:type="character" w:styleId="Hyperlink">
    <w:name w:val="Hyperlink"/>
    <w:uiPriority w:val="99"/>
    <w:rsid w:val="00D65EF2"/>
    <w:rPr>
      <w:color w:val="0000FF"/>
      <w:u w:val="single"/>
    </w:rPr>
  </w:style>
  <w:style w:type="character" w:styleId="UnresolvedMention">
    <w:name w:val="Unresolved Mention"/>
    <w:uiPriority w:val="99"/>
    <w:semiHidden/>
    <w:unhideWhenUsed/>
    <w:rsid w:val="000307C7"/>
    <w:rPr>
      <w:color w:val="605E5C"/>
      <w:shd w:val="clear" w:color="auto" w:fill="E1DFDD"/>
    </w:rPr>
  </w:style>
  <w:style w:type="character" w:customStyle="1" w:styleId="HeaderChar">
    <w:name w:val="Header Char"/>
    <w:link w:val="Header"/>
    <w:uiPriority w:val="99"/>
    <w:rsid w:val="00D60649"/>
    <w:rPr>
      <w:sz w:val="24"/>
    </w:rPr>
  </w:style>
  <w:style w:type="character" w:customStyle="1" w:styleId="align-middle">
    <w:name w:val="align-middle"/>
    <w:rsid w:val="00D60649"/>
  </w:style>
  <w:style w:type="character" w:styleId="FollowedHyperlink">
    <w:name w:val="FollowedHyperlink"/>
    <w:rsid w:val="006B67EE"/>
    <w:rPr>
      <w:color w:val="954F72"/>
      <w:u w:val="single"/>
    </w:rPr>
  </w:style>
  <w:style w:type="character" w:styleId="CommentReference">
    <w:name w:val="annotation reference"/>
    <w:basedOn w:val="DefaultParagraphFont"/>
    <w:rsid w:val="008838DC"/>
    <w:rPr>
      <w:sz w:val="16"/>
      <w:szCs w:val="16"/>
    </w:rPr>
  </w:style>
  <w:style w:type="paragraph" w:styleId="CommentText">
    <w:name w:val="annotation text"/>
    <w:basedOn w:val="Normal"/>
    <w:link w:val="CommentTextChar"/>
    <w:rsid w:val="008838DC"/>
    <w:rPr>
      <w:sz w:val="20"/>
    </w:rPr>
  </w:style>
  <w:style w:type="character" w:customStyle="1" w:styleId="CommentTextChar">
    <w:name w:val="Comment Text Char"/>
    <w:basedOn w:val="DefaultParagraphFont"/>
    <w:link w:val="CommentText"/>
    <w:rsid w:val="008838DC"/>
  </w:style>
  <w:style w:type="paragraph" w:styleId="CommentSubject">
    <w:name w:val="annotation subject"/>
    <w:basedOn w:val="CommentText"/>
    <w:next w:val="CommentText"/>
    <w:link w:val="CommentSubjectChar"/>
    <w:rsid w:val="008838DC"/>
    <w:rPr>
      <w:b/>
      <w:bCs/>
    </w:rPr>
  </w:style>
  <w:style w:type="character" w:customStyle="1" w:styleId="CommentSubjectChar">
    <w:name w:val="Comment Subject Char"/>
    <w:basedOn w:val="CommentTextChar"/>
    <w:link w:val="CommentSubject"/>
    <w:rsid w:val="008838DC"/>
    <w:rPr>
      <w:b/>
      <w:bCs/>
    </w:rPr>
  </w:style>
  <w:style w:type="character" w:customStyle="1" w:styleId="Heading3Char">
    <w:name w:val="Heading 3 Char"/>
    <w:basedOn w:val="DefaultParagraphFont"/>
    <w:link w:val="Heading3"/>
    <w:rsid w:val="00E300ED"/>
    <w:rPr>
      <w:rFonts w:ascii="Calibri" w:hAnsi="Calibri" w:cs="Calibri"/>
      <w:b/>
      <w:sz w:val="24"/>
      <w:szCs w:val="22"/>
      <w:shd w:val="clear" w:color="auto" w:fill="D9D9D9" w:themeFill="background1" w:themeFillShade="D9"/>
    </w:rPr>
  </w:style>
  <w:style w:type="character" w:customStyle="1" w:styleId="Heading4Char">
    <w:name w:val="Heading 4 Char"/>
    <w:basedOn w:val="DefaultParagraphFont"/>
    <w:link w:val="Heading4"/>
    <w:rsid w:val="00050290"/>
    <w:rPr>
      <w:rFonts w:asciiTheme="minorHAnsi" w:eastAsiaTheme="majorEastAsia" w:hAnsiTheme="minorHAnsi" w:cstheme="majorBidi"/>
      <w:b/>
      <w:iCs/>
      <w:color w:val="000000" w:themeColor="text1"/>
      <w:sz w:val="22"/>
    </w:rPr>
  </w:style>
  <w:style w:type="character" w:styleId="Emphasis">
    <w:name w:val="Emphasis"/>
    <w:basedOn w:val="DefaultParagraphFont"/>
    <w:uiPriority w:val="20"/>
    <w:qFormat/>
    <w:rsid w:val="00592151"/>
    <w:rPr>
      <w:i/>
      <w:iCs/>
    </w:rPr>
  </w:style>
  <w:style w:type="paragraph" w:customStyle="1" w:styleId="Important">
    <w:name w:val="Important"/>
    <w:basedOn w:val="Normal"/>
    <w:qFormat/>
    <w:rsid w:val="00CA552A"/>
    <w:pPr>
      <w:pBdr>
        <w:top w:val="double" w:sz="12" w:space="8" w:color="C00000"/>
        <w:left w:val="double" w:sz="12" w:space="8" w:color="C00000"/>
        <w:bottom w:val="double" w:sz="12" w:space="8" w:color="C00000"/>
        <w:right w:val="double" w:sz="12" w:space="8" w:color="C00000"/>
      </w:pBdr>
      <w:shd w:val="clear" w:color="auto" w:fill="FFEBEB"/>
      <w:spacing w:before="120"/>
      <w:ind w:left="432" w:right="576"/>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801025">
      <w:bodyDiv w:val="1"/>
      <w:marLeft w:val="0"/>
      <w:marRight w:val="0"/>
      <w:marTop w:val="0"/>
      <w:marBottom w:val="0"/>
      <w:divBdr>
        <w:top w:val="none" w:sz="0" w:space="0" w:color="auto"/>
        <w:left w:val="none" w:sz="0" w:space="0" w:color="auto"/>
        <w:bottom w:val="none" w:sz="0" w:space="0" w:color="auto"/>
        <w:right w:val="none" w:sz="0" w:space="0" w:color="auto"/>
      </w:divBdr>
    </w:div>
    <w:div w:id="1235093611">
      <w:bodyDiv w:val="1"/>
      <w:marLeft w:val="0"/>
      <w:marRight w:val="0"/>
      <w:marTop w:val="0"/>
      <w:marBottom w:val="0"/>
      <w:divBdr>
        <w:top w:val="none" w:sz="0" w:space="0" w:color="auto"/>
        <w:left w:val="none" w:sz="0" w:space="0" w:color="auto"/>
        <w:bottom w:val="none" w:sz="0" w:space="0" w:color="auto"/>
        <w:right w:val="none" w:sz="0" w:space="0" w:color="auto"/>
      </w:divBdr>
    </w:div>
    <w:div w:id="1675180207">
      <w:bodyDiv w:val="1"/>
      <w:marLeft w:val="0"/>
      <w:marRight w:val="0"/>
      <w:marTop w:val="0"/>
      <w:marBottom w:val="0"/>
      <w:divBdr>
        <w:top w:val="none" w:sz="0" w:space="0" w:color="auto"/>
        <w:left w:val="none" w:sz="0" w:space="0" w:color="auto"/>
        <w:bottom w:val="none" w:sz="0" w:space="0" w:color="auto"/>
        <w:right w:val="none" w:sz="0" w:space="0" w:color="auto"/>
      </w:divBdr>
    </w:div>
    <w:div w:id="18330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justia.com/codes/new-jersey/2016/title-18a/section-18a-40-41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aw.justia.com/codes/new-jersey/2013/title-18a/section-18a-4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dep/watersupply/pdf/statut_58.12A-1_SDWA.pdf" TargetMode="External"/><Relationship Id="rId5" Type="http://schemas.openxmlformats.org/officeDocument/2006/relationships/webSettings" Target="webSettings.xml"/><Relationship Id="rId15" Type="http://schemas.openxmlformats.org/officeDocument/2006/relationships/hyperlink" Target="https://regulations.justia.com/states/new-jersey/title-5/chapter-70/subchapter-4/section-5-70-4-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des.iccsafe.org/content/NJFC2015/chapter-8-interior-finish-decorative-materials-and-furnishings" TargetMode="External"/><Relationship Id="rId4" Type="http://schemas.openxmlformats.org/officeDocument/2006/relationships/settings" Target="settings.xml"/><Relationship Id="rId9" Type="http://schemas.openxmlformats.org/officeDocument/2006/relationships/hyperlink" Target="https://www.nj.gov/education/code/current/title6a/chap26.pdf" TargetMode="External"/><Relationship Id="rId14" Type="http://schemas.openxmlformats.org/officeDocument/2006/relationships/hyperlink" Target="https://regulations.justia.com/states/new-jersey/title-5/chapter-70/subchapter-4/section-5-70-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4D38-B286-49BE-81D5-1B30A4D6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2783</Words>
  <Characters>15308</Characters>
  <Application>Microsoft Office Word</Application>
  <DocSecurity>0</DocSecurity>
  <Lines>206</Lines>
  <Paragraphs>80</Paragraphs>
  <ScaleCrop>false</ScaleCrop>
  <HeadingPairs>
    <vt:vector size="2" baseType="variant">
      <vt:variant>
        <vt:lpstr>Title</vt:lpstr>
      </vt:variant>
      <vt:variant>
        <vt:i4>1</vt:i4>
      </vt:variant>
    </vt:vector>
  </HeadingPairs>
  <TitlesOfParts>
    <vt:vector size="1" baseType="lpstr">
      <vt:lpstr>Healthy and Safety Evaluation of School Buildings Checklist</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and Safety Evaluation of School Buildings Checklist</dc:title>
  <dc:subject/>
  <dc:creator>New Jersey Department of Education</dc:creator>
  <cp:keywords/>
  <cp:lastModifiedBy>Thomas, Elizabeth</cp:lastModifiedBy>
  <cp:revision>2</cp:revision>
  <cp:lastPrinted>2024-08-07T12:23:00Z</cp:lastPrinted>
  <dcterms:created xsi:type="dcterms:W3CDTF">2024-09-24T18:49:00Z</dcterms:created>
  <dcterms:modified xsi:type="dcterms:W3CDTF">2024-09-24T18:49:00Z</dcterms:modified>
</cp:coreProperties>
</file>