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42" w:rsidRDefault="00074D79"/>
    <w:p w:rsidR="00E70890" w:rsidRDefault="00E70890"/>
    <w:p w:rsidR="00206CB1" w:rsidRDefault="00206CB1" w:rsidP="00E70890">
      <w:pPr>
        <w:pStyle w:val="Heading1"/>
        <w:jc w:val="center"/>
        <w:rPr>
          <w:b/>
        </w:rPr>
      </w:pPr>
    </w:p>
    <w:p w:rsidR="00206CB1" w:rsidRDefault="00206CB1" w:rsidP="00E70890">
      <w:pPr>
        <w:pStyle w:val="Heading1"/>
        <w:jc w:val="center"/>
        <w:rPr>
          <w:b/>
        </w:rPr>
      </w:pPr>
    </w:p>
    <w:p w:rsidR="00E70890" w:rsidRPr="00206CB1" w:rsidRDefault="001919E8" w:rsidP="00E70890">
      <w:pPr>
        <w:pStyle w:val="Heading1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Personnel (2018-2019</w:t>
      </w:r>
      <w:r w:rsidR="00E70890" w:rsidRPr="00206CB1">
        <w:rPr>
          <w:rFonts w:ascii="Arial" w:hAnsi="Arial" w:cs="Arial"/>
          <w:b/>
          <w:sz w:val="48"/>
          <w:szCs w:val="48"/>
        </w:rPr>
        <w:t>)</w:t>
      </w:r>
    </w:p>
    <w:p w:rsidR="00906C21" w:rsidRDefault="00906C21" w:rsidP="00906C21"/>
    <w:p w:rsidR="00906C21" w:rsidRPr="00906C21" w:rsidRDefault="00906C21" w:rsidP="00906C21"/>
    <w:p w:rsidR="00E70890" w:rsidRDefault="00E70890"/>
    <w:p w:rsidR="00E70890" w:rsidRPr="00E70890" w:rsidRDefault="00E70890">
      <w:pPr>
        <w:rPr>
          <w:rFonts w:ascii="Arial" w:hAnsi="Arial" w:cs="Arial"/>
          <w:color w:val="2F5496" w:themeColor="accent1" w:themeShade="BF"/>
          <w:sz w:val="28"/>
          <w:szCs w:val="28"/>
        </w:rPr>
      </w:pPr>
      <w:r w:rsidRPr="00E70890">
        <w:rPr>
          <w:rFonts w:ascii="Arial" w:hAnsi="Arial" w:cs="Arial"/>
          <w:color w:val="2F5496" w:themeColor="accent1" w:themeShade="BF"/>
          <w:sz w:val="28"/>
          <w:szCs w:val="28"/>
        </w:rPr>
        <w:t>Special Education Teachers (FS070)</w:t>
      </w:r>
    </w:p>
    <w:p w:rsidR="00E70890" w:rsidRPr="00DC2808" w:rsidRDefault="00E70890" w:rsidP="00E70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70890">
        <w:rPr>
          <w:rFonts w:ascii="Arial" w:hAnsi="Arial" w:cs="Arial"/>
          <w:color w:val="000000"/>
        </w:rPr>
        <w:t xml:space="preserve">The number of full-time equivalent (FTE) special education teachers employed or contracted to work with children with disabilities (IDEA) who are ages 3 through 21. </w:t>
      </w:r>
    </w:p>
    <w:p w:rsidR="00E70890" w:rsidRDefault="00E70890"/>
    <w:tbl>
      <w:tblPr>
        <w:tblW w:w="10484" w:type="dxa"/>
        <w:tblLook w:val="04A0" w:firstRow="1" w:lastRow="0" w:firstColumn="1" w:lastColumn="0" w:noHBand="0" w:noVBand="1"/>
      </w:tblPr>
      <w:tblGrid>
        <w:gridCol w:w="7960"/>
        <w:gridCol w:w="1480"/>
        <w:gridCol w:w="1044"/>
      </w:tblGrid>
      <w:tr w:rsidR="00E23E12" w:rsidRPr="00E23E12" w:rsidTr="001919E8">
        <w:trPr>
          <w:trHeight w:val="312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23E1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 and Percentage of teachers (FTE)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E23E12" w:rsidRPr="00E23E12" w:rsidRDefault="0080209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E23E12" w:rsidRPr="00E23E12" w:rsidRDefault="0080209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Percent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By qualification status (fully certified)  and age group 3-5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1919E8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1147.28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6.1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By qualification status (fully certified)  and age group 6-21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1919E8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17656.14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93.9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By qualification status (not fully certified)  and age group 3-5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</w:tr>
      <w:tr w:rsidR="001919E8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E8" w:rsidRPr="00E23E12" w:rsidRDefault="001919E8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By qualification status (not ful</w:t>
            </w:r>
            <w:r>
              <w:rPr>
                <w:rFonts w:ascii="Arial" w:eastAsia="Times New Roman" w:hAnsi="Arial" w:cs="Arial"/>
                <w:color w:val="000000"/>
              </w:rPr>
              <w:t>ly certified)  and age group 6-21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E8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E8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Subtotal by qualification status (fully certified)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1919E8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18803.42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100.0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Subtotal by qualification status (not fully certified)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NA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Subtotal by age group (3-5)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1919E8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1147.28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6.1</w:t>
            </w:r>
          </w:p>
        </w:tc>
      </w:tr>
      <w:tr w:rsidR="00E23E12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E12" w:rsidRPr="00E23E12" w:rsidRDefault="00E23E12" w:rsidP="00E23E1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Subtotal by age group (6-21)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1919E8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17656.14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E12" w:rsidRPr="00E23E12" w:rsidRDefault="008A1A4B" w:rsidP="00E23E1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93.9</w:t>
            </w:r>
          </w:p>
        </w:tc>
      </w:tr>
      <w:tr w:rsidR="001919E8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E8" w:rsidRPr="00E23E12" w:rsidRDefault="001919E8" w:rsidP="001919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1919E8">
              <w:rPr>
                <w:rFonts w:ascii="Arial" w:eastAsia="Times New Roman" w:hAnsi="Arial" w:cs="Arial"/>
                <w:color w:val="000000"/>
              </w:rPr>
              <w:t>18803.42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9E8" w:rsidRPr="00E23E12" w:rsidRDefault="008A1A4B" w:rsidP="001919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</w:t>
            </w:r>
          </w:p>
        </w:tc>
      </w:tr>
      <w:tr w:rsidR="001919E8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19E8" w:rsidRPr="00E23E12" w:rsidTr="001919E8">
        <w:trPr>
          <w:trHeight w:val="288"/>
        </w:trPr>
        <w:tc>
          <w:tcPr>
            <w:tcW w:w="7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E23E12">
              <w:rPr>
                <w:rFonts w:ascii="Arial" w:eastAsia="Times New Roman" w:hAnsi="Arial" w:cs="Arial"/>
                <w:color w:val="000000"/>
              </w:rPr>
              <w:t>Note: All special education teachers are fully certified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19E8" w:rsidRPr="00E23E12" w:rsidRDefault="001919E8" w:rsidP="00191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70890" w:rsidRDefault="00E70890"/>
    <w:p w:rsidR="00930AED" w:rsidRDefault="00930AED"/>
    <w:p w:rsidR="00930AED" w:rsidRDefault="00930AED" w:rsidP="00930AED">
      <w:p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hAnsi="Arial" w:cs="Arial"/>
          <w:color w:val="2F5496" w:themeColor="accent1" w:themeShade="BF"/>
          <w:sz w:val="28"/>
          <w:szCs w:val="28"/>
        </w:rPr>
        <w:t>FTE Related Services Personnel (FS099</w:t>
      </w:r>
      <w:r w:rsidRPr="00E70890">
        <w:rPr>
          <w:rFonts w:ascii="Arial" w:hAnsi="Arial" w:cs="Arial"/>
          <w:color w:val="2F5496" w:themeColor="accent1" w:themeShade="BF"/>
          <w:sz w:val="28"/>
          <w:szCs w:val="28"/>
        </w:rPr>
        <w:t>)</w:t>
      </w:r>
    </w:p>
    <w:p w:rsidR="00930AED" w:rsidRPr="00DC2808" w:rsidRDefault="00930AED" w:rsidP="00930AED">
      <w:pPr>
        <w:rPr>
          <w:rFonts w:ascii="Arial" w:hAnsi="Arial" w:cs="Arial"/>
        </w:rPr>
      </w:pPr>
      <w:r w:rsidRPr="00DC2808">
        <w:rPr>
          <w:rFonts w:ascii="Arial" w:hAnsi="Arial" w:cs="Arial"/>
          <w:color w:val="000000"/>
        </w:rPr>
        <w:t>The number of full-time equivalent (FTE) related services personnel employed or contracted to provide related services for children with disabilities (IDEA) who are ages 3 through 21.</w:t>
      </w:r>
    </w:p>
    <w:tbl>
      <w:tblPr>
        <w:tblW w:w="10740" w:type="dxa"/>
        <w:tblInd w:w="-5" w:type="dxa"/>
        <w:tblLook w:val="04A0" w:firstRow="1" w:lastRow="0" w:firstColumn="1" w:lastColumn="0" w:noHBand="0" w:noVBand="1"/>
      </w:tblPr>
      <w:tblGrid>
        <w:gridCol w:w="5040"/>
        <w:gridCol w:w="2160"/>
        <w:gridCol w:w="2320"/>
        <w:gridCol w:w="1220"/>
      </w:tblGrid>
      <w:tr w:rsidR="00906C21" w:rsidRPr="00906C21" w:rsidTr="00DC2808">
        <w:trPr>
          <w:trHeight w:val="38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906C21" w:rsidRPr="00906C21" w:rsidRDefault="00906C21" w:rsidP="00906C2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906C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Staff Category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906C21" w:rsidRPr="00906C21" w:rsidRDefault="00906C21" w:rsidP="00906C2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906C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Fully Certified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906C21" w:rsidRPr="00906C21" w:rsidRDefault="00906C21" w:rsidP="00906C2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906C2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Not Fully Certified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906C21" w:rsidRPr="00906C21" w:rsidRDefault="00906C21" w:rsidP="00906C21">
            <w:pPr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24"/>
                <w:szCs w:val="24"/>
              </w:rPr>
            </w:pPr>
            <w:r w:rsidRPr="00906C21">
              <w:rPr>
                <w:rFonts w:ascii="Segoe UI" w:eastAsia="Times New Roman" w:hAnsi="Segoe UI" w:cs="Segoe UI"/>
                <w:bCs/>
                <w:color w:val="000000"/>
                <w:sz w:val="24"/>
                <w:szCs w:val="24"/>
              </w:rPr>
              <w:t>Total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Audiologists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0.4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9.4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Counselors and rehabilitation counselors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293.95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24.67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318.62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Interpreters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20.1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28.1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Medical/nursing service staff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247.89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108.7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356.59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Occupational therapists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225.61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67.21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292.82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Orientation and mobility specialists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2.2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5.2</w:t>
            </w:r>
          </w:p>
        </w:tc>
      </w:tr>
      <w:tr w:rsidR="006D57DB" w:rsidRPr="00906C21" w:rsidTr="006D57DB">
        <w:trPr>
          <w:trHeight w:val="600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Physical education teachers and recreation and therapeutic recreation specialists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206.65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20.2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226.85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Physical therapists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65.46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34.47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99.93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Psychologists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601.43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27.1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628.53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Social workers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641.05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34.96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676.01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Speech-language pathologists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720.37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42.69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D57DB" w:rsidRPr="006D57DB" w:rsidRDefault="006D57DB" w:rsidP="006D5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763.06</w:t>
            </w:r>
          </w:p>
        </w:tc>
      </w:tr>
      <w:tr w:rsidR="006D57DB" w:rsidRPr="00906C21" w:rsidTr="006D57DB">
        <w:trPr>
          <w:trHeight w:val="384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7DB" w:rsidRPr="00906C21" w:rsidRDefault="006D57DB" w:rsidP="006D57D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906C21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7DB" w:rsidRPr="006D57DB" w:rsidRDefault="006D57DB" w:rsidP="006D57DB">
            <w:pPr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3034.51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7DB" w:rsidRPr="006D57DB" w:rsidRDefault="006D57DB" w:rsidP="006D57DB">
            <w:pPr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370.6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7DB" w:rsidRPr="006D57DB" w:rsidRDefault="006D57DB" w:rsidP="006D57DB">
            <w:pPr>
              <w:jc w:val="right"/>
              <w:rPr>
                <w:rFonts w:ascii="Arial" w:hAnsi="Arial" w:cs="Arial"/>
                <w:color w:val="000000"/>
              </w:rPr>
            </w:pPr>
            <w:r w:rsidRPr="006D57DB">
              <w:rPr>
                <w:rFonts w:ascii="Arial" w:hAnsi="Arial" w:cs="Arial"/>
                <w:color w:val="000000"/>
              </w:rPr>
              <w:t>3405.11</w:t>
            </w:r>
          </w:p>
        </w:tc>
      </w:tr>
    </w:tbl>
    <w:p w:rsidR="00930AED" w:rsidRDefault="00930AED" w:rsidP="00930AED">
      <w:pPr>
        <w:rPr>
          <w:rFonts w:ascii="Arial" w:hAnsi="Arial" w:cs="Arial"/>
          <w:color w:val="2F5496" w:themeColor="accent1" w:themeShade="BF"/>
        </w:rPr>
      </w:pPr>
    </w:p>
    <w:p w:rsidR="00B17C7E" w:rsidRDefault="00B17C7E" w:rsidP="00930AED">
      <w:pPr>
        <w:rPr>
          <w:rFonts w:ascii="Arial" w:hAnsi="Arial" w:cs="Arial"/>
          <w:color w:val="2F5496" w:themeColor="accent1" w:themeShade="BF"/>
        </w:rPr>
      </w:pPr>
    </w:p>
    <w:p w:rsidR="00B17C7E" w:rsidRDefault="00B17C7E" w:rsidP="00930AED">
      <w:pPr>
        <w:rPr>
          <w:rFonts w:ascii="Arial" w:hAnsi="Arial" w:cs="Arial"/>
          <w:color w:val="2F5496" w:themeColor="accent1" w:themeShade="BF"/>
        </w:rPr>
      </w:pPr>
    </w:p>
    <w:p w:rsidR="00B17C7E" w:rsidRDefault="00B17C7E" w:rsidP="00930AED">
      <w:pPr>
        <w:rPr>
          <w:rFonts w:ascii="Arial" w:hAnsi="Arial" w:cs="Arial"/>
          <w:color w:val="2F5496" w:themeColor="accent1" w:themeShade="BF"/>
        </w:rPr>
      </w:pPr>
    </w:p>
    <w:p w:rsidR="00B17C7E" w:rsidRDefault="00B17C7E" w:rsidP="00B17C7E">
      <w:p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hAnsi="Arial" w:cs="Arial"/>
          <w:color w:val="2F5496" w:themeColor="accent1" w:themeShade="BF"/>
          <w:sz w:val="28"/>
          <w:szCs w:val="28"/>
        </w:rPr>
        <w:t xml:space="preserve"> </w:t>
      </w:r>
    </w:p>
    <w:p w:rsidR="00B17C7E" w:rsidRDefault="00B17C7E" w:rsidP="00B17C7E">
      <w:pPr>
        <w:rPr>
          <w:rFonts w:ascii="Arial" w:hAnsi="Arial" w:cs="Arial"/>
          <w:color w:val="2F5496" w:themeColor="accent1" w:themeShade="BF"/>
          <w:sz w:val="28"/>
          <w:szCs w:val="28"/>
        </w:rPr>
      </w:pPr>
    </w:p>
    <w:p w:rsidR="00B17C7E" w:rsidRDefault="00B17C7E" w:rsidP="00B17C7E">
      <w:pPr>
        <w:rPr>
          <w:rFonts w:ascii="Arial" w:hAnsi="Arial" w:cs="Arial"/>
          <w:color w:val="2F5496" w:themeColor="accent1" w:themeShade="BF"/>
          <w:sz w:val="28"/>
          <w:szCs w:val="28"/>
        </w:rPr>
      </w:pPr>
      <w:r>
        <w:rPr>
          <w:rFonts w:ascii="Arial" w:hAnsi="Arial" w:cs="Arial"/>
          <w:color w:val="2F5496" w:themeColor="accent1" w:themeShade="BF"/>
          <w:sz w:val="28"/>
          <w:szCs w:val="28"/>
        </w:rPr>
        <w:t>Special Education Paraprofessionals (FS112</w:t>
      </w:r>
      <w:r w:rsidRPr="00E70890">
        <w:rPr>
          <w:rFonts w:ascii="Arial" w:hAnsi="Arial" w:cs="Arial"/>
          <w:color w:val="2F5496" w:themeColor="accent1" w:themeShade="BF"/>
          <w:sz w:val="28"/>
          <w:szCs w:val="28"/>
        </w:rPr>
        <w:t>)</w:t>
      </w:r>
    </w:p>
    <w:p w:rsidR="00B17C7E" w:rsidRPr="00DC2808" w:rsidRDefault="00B17C7E" w:rsidP="00B17C7E">
      <w:pPr>
        <w:rPr>
          <w:rFonts w:ascii="Arial" w:hAnsi="Arial" w:cs="Arial"/>
        </w:rPr>
      </w:pPr>
      <w:r w:rsidRPr="00DC2808">
        <w:rPr>
          <w:rFonts w:ascii="Arial" w:hAnsi="Arial" w:cs="Arial"/>
          <w:color w:val="000000"/>
        </w:rPr>
        <w:t>The number of full-time equivalent (FTE) related services personnel employed or contracted to provide related services for children with disabilities (IDEA) who are ages 3 through 21.</w:t>
      </w:r>
    </w:p>
    <w:p w:rsidR="00B17C7E" w:rsidRDefault="00B17C7E" w:rsidP="00930AED">
      <w:pPr>
        <w:rPr>
          <w:rFonts w:ascii="Arial" w:hAnsi="Arial" w:cs="Arial"/>
          <w:color w:val="2F5496" w:themeColor="accent1" w:themeShade="BF"/>
        </w:rPr>
      </w:pPr>
    </w:p>
    <w:tbl>
      <w:tblPr>
        <w:tblW w:w="10400" w:type="dxa"/>
        <w:tblLook w:val="04A0" w:firstRow="1" w:lastRow="0" w:firstColumn="1" w:lastColumn="0" w:noHBand="0" w:noVBand="1"/>
      </w:tblPr>
      <w:tblGrid>
        <w:gridCol w:w="7960"/>
        <w:gridCol w:w="1480"/>
        <w:gridCol w:w="1044"/>
      </w:tblGrid>
      <w:tr w:rsidR="00D61408" w:rsidRPr="00D61408" w:rsidTr="009A575C">
        <w:trPr>
          <w:trHeight w:val="50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6140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 and Percentage staff (FTE)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Count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Percent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By age group 3-5 and qualification status (qualified)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1700.15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By age group 3-5 and qualification status (not 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By age group 6-21 and qualification status (qualified)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11408.88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87.0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By age group 6-21 and qualification status (not 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Subtotal by qualification status (qualified)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13109.03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Subtotal by qualification status (not qualified)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0.0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Subtotal by age group (3-5)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1700.15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3C7D61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Subtotal by age group (6-21)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11408.88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074D79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87.0</w:t>
            </w:r>
          </w:p>
        </w:tc>
      </w:tr>
      <w:tr w:rsidR="00D61408" w:rsidRPr="00D61408" w:rsidTr="003D0BF4">
        <w:trPr>
          <w:trHeight w:val="288"/>
        </w:trPr>
        <w:tc>
          <w:tcPr>
            <w:tcW w:w="7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408" w:rsidRPr="00D61408" w:rsidRDefault="00D61408" w:rsidP="00D6140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D61408">
              <w:rPr>
                <w:rFonts w:ascii="Arial" w:eastAsia="Times New Roman" w:hAnsi="Arial" w:cs="Arial"/>
                <w:color w:val="000000"/>
              </w:rPr>
              <w:t>Total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9A575C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9A575C">
              <w:rPr>
                <w:rFonts w:ascii="Arial" w:eastAsia="Times New Roman" w:hAnsi="Arial" w:cs="Arial"/>
                <w:color w:val="000000"/>
              </w:rPr>
              <w:t>13109.03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408" w:rsidRPr="00D61408" w:rsidRDefault="00074D79" w:rsidP="00D6140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100.0</w:t>
            </w:r>
            <w:bookmarkStart w:id="0" w:name="_GoBack"/>
            <w:bookmarkEnd w:id="0"/>
          </w:p>
        </w:tc>
      </w:tr>
    </w:tbl>
    <w:p w:rsidR="00B17C7E" w:rsidRPr="00DC2808" w:rsidRDefault="00B17C7E" w:rsidP="00930AED">
      <w:pPr>
        <w:rPr>
          <w:rFonts w:ascii="Arial" w:hAnsi="Arial" w:cs="Arial"/>
          <w:color w:val="2F5496" w:themeColor="accent1" w:themeShade="BF"/>
        </w:rPr>
      </w:pPr>
    </w:p>
    <w:sectPr w:rsidR="00B17C7E" w:rsidRPr="00DC2808" w:rsidSect="00906C2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90"/>
    <w:rsid w:val="00074D79"/>
    <w:rsid w:val="001919E8"/>
    <w:rsid w:val="001D52EA"/>
    <w:rsid w:val="001E0412"/>
    <w:rsid w:val="00206CB1"/>
    <w:rsid w:val="003C7D61"/>
    <w:rsid w:val="003D0BF4"/>
    <w:rsid w:val="006D57DB"/>
    <w:rsid w:val="006F394D"/>
    <w:rsid w:val="00802092"/>
    <w:rsid w:val="008A1A4B"/>
    <w:rsid w:val="00906C21"/>
    <w:rsid w:val="00930AED"/>
    <w:rsid w:val="009A575C"/>
    <w:rsid w:val="00B17C7E"/>
    <w:rsid w:val="00BB23B6"/>
    <w:rsid w:val="00D61408"/>
    <w:rsid w:val="00DC2808"/>
    <w:rsid w:val="00E23E12"/>
    <w:rsid w:val="00E7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15208"/>
  <w15:chartTrackingRefBased/>
  <w15:docId w15:val="{CA424F13-13CC-4049-9B87-9FC51B8DD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08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8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E708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New Jersey Department of Education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Kumari Katta, Ajaya</dc:creator>
  <cp:keywords/>
  <dc:description/>
  <cp:lastModifiedBy>Kumari Katta, Ajaya</cp:lastModifiedBy>
  <cp:revision>7</cp:revision>
  <dcterms:created xsi:type="dcterms:W3CDTF">2020-07-14T16:06:00Z</dcterms:created>
  <dcterms:modified xsi:type="dcterms:W3CDTF">2020-07-14T17:51:00Z</dcterms:modified>
</cp:coreProperties>
</file>