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6C1E" w14:textId="3C8F6C66" w:rsidR="00FC7C34" w:rsidRPr="00FC7C34" w:rsidRDefault="00FC7C34" w:rsidP="00CB20B7">
      <w:pPr>
        <w:spacing w:after="120"/>
        <w:jc w:val="center"/>
        <w:rPr>
          <w:sz w:val="36"/>
          <w:szCs w:val="36"/>
        </w:rPr>
      </w:pPr>
      <w:r>
        <w:rPr>
          <w:noProof/>
          <w:sz w:val="36"/>
          <w:szCs w:val="36"/>
        </w:rPr>
        <w:drawing>
          <wp:inline distT="0" distB="0" distL="0" distR="0" wp14:anchorId="653E4A83" wp14:editId="6C5FCC1F">
            <wp:extent cx="3502152" cy="1096160"/>
            <wp:effectExtent l="0" t="0" r="3175" b="0"/>
            <wp:docPr id="1" name="Picture 1" descr="Logo: NJ Department of Education STAMP, Standards Transparency and Mastery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J Department of Education STAMP, Standards Transparency and Mastery Platfor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2152" cy="1096160"/>
                    </a:xfrm>
                    <a:prstGeom prst="rect">
                      <a:avLst/>
                    </a:prstGeom>
                    <a:noFill/>
                    <a:ln>
                      <a:noFill/>
                    </a:ln>
                  </pic:spPr>
                </pic:pic>
              </a:graphicData>
            </a:graphic>
          </wp:inline>
        </w:drawing>
      </w:r>
    </w:p>
    <w:p w14:paraId="78AB2A28" w14:textId="7FEE88FD" w:rsidR="00FC7C34" w:rsidRPr="00FC7C34" w:rsidRDefault="00FC7C34" w:rsidP="00FC7C34">
      <w:pPr>
        <w:pStyle w:val="Heading1"/>
        <w:spacing w:after="240"/>
      </w:pPr>
      <w:r w:rsidRPr="00FC7C34">
        <w:t xml:space="preserve">Algebra </w:t>
      </w:r>
      <w:r w:rsidR="009468B2">
        <w:t>1</w:t>
      </w:r>
      <w:r w:rsidRPr="00FC7C34">
        <w:t xml:space="preserve"> Course Content Framework</w:t>
      </w:r>
      <w:r>
        <w:t xml:space="preserve"> and Content Emphases</w:t>
      </w:r>
    </w:p>
    <w:p w14:paraId="584E44E9" w14:textId="7F486E23" w:rsidR="00FC7C34" w:rsidRPr="00B76E4D" w:rsidRDefault="00FC7C34" w:rsidP="00B76E4D">
      <w:pPr>
        <w:pStyle w:val="NormalWeb"/>
        <w:shd w:val="clear" w:color="auto" w:fill="FFFFFF"/>
        <w:spacing w:before="0" w:beforeAutospacing="0"/>
        <w:rPr>
          <w:rFonts w:ascii="Cambria" w:eastAsiaTheme="minorHAnsi" w:hAnsi="Cambria" w:cstheme="minorBidi"/>
          <w:sz w:val="28"/>
          <w:szCs w:val="28"/>
        </w:rPr>
      </w:pPr>
      <w:r w:rsidRPr="00B76E4D">
        <w:rPr>
          <w:rFonts w:ascii="Cambria" w:hAnsi="Cambria"/>
          <w:color w:val="212529"/>
          <w:sz w:val="22"/>
          <w:szCs w:val="22"/>
        </w:rPr>
        <w:t>This</w:t>
      </w:r>
      <w:r>
        <w:rPr>
          <w:rFonts w:ascii="Cambria" w:hAnsi="Cambria"/>
          <w:sz w:val="22"/>
          <w:szCs w:val="22"/>
        </w:rPr>
        <w:t xml:space="preserve"> document lists the 2023 New Jersey Student Learning Standards for Mathematics (NJSLS-M) recommended to comprise the Algebra </w:t>
      </w:r>
      <w:r w:rsidR="004A0F19">
        <w:rPr>
          <w:rFonts w:ascii="Cambria" w:hAnsi="Cambria"/>
          <w:sz w:val="22"/>
          <w:szCs w:val="22"/>
        </w:rPr>
        <w:t>1</w:t>
      </w:r>
      <w:r>
        <w:rPr>
          <w:rFonts w:ascii="Cambria" w:hAnsi="Cambria"/>
          <w:sz w:val="22"/>
          <w:szCs w:val="22"/>
        </w:rPr>
        <w:t xml:space="preserve"> course. The standards are organized by conceptual category, domain, and cluster. </w:t>
      </w:r>
      <w:r w:rsidRPr="00FC7C34">
        <w:rPr>
          <w:rFonts w:ascii="Cambria" w:hAnsi="Cambria"/>
          <w:sz w:val="22"/>
          <w:szCs w:val="22"/>
        </w:rPr>
        <w:t xml:space="preserve">Numerals in </w:t>
      </w:r>
      <w:r>
        <w:rPr>
          <w:rFonts w:ascii="Cambria" w:hAnsi="Cambria"/>
          <w:sz w:val="22"/>
          <w:szCs w:val="22"/>
        </w:rPr>
        <w:t>the “Standard Number” column identify the</w:t>
      </w:r>
      <w:r w:rsidRPr="00FC7C34">
        <w:rPr>
          <w:rFonts w:ascii="Cambria" w:hAnsi="Cambria"/>
          <w:sz w:val="22"/>
          <w:szCs w:val="22"/>
        </w:rPr>
        <w:t xml:space="preserve"> individual content standards</w:t>
      </w:r>
      <w:r>
        <w:rPr>
          <w:rFonts w:ascii="Cambria" w:hAnsi="Cambria"/>
          <w:sz w:val="22"/>
          <w:szCs w:val="22"/>
        </w:rPr>
        <w:t xml:space="preserve"> recommended to be included in the </w:t>
      </w:r>
      <w:r w:rsidRPr="00FC7C34">
        <w:rPr>
          <w:rFonts w:ascii="Cambria" w:hAnsi="Cambria"/>
          <w:color w:val="212529"/>
          <w:sz w:val="22"/>
          <w:szCs w:val="22"/>
        </w:rPr>
        <w:t xml:space="preserve">course in whole or in part. </w:t>
      </w:r>
      <w:r w:rsidR="006B1FE2">
        <w:rPr>
          <w:rFonts w:ascii="Cambria" w:hAnsi="Cambria"/>
          <w:color w:val="212529"/>
          <w:sz w:val="22"/>
          <w:szCs w:val="22"/>
        </w:rPr>
        <w:t>N</w:t>
      </w:r>
      <w:r w:rsidR="006B1FE2" w:rsidRPr="00FC7C34">
        <w:rPr>
          <w:rFonts w:ascii="Cambria" w:hAnsi="Cambria"/>
          <w:color w:val="212529"/>
          <w:sz w:val="22"/>
          <w:szCs w:val="22"/>
        </w:rPr>
        <w:t xml:space="preserve">umerals </w:t>
      </w:r>
      <w:r w:rsidR="006B1FE2">
        <w:rPr>
          <w:rFonts w:ascii="Cambria" w:hAnsi="Cambria"/>
          <w:color w:val="212529"/>
          <w:sz w:val="22"/>
          <w:szCs w:val="22"/>
        </w:rPr>
        <w:t xml:space="preserve">marked with an asterisk (*) </w:t>
      </w:r>
      <w:r w:rsidRPr="00FC7C34">
        <w:rPr>
          <w:rFonts w:ascii="Cambria" w:hAnsi="Cambria"/>
          <w:color w:val="212529"/>
          <w:sz w:val="22"/>
          <w:szCs w:val="22"/>
        </w:rPr>
        <w:t xml:space="preserve">indicate standards included in two or more high school courses. </w:t>
      </w:r>
      <w:r>
        <w:rPr>
          <w:rFonts w:ascii="Cambria" w:hAnsi="Cambria"/>
          <w:sz w:val="22"/>
          <w:szCs w:val="22"/>
        </w:rPr>
        <w:t xml:space="preserve">For more information, </w:t>
      </w:r>
      <w:r w:rsidRPr="00B76E4D">
        <w:rPr>
          <w:rFonts w:ascii="Cambria" w:hAnsi="Cambria"/>
          <w:sz w:val="22"/>
          <w:szCs w:val="22"/>
        </w:rPr>
        <w:t xml:space="preserve">see </w:t>
      </w:r>
      <w:r w:rsidR="00B76E4D" w:rsidRPr="00B76E4D">
        <w:rPr>
          <w:rFonts w:ascii="Cambria" w:hAnsi="Cambria"/>
          <w:sz w:val="22"/>
          <w:szCs w:val="22"/>
        </w:rPr>
        <w:t xml:space="preserve">the </w:t>
      </w:r>
      <w:r w:rsidR="00B76E4D" w:rsidRPr="00A053DA">
        <w:rPr>
          <w:rFonts w:ascii="Cambria" w:hAnsi="Cambria"/>
          <w:sz w:val="22"/>
          <w:szCs w:val="22"/>
        </w:rPr>
        <w:t xml:space="preserve">Limits </w:t>
      </w:r>
      <w:r w:rsidR="00B76E4D" w:rsidRPr="00A053DA">
        <w:rPr>
          <w:sz w:val="22"/>
          <w:szCs w:val="22"/>
        </w:rPr>
        <w:t xml:space="preserve">and Clarifications </w:t>
      </w:r>
      <w:r w:rsidR="00B76E4D" w:rsidRPr="00A053DA">
        <w:rPr>
          <w:rFonts w:ascii="Cambria" w:hAnsi="Cambria"/>
          <w:sz w:val="22"/>
          <w:szCs w:val="22"/>
        </w:rPr>
        <w:t xml:space="preserve">for </w:t>
      </w:r>
      <w:r w:rsidR="00B76E4D" w:rsidRPr="00A053DA">
        <w:rPr>
          <w:sz w:val="22"/>
          <w:szCs w:val="22"/>
        </w:rPr>
        <w:t xml:space="preserve">Multi-Course </w:t>
      </w:r>
      <w:r w:rsidR="00B76E4D" w:rsidRPr="00A053DA">
        <w:rPr>
          <w:rFonts w:ascii="Cambria" w:hAnsi="Cambria"/>
          <w:sz w:val="22"/>
          <w:szCs w:val="22"/>
        </w:rPr>
        <w:t>Standards</w:t>
      </w:r>
      <w:r w:rsidR="00B76E4D">
        <w:rPr>
          <w:rFonts w:ascii="Cambria" w:hAnsi="Cambria"/>
          <w:sz w:val="22"/>
          <w:szCs w:val="22"/>
        </w:rPr>
        <w:t xml:space="preserve"> guidance</w:t>
      </w:r>
      <w:r w:rsidR="00A053DA">
        <w:rPr>
          <w:rFonts w:ascii="Cambria" w:hAnsi="Cambria"/>
          <w:sz w:val="22"/>
          <w:szCs w:val="22"/>
        </w:rPr>
        <w:t xml:space="preserve"> document on the </w:t>
      </w:r>
      <w:hyperlink r:id="rId8" w:history="1">
        <w:r w:rsidR="00A053DA" w:rsidRPr="00A053DA">
          <w:rPr>
            <w:rStyle w:val="Hyperlink"/>
            <w:rFonts w:ascii="Cambria" w:hAnsi="Cambria"/>
            <w:sz w:val="22"/>
            <w:szCs w:val="22"/>
          </w:rPr>
          <w:t>High School Mathematics Course Frameworks and Content Emphases</w:t>
        </w:r>
        <w:r w:rsidR="00A053DA" w:rsidRPr="00A053DA">
          <w:rPr>
            <w:rStyle w:val="Hyperlink"/>
            <w:rFonts w:ascii="Cambria" w:hAnsi="Cambria"/>
            <w:sz w:val="22"/>
            <w:szCs w:val="22"/>
          </w:rPr>
          <w:t xml:space="preserve"> </w:t>
        </w:r>
      </w:hyperlink>
      <w:r w:rsidR="00A053DA">
        <w:rPr>
          <w:rFonts w:ascii="Cambria" w:hAnsi="Cambria"/>
          <w:sz w:val="22"/>
          <w:szCs w:val="22"/>
        </w:rPr>
        <w:t>webpage</w:t>
      </w:r>
      <w:r>
        <w:rPr>
          <w:rFonts w:ascii="Cambria" w:hAnsi="Cambria"/>
          <w:sz w:val="22"/>
          <w:szCs w:val="22"/>
        </w:rPr>
        <w:t>.</w:t>
      </w:r>
    </w:p>
    <w:p w14:paraId="702FCD68" w14:textId="3FF56C2E"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 xml:space="preserve">This </w:t>
      </w:r>
      <w:r>
        <w:rPr>
          <w:rFonts w:ascii="Cambria" w:hAnsi="Cambria"/>
          <w:color w:val="212529"/>
          <w:sz w:val="22"/>
          <w:szCs w:val="22"/>
        </w:rPr>
        <w:t>document also</w:t>
      </w:r>
      <w:r w:rsidRPr="00FC7C34">
        <w:rPr>
          <w:rFonts w:ascii="Cambria" w:hAnsi="Cambria"/>
          <w:color w:val="212529"/>
          <w:sz w:val="22"/>
          <w:szCs w:val="22"/>
        </w:rPr>
        <w:t xml:space="preserve"> shows where students and teachers should spend more time, relative to other clusters, </w:t>
      </w:r>
      <w:proofErr w:type="gramStart"/>
      <w:r w:rsidRPr="00FC7C34">
        <w:rPr>
          <w:rFonts w:ascii="Cambria" w:hAnsi="Cambria"/>
          <w:color w:val="212529"/>
          <w:sz w:val="22"/>
          <w:szCs w:val="22"/>
        </w:rPr>
        <w:t>in order to</w:t>
      </w:r>
      <w:proofErr w:type="gramEnd"/>
      <w:r w:rsidRPr="00FC7C34">
        <w:rPr>
          <w:rFonts w:ascii="Cambria" w:hAnsi="Cambria"/>
          <w:color w:val="212529"/>
          <w:sz w:val="22"/>
          <w:szCs w:val="22"/>
        </w:rPr>
        <w:t xml:space="preserve"> meet the expectations of the 2023 New Jersey Student Learning Standards for Mathematics.</w:t>
      </w:r>
      <w:r w:rsidR="00625B8F">
        <w:rPr>
          <w:rFonts w:ascii="Cambria" w:hAnsi="Cambria"/>
          <w:color w:val="212529"/>
          <w:sz w:val="22"/>
          <w:szCs w:val="22"/>
        </w:rPr>
        <w:t xml:space="preserve"> </w:t>
      </w:r>
      <w:r w:rsidRPr="00FC7C34">
        <w:rPr>
          <w:rFonts w:ascii="Cambria" w:hAnsi="Cambria"/>
          <w:color w:val="212529"/>
          <w:sz w:val="22"/>
          <w:szCs w:val="22"/>
        </w:rPr>
        <w:t xml:space="preserve">Some clusters of standards were written to require greater emphasis than others. This varied emphasis is based on the depth of the mathematical ideas in the cluster, the time that they take to master, and/or their importance to future mathematics or the demands of college and career readiness. More time in these </w:t>
      </w:r>
      <w:proofErr w:type="gramStart"/>
      <w:r w:rsidRPr="00FC7C34">
        <w:rPr>
          <w:rFonts w:ascii="Cambria" w:hAnsi="Cambria"/>
          <w:color w:val="212529"/>
          <w:sz w:val="22"/>
          <w:szCs w:val="22"/>
        </w:rPr>
        <w:t>particular areas</w:t>
      </w:r>
      <w:proofErr w:type="gramEnd"/>
      <w:r w:rsidRPr="00FC7C34">
        <w:rPr>
          <w:rFonts w:ascii="Cambria" w:hAnsi="Cambria"/>
          <w:color w:val="212529"/>
          <w:sz w:val="22"/>
          <w:szCs w:val="22"/>
        </w:rPr>
        <w:t xml:space="preserve"> is also necessary for students to meet the Standards for Mathematical Practice. Therefore, not all content </w:t>
      </w:r>
      <w:proofErr w:type="gramStart"/>
      <w:r w:rsidRPr="00FC7C34">
        <w:rPr>
          <w:rFonts w:ascii="Cambria" w:hAnsi="Cambria"/>
          <w:color w:val="212529"/>
          <w:sz w:val="22"/>
          <w:szCs w:val="22"/>
        </w:rPr>
        <w:t>in a given</w:t>
      </w:r>
      <w:proofErr w:type="gramEnd"/>
      <w:r w:rsidRPr="00FC7C34">
        <w:rPr>
          <w:rFonts w:ascii="Cambria" w:hAnsi="Cambria"/>
          <w:color w:val="212529"/>
          <w:sz w:val="22"/>
          <w:szCs w:val="22"/>
        </w:rPr>
        <w:t xml:space="preserve"> grade is emphasized equally in the standards.</w:t>
      </w:r>
    </w:p>
    <w:p w14:paraId="74E80A2F" w14:textId="77777777" w:rsidR="00FC7C34" w:rsidRPr="00FC7C34" w:rsidRDefault="00FC7C34" w:rsidP="00FC7C34">
      <w:pPr>
        <w:pStyle w:val="NormalWeb"/>
        <w:shd w:val="clear" w:color="auto" w:fill="FFFFFF"/>
        <w:spacing w:before="0" w:beforeAutospacing="0"/>
        <w:rPr>
          <w:rFonts w:ascii="Cambria" w:hAnsi="Cambria"/>
          <w:color w:val="212529"/>
          <w:sz w:val="22"/>
          <w:szCs w:val="22"/>
        </w:rPr>
      </w:pPr>
      <w:r w:rsidRPr="00FC7C34">
        <w:rPr>
          <w:rFonts w:ascii="Cambria" w:hAnsi="Cambria"/>
          <w:color w:val="212529"/>
          <w:sz w:val="22"/>
          <w:szCs w:val="22"/>
        </w:rPr>
        <w:t>To say that some things have greater emphasis is not to say that anything in the Standards can be neglected or omitted in instruction. Neglecting material will leave gaps in student skill and understanding and may leave students unprepared for the challenges of a later grade.</w:t>
      </w:r>
    </w:p>
    <w:p w14:paraId="04DBB393" w14:textId="77777777" w:rsidR="00FC7C34" w:rsidRPr="00FC7C34" w:rsidRDefault="00FC7C34" w:rsidP="00162F69">
      <w:pPr>
        <w:pStyle w:val="NormalWeb"/>
        <w:shd w:val="clear" w:color="auto" w:fill="FFFFFF"/>
        <w:spacing w:before="360" w:beforeAutospacing="0" w:after="0" w:afterAutospacing="0"/>
        <w:rPr>
          <w:rFonts w:ascii="Cambria" w:hAnsi="Cambria"/>
          <w:color w:val="212529"/>
          <w:sz w:val="22"/>
          <w:szCs w:val="22"/>
        </w:rPr>
      </w:pPr>
      <w:r w:rsidRPr="00FC7C34">
        <w:rPr>
          <w:rFonts w:ascii="Cambria" w:hAnsi="Cambria"/>
          <w:color w:val="212529"/>
          <w:sz w:val="22"/>
          <w:szCs w:val="22"/>
        </w:rPr>
        <w:t xml:space="preserve">Students should spend </w:t>
      </w:r>
      <w:proofErr w:type="gramStart"/>
      <w:r w:rsidRPr="00FC7C34">
        <w:rPr>
          <w:rFonts w:ascii="Cambria" w:hAnsi="Cambria"/>
          <w:color w:val="212529"/>
          <w:sz w:val="22"/>
          <w:szCs w:val="22"/>
        </w:rPr>
        <w:t>the majority of</w:t>
      </w:r>
      <w:proofErr w:type="gramEnd"/>
      <w:r w:rsidRPr="00FC7C34">
        <w:rPr>
          <w:rFonts w:ascii="Cambria" w:hAnsi="Cambria"/>
          <w:color w:val="212529"/>
          <w:sz w:val="22"/>
          <w:szCs w:val="22"/>
        </w:rPr>
        <w:t xml:space="preserve"> their time on the major work of the grade (</w:t>
      </w:r>
      <w:r w:rsidRPr="00FC7C34">
        <w:rPr>
          <w:rStyle w:val="major"/>
          <w:rFonts w:ascii="Cambria" w:hAnsi="Cambria"/>
          <w:b/>
          <w:bCs/>
          <w:color w:val="207E20"/>
          <w:sz w:val="22"/>
          <w:szCs w:val="22"/>
        </w:rPr>
        <w:t>M</w:t>
      </w:r>
      <w:r w:rsidRPr="00FC7C34">
        <w:rPr>
          <w:rFonts w:ascii="Cambria" w:hAnsi="Cambria"/>
          <w:color w:val="212529"/>
          <w:sz w:val="22"/>
          <w:szCs w:val="22"/>
        </w:rPr>
        <w:t>). Supporting work (</w:t>
      </w:r>
      <w:r w:rsidRPr="00FC7C34">
        <w:rPr>
          <w:rStyle w:val="supp"/>
          <w:rFonts w:ascii="Cambria" w:hAnsi="Cambria"/>
          <w:b/>
          <w:bCs/>
          <w:color w:val="0062A8"/>
          <w:sz w:val="22"/>
          <w:szCs w:val="22"/>
        </w:rPr>
        <w:t>S</w:t>
      </w:r>
      <w:r w:rsidRPr="00FC7C34">
        <w:rPr>
          <w:rFonts w:ascii="Cambria" w:hAnsi="Cambria"/>
          <w:color w:val="212529"/>
          <w:sz w:val="22"/>
          <w:szCs w:val="22"/>
        </w:rPr>
        <w:t>) and, where appropriate, additional work (</w:t>
      </w:r>
      <w:r w:rsidRPr="00FC7C34">
        <w:rPr>
          <w:rStyle w:val="add"/>
          <w:rFonts w:ascii="Cambria" w:hAnsi="Cambria"/>
          <w:b/>
          <w:bCs/>
          <w:color w:val="C14A08"/>
          <w:sz w:val="22"/>
          <w:szCs w:val="22"/>
        </w:rPr>
        <w:t>A</w:t>
      </w:r>
      <w:r w:rsidRPr="00FC7C34">
        <w:rPr>
          <w:rFonts w:ascii="Cambria" w:hAnsi="Cambria"/>
          <w:color w:val="212529"/>
          <w:sz w:val="22"/>
          <w:szCs w:val="22"/>
        </w:rPr>
        <w:t>) can engage students in the major work of the grade</w:t>
      </w:r>
    </w:p>
    <w:p w14:paraId="5C1F4EC4" w14:textId="77777777" w:rsidR="00FC7C34" w:rsidRPr="00FC7C34" w:rsidRDefault="00FC7C34" w:rsidP="00162F69">
      <w:pPr>
        <w:pStyle w:val="Heading2"/>
        <w:spacing w:before="360"/>
      </w:pPr>
      <w:r>
        <w:t>Number and Quantity Conceptual Category</w:t>
      </w:r>
    </w:p>
    <w:p w14:paraId="1B4709F1" w14:textId="77777777" w:rsidR="00FC7C34" w:rsidRPr="00FC7C34" w:rsidRDefault="00FC7C34" w:rsidP="00FC7C34">
      <w:pPr>
        <w:pStyle w:val="Heading3"/>
      </w:pPr>
      <w:r>
        <w:t>Quantities</w:t>
      </w:r>
      <w:r w:rsidRPr="00FC7C34">
        <w:t xml:space="preserve"> (</w:t>
      </w:r>
      <w:r>
        <w:t>N.Q</w:t>
      </w:r>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4210FC77" w14:textId="77777777" w:rsidTr="00162F69">
        <w:tc>
          <w:tcPr>
            <w:tcW w:w="8254" w:type="dxa"/>
            <w:shd w:val="clear" w:color="auto" w:fill="B1C8F3"/>
          </w:tcPr>
          <w:p w14:paraId="0F551415" w14:textId="77777777" w:rsidR="00FC7C34" w:rsidRPr="00934F86" w:rsidRDefault="00FC7C34" w:rsidP="008D7E23">
            <w:pPr>
              <w:rPr>
                <w:rFonts w:ascii="Cambria" w:hAnsi="Cambria"/>
                <w:b/>
                <w:bCs/>
                <w:sz w:val="22"/>
                <w:szCs w:val="22"/>
              </w:rPr>
            </w:pPr>
            <w:r w:rsidRPr="00934F86">
              <w:rPr>
                <w:rFonts w:ascii="Cambria" w:hAnsi="Cambria"/>
                <w:b/>
                <w:bCs/>
                <w:sz w:val="22"/>
                <w:szCs w:val="22"/>
              </w:rPr>
              <w:t>Cluster Letter and Heading</w:t>
            </w:r>
          </w:p>
        </w:tc>
        <w:tc>
          <w:tcPr>
            <w:tcW w:w="1260" w:type="dxa"/>
            <w:shd w:val="clear" w:color="auto" w:fill="B1C8F3"/>
          </w:tcPr>
          <w:p w14:paraId="4DF01F94" w14:textId="77777777" w:rsidR="00FC7C34" w:rsidRPr="00934F86" w:rsidRDefault="00FC7C34" w:rsidP="008D7E23">
            <w:pPr>
              <w:jc w:val="center"/>
              <w:rPr>
                <w:rFonts w:ascii="Cambria" w:hAnsi="Cambria"/>
                <w:b/>
                <w:bCs/>
                <w:sz w:val="22"/>
                <w:szCs w:val="22"/>
              </w:rPr>
            </w:pPr>
            <w:r w:rsidRPr="00934F86">
              <w:rPr>
                <w:rFonts w:ascii="Cambria" w:hAnsi="Cambria"/>
                <w:b/>
                <w:bCs/>
                <w:sz w:val="22"/>
                <w:szCs w:val="22"/>
              </w:rPr>
              <w:t>Standard Number</w:t>
            </w:r>
          </w:p>
        </w:tc>
        <w:tc>
          <w:tcPr>
            <w:tcW w:w="1260" w:type="dxa"/>
            <w:shd w:val="clear" w:color="auto" w:fill="B1C8F3"/>
          </w:tcPr>
          <w:p w14:paraId="0FF84237" w14:textId="77777777" w:rsidR="00FC7C34" w:rsidRPr="00934F86" w:rsidRDefault="00FC7C34" w:rsidP="008D7E23">
            <w:pPr>
              <w:jc w:val="center"/>
              <w:rPr>
                <w:rFonts w:ascii="Cambria" w:hAnsi="Cambria"/>
                <w:b/>
                <w:bCs/>
                <w:sz w:val="22"/>
                <w:szCs w:val="22"/>
              </w:rPr>
            </w:pPr>
            <w:r w:rsidRPr="00934F86">
              <w:rPr>
                <w:rFonts w:ascii="Cambria" w:hAnsi="Cambria"/>
                <w:b/>
                <w:bCs/>
                <w:sz w:val="22"/>
                <w:szCs w:val="22"/>
              </w:rPr>
              <w:t>Content Emphasis</w:t>
            </w:r>
          </w:p>
        </w:tc>
      </w:tr>
      <w:tr w:rsidR="00FC7C34" w14:paraId="609F950D" w14:textId="77777777" w:rsidTr="00162F69">
        <w:tc>
          <w:tcPr>
            <w:tcW w:w="8254" w:type="dxa"/>
          </w:tcPr>
          <w:p w14:paraId="20B23BD2" w14:textId="77777777" w:rsidR="00FC7C34" w:rsidRDefault="00FC7C34" w:rsidP="008D7E23">
            <w:pPr>
              <w:spacing w:before="60" w:after="60"/>
              <w:rPr>
                <w:rFonts w:ascii="Cambria" w:hAnsi="Cambria"/>
                <w:sz w:val="22"/>
                <w:szCs w:val="22"/>
              </w:rPr>
            </w:pPr>
            <w:r>
              <w:rPr>
                <w:rFonts w:ascii="Cambria" w:hAnsi="Cambria"/>
                <w:sz w:val="22"/>
                <w:szCs w:val="22"/>
              </w:rPr>
              <w:t>A. Reason quantitatively and use units to solve problems</w:t>
            </w:r>
          </w:p>
        </w:tc>
        <w:tc>
          <w:tcPr>
            <w:tcW w:w="1260" w:type="dxa"/>
          </w:tcPr>
          <w:p w14:paraId="70ADB1EA" w14:textId="5B23955A" w:rsidR="00FC7C34" w:rsidRPr="00FC7C34" w:rsidRDefault="006B1FE2" w:rsidP="006B1FE2">
            <w:pPr>
              <w:spacing w:before="60" w:after="60"/>
              <w:rPr>
                <w:rFonts w:ascii="Cambria" w:hAnsi="Cambria"/>
                <w:sz w:val="22"/>
                <w:szCs w:val="22"/>
                <w:u w:val="single"/>
              </w:rPr>
            </w:pPr>
            <w:r w:rsidRPr="009468B2">
              <w:rPr>
                <w:rFonts w:ascii="Cambria" w:hAnsi="Cambria"/>
                <w:sz w:val="22"/>
                <w:szCs w:val="22"/>
              </w:rPr>
              <w:t>1,</w:t>
            </w:r>
            <w:r w:rsidRPr="00F40177">
              <w:rPr>
                <w:rFonts w:ascii="Cambria" w:hAnsi="Cambria"/>
                <w:sz w:val="22"/>
                <w:szCs w:val="22"/>
              </w:rPr>
              <w:t xml:space="preserve"> 2*,</w:t>
            </w:r>
            <w:r w:rsidRPr="009468B2">
              <w:rPr>
                <w:rFonts w:ascii="Cambria" w:hAnsi="Cambria"/>
                <w:sz w:val="22"/>
                <w:szCs w:val="22"/>
              </w:rPr>
              <w:t xml:space="preserve"> 3</w:t>
            </w:r>
          </w:p>
        </w:tc>
        <w:tc>
          <w:tcPr>
            <w:tcW w:w="1260" w:type="dxa"/>
          </w:tcPr>
          <w:p w14:paraId="528F5AEA" w14:textId="77777777" w:rsidR="00FC7C34" w:rsidRPr="00FC7C34" w:rsidRDefault="00FC7C34" w:rsidP="008D7E23">
            <w:pPr>
              <w:spacing w:before="60" w:after="60"/>
              <w:jc w:val="center"/>
              <w:rPr>
                <w:rFonts w:ascii="Cambria" w:hAnsi="Cambria"/>
                <w:sz w:val="22"/>
                <w:szCs w:val="22"/>
                <w:u w:val="single"/>
              </w:rPr>
            </w:pPr>
            <w:r w:rsidRPr="00FC7C34">
              <w:rPr>
                <w:rFonts w:ascii="Cambria" w:hAnsi="Cambria"/>
                <w:color w:val="000099"/>
                <w:sz w:val="22"/>
                <w:szCs w:val="22"/>
              </w:rPr>
              <w:t>S</w:t>
            </w:r>
          </w:p>
        </w:tc>
      </w:tr>
    </w:tbl>
    <w:p w14:paraId="483EF03F" w14:textId="72A6EBF1" w:rsidR="00FC7C34" w:rsidRPr="00FC7C34" w:rsidRDefault="00FC7C34" w:rsidP="00162F69">
      <w:pPr>
        <w:pStyle w:val="Heading2"/>
        <w:spacing w:before="360"/>
      </w:pPr>
      <w:r w:rsidRPr="00FC7C34">
        <w:t>Algebra Conceptual Category</w:t>
      </w:r>
    </w:p>
    <w:p w14:paraId="5020426E" w14:textId="2BFECB74" w:rsidR="00FC7C34" w:rsidRPr="00FC7C34" w:rsidRDefault="00FC7C34" w:rsidP="00FC7C34">
      <w:pPr>
        <w:pStyle w:val="Heading3"/>
        <w:spacing w:before="360"/>
      </w:pPr>
      <w:r w:rsidRPr="00FC7C34">
        <w:t>Seeing Structure in Expressions (A.SSE)</w:t>
      </w:r>
    </w:p>
    <w:tbl>
      <w:tblPr>
        <w:tblStyle w:val="TableGrid"/>
        <w:tblW w:w="10774" w:type="dxa"/>
        <w:tblLook w:val="0420" w:firstRow="1" w:lastRow="0" w:firstColumn="0" w:lastColumn="0" w:noHBand="0" w:noVBand="1"/>
      </w:tblPr>
      <w:tblGrid>
        <w:gridCol w:w="8254"/>
        <w:gridCol w:w="1260"/>
        <w:gridCol w:w="1260"/>
      </w:tblGrid>
      <w:tr w:rsidR="00FC7C34" w:rsidRPr="00FC7C34" w14:paraId="74E7AD42" w14:textId="3AFA98A7" w:rsidTr="00162F69">
        <w:tc>
          <w:tcPr>
            <w:tcW w:w="8254" w:type="dxa"/>
            <w:shd w:val="clear" w:color="auto" w:fill="B1C8F3"/>
          </w:tcPr>
          <w:p w14:paraId="0F4987CE" w14:textId="77777777" w:rsidR="00FC7C34" w:rsidRPr="00934F86" w:rsidRDefault="00FC7C34" w:rsidP="00FC7C34">
            <w:pPr>
              <w:rPr>
                <w:rFonts w:ascii="Cambria" w:hAnsi="Cambria"/>
                <w:b/>
                <w:bCs/>
                <w:sz w:val="22"/>
                <w:szCs w:val="22"/>
              </w:rPr>
            </w:pPr>
            <w:r w:rsidRPr="00934F86">
              <w:rPr>
                <w:rFonts w:ascii="Cambria" w:hAnsi="Cambria"/>
                <w:b/>
                <w:bCs/>
                <w:sz w:val="22"/>
                <w:szCs w:val="22"/>
              </w:rPr>
              <w:t>Cluster Letter and Heading</w:t>
            </w:r>
          </w:p>
        </w:tc>
        <w:tc>
          <w:tcPr>
            <w:tcW w:w="1260" w:type="dxa"/>
            <w:shd w:val="clear" w:color="auto" w:fill="B1C8F3"/>
          </w:tcPr>
          <w:p w14:paraId="12EBA362" w14:textId="77777777" w:rsidR="00FC7C34" w:rsidRPr="00934F86" w:rsidRDefault="00FC7C34" w:rsidP="00FC7C34">
            <w:pPr>
              <w:jc w:val="center"/>
              <w:rPr>
                <w:rFonts w:ascii="Cambria" w:hAnsi="Cambria"/>
                <w:b/>
                <w:bCs/>
                <w:sz w:val="22"/>
                <w:szCs w:val="22"/>
              </w:rPr>
            </w:pPr>
            <w:r w:rsidRPr="00934F86">
              <w:rPr>
                <w:rFonts w:ascii="Cambria" w:hAnsi="Cambria"/>
                <w:b/>
                <w:bCs/>
                <w:sz w:val="22"/>
                <w:szCs w:val="22"/>
              </w:rPr>
              <w:t>Standard Number</w:t>
            </w:r>
          </w:p>
        </w:tc>
        <w:tc>
          <w:tcPr>
            <w:tcW w:w="1260" w:type="dxa"/>
            <w:shd w:val="clear" w:color="auto" w:fill="B1C8F3"/>
          </w:tcPr>
          <w:p w14:paraId="3ABF09A2" w14:textId="39F1BA0D" w:rsidR="00FC7C34" w:rsidRPr="00934F86" w:rsidRDefault="00FC7C34" w:rsidP="00FC7C34">
            <w:pPr>
              <w:jc w:val="center"/>
              <w:rPr>
                <w:rFonts w:ascii="Cambria" w:hAnsi="Cambria"/>
                <w:b/>
                <w:bCs/>
                <w:sz w:val="22"/>
                <w:szCs w:val="22"/>
              </w:rPr>
            </w:pPr>
            <w:r w:rsidRPr="00934F86">
              <w:rPr>
                <w:rFonts w:ascii="Cambria" w:hAnsi="Cambria"/>
                <w:b/>
                <w:bCs/>
                <w:sz w:val="22"/>
                <w:szCs w:val="22"/>
              </w:rPr>
              <w:t>Content Emphasis</w:t>
            </w:r>
          </w:p>
        </w:tc>
      </w:tr>
      <w:tr w:rsidR="00FC7C34" w14:paraId="6A4E3723" w14:textId="4DE16E9B" w:rsidTr="00162F69">
        <w:tc>
          <w:tcPr>
            <w:tcW w:w="8254" w:type="dxa"/>
            <w:vAlign w:val="center"/>
          </w:tcPr>
          <w:p w14:paraId="3BC32EBD" w14:textId="4477B57C" w:rsidR="00FC7C34" w:rsidRDefault="00FC7C34" w:rsidP="00FC7C34">
            <w:pPr>
              <w:spacing w:before="60" w:after="60"/>
              <w:rPr>
                <w:rFonts w:ascii="Cambria" w:hAnsi="Cambria"/>
                <w:sz w:val="22"/>
                <w:szCs w:val="22"/>
              </w:rPr>
            </w:pPr>
            <w:r>
              <w:rPr>
                <w:rFonts w:ascii="Cambria" w:hAnsi="Cambria"/>
                <w:sz w:val="22"/>
                <w:szCs w:val="22"/>
              </w:rPr>
              <w:t>A. Interpret the structure of expressions</w:t>
            </w:r>
          </w:p>
        </w:tc>
        <w:tc>
          <w:tcPr>
            <w:tcW w:w="1260" w:type="dxa"/>
            <w:vAlign w:val="center"/>
          </w:tcPr>
          <w:p w14:paraId="49E4D1B7" w14:textId="06119410" w:rsidR="00FC7C34" w:rsidRDefault="006E5759" w:rsidP="006B1FE2">
            <w:pPr>
              <w:spacing w:before="60" w:after="60"/>
              <w:rPr>
                <w:rFonts w:ascii="Cambria" w:hAnsi="Cambria"/>
                <w:sz w:val="22"/>
                <w:szCs w:val="22"/>
              </w:rPr>
            </w:pPr>
            <w:r>
              <w:rPr>
                <w:rFonts w:ascii="Cambria" w:hAnsi="Cambria"/>
                <w:sz w:val="22"/>
                <w:szCs w:val="22"/>
              </w:rPr>
              <w:t>1</w:t>
            </w:r>
          </w:p>
        </w:tc>
        <w:tc>
          <w:tcPr>
            <w:tcW w:w="1260" w:type="dxa"/>
            <w:vAlign w:val="center"/>
          </w:tcPr>
          <w:p w14:paraId="5C5D1995" w14:textId="097B6396" w:rsidR="00FC7C34" w:rsidRDefault="00FC7C34" w:rsidP="00FC7C34">
            <w:pPr>
              <w:spacing w:before="60" w:after="60"/>
              <w:jc w:val="center"/>
              <w:rPr>
                <w:rFonts w:ascii="Cambria" w:hAnsi="Cambria"/>
                <w:sz w:val="22"/>
                <w:szCs w:val="22"/>
              </w:rPr>
            </w:pPr>
            <w:r w:rsidRPr="000951A1">
              <w:rPr>
                <w:rFonts w:ascii="Cambria" w:hAnsi="Cambria"/>
                <w:color w:val="1E781E"/>
                <w:sz w:val="22"/>
                <w:szCs w:val="22"/>
              </w:rPr>
              <w:t>M</w:t>
            </w:r>
          </w:p>
        </w:tc>
      </w:tr>
      <w:tr w:rsidR="00FC7C34" w14:paraId="761D1A75" w14:textId="7AAB4AD5" w:rsidTr="00162F69">
        <w:tc>
          <w:tcPr>
            <w:tcW w:w="8254" w:type="dxa"/>
            <w:vAlign w:val="center"/>
          </w:tcPr>
          <w:p w14:paraId="65537AAE" w14:textId="5BF8B802" w:rsidR="00FC7C34" w:rsidRDefault="00FC7C34" w:rsidP="00FC7C34">
            <w:pPr>
              <w:spacing w:before="60" w:after="60"/>
              <w:rPr>
                <w:rFonts w:ascii="Cambria" w:hAnsi="Cambria"/>
                <w:sz w:val="22"/>
                <w:szCs w:val="22"/>
              </w:rPr>
            </w:pPr>
            <w:r>
              <w:rPr>
                <w:rFonts w:ascii="Cambria" w:hAnsi="Cambria"/>
                <w:sz w:val="22"/>
                <w:szCs w:val="22"/>
              </w:rPr>
              <w:t>B. Write expressions in equivalent forms to solve problems</w:t>
            </w:r>
          </w:p>
        </w:tc>
        <w:tc>
          <w:tcPr>
            <w:tcW w:w="1260" w:type="dxa"/>
            <w:vAlign w:val="center"/>
          </w:tcPr>
          <w:p w14:paraId="4E96468B" w14:textId="25CE93A9" w:rsidR="00FC7C34" w:rsidRDefault="006B1FE2" w:rsidP="006B1FE2">
            <w:pPr>
              <w:spacing w:before="60" w:after="60"/>
              <w:rPr>
                <w:rFonts w:ascii="Cambria" w:hAnsi="Cambria"/>
                <w:sz w:val="22"/>
                <w:szCs w:val="22"/>
              </w:rPr>
            </w:pPr>
            <w:r w:rsidRPr="00FC7C34">
              <w:rPr>
                <w:rFonts w:ascii="Cambria" w:hAnsi="Cambria"/>
                <w:sz w:val="22"/>
                <w:szCs w:val="22"/>
              </w:rPr>
              <w:t>3a</w:t>
            </w:r>
            <w:r>
              <w:rPr>
                <w:rFonts w:ascii="Cambria" w:hAnsi="Cambria"/>
                <w:sz w:val="22"/>
                <w:szCs w:val="22"/>
              </w:rPr>
              <w:t>–</w:t>
            </w:r>
            <w:r w:rsidRPr="00FC7C34">
              <w:rPr>
                <w:rFonts w:ascii="Cambria" w:hAnsi="Cambria"/>
                <w:sz w:val="22"/>
                <w:szCs w:val="22"/>
              </w:rPr>
              <w:t xml:space="preserve">b, </w:t>
            </w:r>
            <w:r w:rsidRPr="00F40177">
              <w:rPr>
                <w:rFonts w:ascii="Cambria" w:hAnsi="Cambria"/>
                <w:sz w:val="22"/>
                <w:szCs w:val="22"/>
              </w:rPr>
              <w:t>3c</w:t>
            </w:r>
            <w:r>
              <w:rPr>
                <w:rFonts w:ascii="Cambria" w:hAnsi="Cambria"/>
                <w:sz w:val="22"/>
                <w:szCs w:val="22"/>
              </w:rPr>
              <w:t>*</w:t>
            </w:r>
          </w:p>
        </w:tc>
        <w:tc>
          <w:tcPr>
            <w:tcW w:w="1260" w:type="dxa"/>
            <w:vAlign w:val="center"/>
          </w:tcPr>
          <w:p w14:paraId="1862C830" w14:textId="44B7D6BB" w:rsidR="00FC7C34" w:rsidRPr="00FC7C34" w:rsidRDefault="006E5759" w:rsidP="00FC7C34">
            <w:pPr>
              <w:spacing w:before="60" w:after="60"/>
              <w:jc w:val="center"/>
              <w:rPr>
                <w:rFonts w:ascii="Cambria" w:hAnsi="Cambria"/>
                <w:sz w:val="22"/>
                <w:szCs w:val="22"/>
                <w:u w:val="single"/>
              </w:rPr>
            </w:pPr>
            <w:r w:rsidRPr="00FC7C34">
              <w:rPr>
                <w:rFonts w:ascii="Cambria" w:hAnsi="Cambria"/>
                <w:color w:val="000099"/>
                <w:sz w:val="22"/>
                <w:szCs w:val="22"/>
              </w:rPr>
              <w:t>S</w:t>
            </w:r>
          </w:p>
        </w:tc>
      </w:tr>
    </w:tbl>
    <w:p w14:paraId="71318BF0" w14:textId="708B3005" w:rsidR="006E5759" w:rsidRPr="00FC7C34" w:rsidRDefault="006E5759" w:rsidP="006E5759">
      <w:pPr>
        <w:pStyle w:val="Heading3"/>
      </w:pPr>
      <w:r w:rsidRPr="00FC7C34">
        <w:t>Creating Equations (A</w:t>
      </w:r>
      <w:r>
        <w:t>.</w:t>
      </w:r>
      <w:r w:rsidRPr="00FC7C34">
        <w:t xml:space="preserve">CED) </w:t>
      </w:r>
    </w:p>
    <w:tbl>
      <w:tblPr>
        <w:tblStyle w:val="TableGrid"/>
        <w:tblW w:w="10774" w:type="dxa"/>
        <w:tblLook w:val="0420" w:firstRow="1" w:lastRow="0" w:firstColumn="0" w:lastColumn="0" w:noHBand="0" w:noVBand="1"/>
      </w:tblPr>
      <w:tblGrid>
        <w:gridCol w:w="8254"/>
        <w:gridCol w:w="1260"/>
        <w:gridCol w:w="1260"/>
      </w:tblGrid>
      <w:tr w:rsidR="006E5759" w:rsidRPr="00FC7C34" w14:paraId="38926B4E" w14:textId="77777777" w:rsidTr="00162F69">
        <w:tc>
          <w:tcPr>
            <w:tcW w:w="8254" w:type="dxa"/>
            <w:shd w:val="clear" w:color="auto" w:fill="B1C8F3"/>
          </w:tcPr>
          <w:p w14:paraId="14D272A5" w14:textId="77777777" w:rsidR="006E5759" w:rsidRPr="00934F86" w:rsidRDefault="006E5759" w:rsidP="00765864">
            <w:pPr>
              <w:rPr>
                <w:rFonts w:ascii="Cambria" w:hAnsi="Cambria"/>
                <w:b/>
                <w:bCs/>
                <w:sz w:val="22"/>
                <w:szCs w:val="22"/>
              </w:rPr>
            </w:pPr>
            <w:r w:rsidRPr="00934F86">
              <w:rPr>
                <w:rFonts w:ascii="Cambria" w:hAnsi="Cambria"/>
                <w:b/>
                <w:bCs/>
                <w:sz w:val="22"/>
                <w:szCs w:val="22"/>
              </w:rPr>
              <w:t>Cluster Letter and Heading</w:t>
            </w:r>
          </w:p>
        </w:tc>
        <w:tc>
          <w:tcPr>
            <w:tcW w:w="1260" w:type="dxa"/>
            <w:shd w:val="clear" w:color="auto" w:fill="B1C8F3"/>
          </w:tcPr>
          <w:p w14:paraId="6884F28A" w14:textId="77777777" w:rsidR="006E5759" w:rsidRPr="00934F86" w:rsidRDefault="006E5759" w:rsidP="00765864">
            <w:pPr>
              <w:jc w:val="center"/>
              <w:rPr>
                <w:rFonts w:ascii="Cambria" w:hAnsi="Cambria"/>
                <w:b/>
                <w:bCs/>
                <w:sz w:val="22"/>
                <w:szCs w:val="22"/>
              </w:rPr>
            </w:pPr>
            <w:r w:rsidRPr="00934F86">
              <w:rPr>
                <w:rFonts w:ascii="Cambria" w:hAnsi="Cambria"/>
                <w:b/>
                <w:bCs/>
                <w:sz w:val="22"/>
                <w:szCs w:val="22"/>
              </w:rPr>
              <w:t>Standard Number</w:t>
            </w:r>
          </w:p>
        </w:tc>
        <w:tc>
          <w:tcPr>
            <w:tcW w:w="1260" w:type="dxa"/>
            <w:shd w:val="clear" w:color="auto" w:fill="B1C8F3"/>
          </w:tcPr>
          <w:p w14:paraId="4F5986BA" w14:textId="77777777" w:rsidR="006E5759" w:rsidRPr="00934F86" w:rsidRDefault="006E5759" w:rsidP="00765864">
            <w:pPr>
              <w:jc w:val="center"/>
              <w:rPr>
                <w:rFonts w:ascii="Cambria" w:hAnsi="Cambria"/>
                <w:b/>
                <w:bCs/>
                <w:sz w:val="22"/>
                <w:szCs w:val="22"/>
              </w:rPr>
            </w:pPr>
            <w:r w:rsidRPr="00934F86">
              <w:rPr>
                <w:rFonts w:ascii="Cambria" w:hAnsi="Cambria"/>
                <w:b/>
                <w:bCs/>
                <w:sz w:val="22"/>
                <w:szCs w:val="22"/>
              </w:rPr>
              <w:t>Content Emphasis</w:t>
            </w:r>
          </w:p>
        </w:tc>
      </w:tr>
      <w:tr w:rsidR="006E5759" w14:paraId="09C1B99D" w14:textId="77777777" w:rsidTr="00162F69">
        <w:tc>
          <w:tcPr>
            <w:tcW w:w="8254" w:type="dxa"/>
          </w:tcPr>
          <w:p w14:paraId="642B7217" w14:textId="77777777" w:rsidR="006E5759" w:rsidRDefault="006E5759" w:rsidP="00765864">
            <w:pPr>
              <w:spacing w:before="60" w:after="60"/>
              <w:rPr>
                <w:rFonts w:ascii="Cambria" w:hAnsi="Cambria"/>
                <w:sz w:val="22"/>
                <w:szCs w:val="22"/>
              </w:rPr>
            </w:pPr>
            <w:r>
              <w:rPr>
                <w:rFonts w:ascii="Cambria" w:hAnsi="Cambria"/>
                <w:sz w:val="22"/>
                <w:szCs w:val="22"/>
              </w:rPr>
              <w:lastRenderedPageBreak/>
              <w:t>A. Create equations that describe numbers or relationships</w:t>
            </w:r>
          </w:p>
        </w:tc>
        <w:tc>
          <w:tcPr>
            <w:tcW w:w="1260" w:type="dxa"/>
          </w:tcPr>
          <w:p w14:paraId="71C4C5A1" w14:textId="00921FD7" w:rsidR="006E5759" w:rsidRDefault="006B1FE2" w:rsidP="006B1FE2">
            <w:pPr>
              <w:spacing w:before="60" w:after="60"/>
              <w:rPr>
                <w:rFonts w:ascii="Cambria" w:hAnsi="Cambria"/>
                <w:sz w:val="22"/>
                <w:szCs w:val="22"/>
              </w:rPr>
            </w:pPr>
            <w:r w:rsidRPr="00F40177">
              <w:rPr>
                <w:rFonts w:ascii="Cambria" w:hAnsi="Cambria"/>
                <w:sz w:val="22"/>
                <w:szCs w:val="22"/>
              </w:rPr>
              <w:t>1*</w:t>
            </w:r>
            <w:r>
              <w:rPr>
                <w:rFonts w:ascii="Cambria" w:hAnsi="Cambria"/>
                <w:sz w:val="22"/>
                <w:szCs w:val="22"/>
                <w:u w:val="single"/>
              </w:rPr>
              <w:t>,</w:t>
            </w:r>
            <w:r w:rsidRPr="009468B2">
              <w:rPr>
                <w:rFonts w:ascii="Cambria" w:hAnsi="Cambria"/>
                <w:sz w:val="22"/>
                <w:szCs w:val="22"/>
              </w:rPr>
              <w:t xml:space="preserve"> 2, 3, 4</w:t>
            </w:r>
          </w:p>
        </w:tc>
        <w:tc>
          <w:tcPr>
            <w:tcW w:w="1260" w:type="dxa"/>
          </w:tcPr>
          <w:p w14:paraId="24DE9332" w14:textId="77777777" w:rsidR="006E5759" w:rsidRDefault="006E5759" w:rsidP="00765864">
            <w:pPr>
              <w:spacing w:before="60" w:after="60"/>
              <w:jc w:val="center"/>
              <w:rPr>
                <w:rFonts w:ascii="Cambria" w:hAnsi="Cambria"/>
                <w:sz w:val="22"/>
                <w:szCs w:val="22"/>
                <w:u w:val="single"/>
              </w:rPr>
            </w:pPr>
            <w:r w:rsidRPr="000951A1">
              <w:rPr>
                <w:rFonts w:ascii="Cambria" w:hAnsi="Cambria"/>
                <w:color w:val="1E781E"/>
                <w:sz w:val="22"/>
                <w:szCs w:val="22"/>
              </w:rPr>
              <w:t>M</w:t>
            </w:r>
          </w:p>
        </w:tc>
      </w:tr>
    </w:tbl>
    <w:p w14:paraId="4FBA0E8D" w14:textId="7AE69D69" w:rsidR="00FC7C34" w:rsidRDefault="00FC7C34" w:rsidP="00FC7C34">
      <w:pPr>
        <w:pStyle w:val="Heading3"/>
        <w:rPr>
          <w:sz w:val="22"/>
          <w:szCs w:val="22"/>
        </w:rPr>
      </w:pPr>
      <w:r w:rsidRPr="00FC7C34">
        <w:t>Reasoning with Equations and Inequalities (A</w:t>
      </w:r>
      <w:r>
        <w:t>.</w:t>
      </w:r>
      <w:r w:rsidRPr="00FC7C34">
        <w:t>REI)</w:t>
      </w:r>
    </w:p>
    <w:tbl>
      <w:tblPr>
        <w:tblStyle w:val="TableGrid"/>
        <w:tblW w:w="10774" w:type="dxa"/>
        <w:tblLook w:val="0420" w:firstRow="1" w:lastRow="0" w:firstColumn="0" w:lastColumn="0" w:noHBand="0" w:noVBand="1"/>
      </w:tblPr>
      <w:tblGrid>
        <w:gridCol w:w="8254"/>
        <w:gridCol w:w="1260"/>
        <w:gridCol w:w="1260"/>
      </w:tblGrid>
      <w:tr w:rsidR="00FC7C34" w:rsidRPr="00FC7C34" w14:paraId="53F7C99D" w14:textId="26F7686A" w:rsidTr="00162F69">
        <w:tc>
          <w:tcPr>
            <w:tcW w:w="8254" w:type="dxa"/>
            <w:shd w:val="clear" w:color="auto" w:fill="B1C8F3"/>
          </w:tcPr>
          <w:p w14:paraId="68ACE923" w14:textId="77777777" w:rsidR="00FC7C34" w:rsidRPr="00934F86" w:rsidRDefault="00FC7C34" w:rsidP="00FC7C34">
            <w:pPr>
              <w:rPr>
                <w:rFonts w:ascii="Cambria" w:hAnsi="Cambria"/>
                <w:b/>
                <w:bCs/>
                <w:sz w:val="22"/>
                <w:szCs w:val="22"/>
              </w:rPr>
            </w:pPr>
            <w:r w:rsidRPr="00934F86">
              <w:rPr>
                <w:rFonts w:ascii="Cambria" w:hAnsi="Cambria"/>
                <w:b/>
                <w:bCs/>
                <w:sz w:val="22"/>
                <w:szCs w:val="22"/>
              </w:rPr>
              <w:t>Cluster Letter and Heading</w:t>
            </w:r>
          </w:p>
        </w:tc>
        <w:tc>
          <w:tcPr>
            <w:tcW w:w="1260" w:type="dxa"/>
            <w:shd w:val="clear" w:color="auto" w:fill="B1C8F3"/>
          </w:tcPr>
          <w:p w14:paraId="4C78DE5F" w14:textId="77777777" w:rsidR="00FC7C34" w:rsidRPr="00934F86" w:rsidRDefault="00FC7C34" w:rsidP="00FC7C34">
            <w:pPr>
              <w:jc w:val="center"/>
              <w:rPr>
                <w:rFonts w:ascii="Cambria" w:hAnsi="Cambria"/>
                <w:b/>
                <w:bCs/>
                <w:sz w:val="22"/>
                <w:szCs w:val="22"/>
              </w:rPr>
            </w:pPr>
            <w:r w:rsidRPr="00934F86">
              <w:rPr>
                <w:rFonts w:ascii="Cambria" w:hAnsi="Cambria"/>
                <w:b/>
                <w:bCs/>
                <w:sz w:val="22"/>
                <w:szCs w:val="22"/>
              </w:rPr>
              <w:t>Standard Number</w:t>
            </w:r>
          </w:p>
        </w:tc>
        <w:tc>
          <w:tcPr>
            <w:tcW w:w="1260" w:type="dxa"/>
            <w:shd w:val="clear" w:color="auto" w:fill="B1C8F3"/>
          </w:tcPr>
          <w:p w14:paraId="7C6D6566" w14:textId="1BB29F54" w:rsidR="00FC7C34" w:rsidRPr="00934F86" w:rsidRDefault="00FC7C34" w:rsidP="00FC7C34">
            <w:pPr>
              <w:jc w:val="center"/>
              <w:rPr>
                <w:rFonts w:ascii="Cambria" w:hAnsi="Cambria"/>
                <w:b/>
                <w:bCs/>
                <w:sz w:val="22"/>
                <w:szCs w:val="22"/>
              </w:rPr>
            </w:pPr>
            <w:r w:rsidRPr="00934F86">
              <w:rPr>
                <w:rFonts w:ascii="Cambria" w:hAnsi="Cambria"/>
                <w:b/>
                <w:bCs/>
                <w:sz w:val="22"/>
                <w:szCs w:val="22"/>
              </w:rPr>
              <w:t>Content Emphasis</w:t>
            </w:r>
          </w:p>
        </w:tc>
      </w:tr>
      <w:tr w:rsidR="006B1FE2" w14:paraId="17D2327D" w14:textId="0BD7F16B" w:rsidTr="00162F69">
        <w:tc>
          <w:tcPr>
            <w:tcW w:w="8254" w:type="dxa"/>
          </w:tcPr>
          <w:p w14:paraId="313B1830" w14:textId="5246CC5B" w:rsidR="006B1FE2" w:rsidRDefault="006B1FE2" w:rsidP="006B1FE2">
            <w:pPr>
              <w:spacing w:before="60" w:after="60"/>
              <w:rPr>
                <w:rFonts w:ascii="Cambria" w:hAnsi="Cambria"/>
                <w:sz w:val="22"/>
                <w:szCs w:val="22"/>
              </w:rPr>
            </w:pPr>
            <w:r>
              <w:rPr>
                <w:rFonts w:ascii="Cambria" w:hAnsi="Cambria"/>
                <w:sz w:val="22"/>
                <w:szCs w:val="22"/>
              </w:rPr>
              <w:t>A. Understand solving equations as a process of reasoning and explain the reasoning</w:t>
            </w:r>
          </w:p>
        </w:tc>
        <w:tc>
          <w:tcPr>
            <w:tcW w:w="1260" w:type="dxa"/>
          </w:tcPr>
          <w:p w14:paraId="431BAD3F" w14:textId="59EB8A9A" w:rsidR="006B1FE2" w:rsidRDefault="006B1FE2" w:rsidP="006B1FE2">
            <w:pPr>
              <w:spacing w:before="60" w:after="60"/>
              <w:rPr>
                <w:rFonts w:ascii="Cambria" w:hAnsi="Cambria"/>
                <w:sz w:val="22"/>
                <w:szCs w:val="22"/>
              </w:rPr>
            </w:pPr>
            <w:r w:rsidRPr="00F40177">
              <w:rPr>
                <w:rFonts w:ascii="Cambria" w:hAnsi="Cambria"/>
                <w:sz w:val="22"/>
                <w:szCs w:val="22"/>
              </w:rPr>
              <w:t>1</w:t>
            </w:r>
            <w:r>
              <w:rPr>
                <w:rFonts w:ascii="Cambria" w:hAnsi="Cambria"/>
                <w:sz w:val="22"/>
                <w:szCs w:val="22"/>
              </w:rPr>
              <w:t>*</w:t>
            </w:r>
          </w:p>
        </w:tc>
        <w:tc>
          <w:tcPr>
            <w:tcW w:w="1260" w:type="dxa"/>
          </w:tcPr>
          <w:p w14:paraId="765556FB" w14:textId="2E9727F8" w:rsidR="006B1FE2" w:rsidRDefault="006B1FE2" w:rsidP="006B1FE2">
            <w:pPr>
              <w:spacing w:before="60" w:after="60"/>
              <w:jc w:val="center"/>
              <w:rPr>
                <w:rFonts w:ascii="Cambria" w:hAnsi="Cambria"/>
                <w:sz w:val="22"/>
                <w:szCs w:val="22"/>
                <w:u w:val="single"/>
              </w:rPr>
            </w:pPr>
            <w:r w:rsidRPr="00FC7C34">
              <w:rPr>
                <w:rFonts w:ascii="Cambria" w:hAnsi="Cambria"/>
                <w:color w:val="1E781E"/>
                <w:sz w:val="22"/>
                <w:szCs w:val="22"/>
              </w:rPr>
              <w:t>M</w:t>
            </w:r>
          </w:p>
        </w:tc>
      </w:tr>
      <w:tr w:rsidR="006B1FE2" w14:paraId="31B2DCB3" w14:textId="42F6D577" w:rsidTr="00162F69">
        <w:tc>
          <w:tcPr>
            <w:tcW w:w="8254" w:type="dxa"/>
          </w:tcPr>
          <w:p w14:paraId="41B47A86" w14:textId="5A7803CF" w:rsidR="006B1FE2" w:rsidRDefault="006B1FE2" w:rsidP="006B1FE2">
            <w:pPr>
              <w:spacing w:before="60" w:after="60"/>
              <w:rPr>
                <w:rFonts w:ascii="Cambria" w:hAnsi="Cambria"/>
                <w:sz w:val="22"/>
                <w:szCs w:val="22"/>
              </w:rPr>
            </w:pPr>
            <w:r>
              <w:rPr>
                <w:rFonts w:ascii="Cambria" w:hAnsi="Cambria"/>
                <w:sz w:val="22"/>
                <w:szCs w:val="22"/>
              </w:rPr>
              <w:t>B. Solve equations and inequalities in one variable</w:t>
            </w:r>
          </w:p>
        </w:tc>
        <w:tc>
          <w:tcPr>
            <w:tcW w:w="1260" w:type="dxa"/>
          </w:tcPr>
          <w:p w14:paraId="43CD2FE2" w14:textId="317E8B65" w:rsidR="006B1FE2" w:rsidRDefault="006B1FE2" w:rsidP="006B1FE2">
            <w:pPr>
              <w:spacing w:before="60" w:after="60"/>
              <w:rPr>
                <w:rFonts w:ascii="Cambria" w:hAnsi="Cambria"/>
                <w:sz w:val="22"/>
                <w:szCs w:val="22"/>
                <w:u w:val="single"/>
              </w:rPr>
            </w:pPr>
            <w:r>
              <w:rPr>
                <w:rFonts w:ascii="Cambria" w:hAnsi="Cambria"/>
                <w:sz w:val="22"/>
                <w:szCs w:val="22"/>
              </w:rPr>
              <w:t xml:space="preserve">3, </w:t>
            </w:r>
            <w:r w:rsidRPr="00FC7C34">
              <w:rPr>
                <w:rFonts w:ascii="Cambria" w:hAnsi="Cambria"/>
                <w:sz w:val="22"/>
                <w:szCs w:val="22"/>
              </w:rPr>
              <w:t>4a</w:t>
            </w:r>
            <w:r w:rsidR="00705DCC">
              <w:rPr>
                <w:rFonts w:ascii="Cambria" w:hAnsi="Cambria"/>
                <w:sz w:val="22"/>
                <w:szCs w:val="22"/>
              </w:rPr>
              <w:t>, 4b*</w:t>
            </w:r>
          </w:p>
        </w:tc>
        <w:tc>
          <w:tcPr>
            <w:tcW w:w="1260" w:type="dxa"/>
          </w:tcPr>
          <w:p w14:paraId="126820DB" w14:textId="6C1EFB84" w:rsidR="006B1FE2" w:rsidRDefault="006B1FE2" w:rsidP="006B1FE2">
            <w:pPr>
              <w:spacing w:before="60" w:after="60"/>
              <w:jc w:val="center"/>
              <w:rPr>
                <w:rFonts w:ascii="Cambria" w:hAnsi="Cambria"/>
                <w:sz w:val="22"/>
                <w:szCs w:val="22"/>
                <w:u w:val="single"/>
              </w:rPr>
            </w:pPr>
            <w:r w:rsidRPr="00FC7C34">
              <w:rPr>
                <w:rFonts w:ascii="Cambria" w:hAnsi="Cambria"/>
                <w:color w:val="1E781E"/>
                <w:sz w:val="22"/>
                <w:szCs w:val="22"/>
              </w:rPr>
              <w:t>M</w:t>
            </w:r>
          </w:p>
        </w:tc>
      </w:tr>
      <w:tr w:rsidR="006B1FE2" w14:paraId="293E48F4" w14:textId="3FC1373E" w:rsidTr="00162F69">
        <w:tc>
          <w:tcPr>
            <w:tcW w:w="8254" w:type="dxa"/>
          </w:tcPr>
          <w:p w14:paraId="5464C2F2" w14:textId="13A402CA" w:rsidR="006B1FE2" w:rsidRDefault="006B1FE2" w:rsidP="006B1FE2">
            <w:pPr>
              <w:spacing w:before="60" w:after="60"/>
              <w:rPr>
                <w:rFonts w:ascii="Cambria" w:hAnsi="Cambria"/>
                <w:sz w:val="22"/>
                <w:szCs w:val="22"/>
              </w:rPr>
            </w:pPr>
            <w:r>
              <w:rPr>
                <w:rFonts w:ascii="Cambria" w:hAnsi="Cambria"/>
                <w:sz w:val="22"/>
                <w:szCs w:val="22"/>
              </w:rPr>
              <w:t>C. Solve systems of equations</w:t>
            </w:r>
          </w:p>
        </w:tc>
        <w:tc>
          <w:tcPr>
            <w:tcW w:w="1260" w:type="dxa"/>
          </w:tcPr>
          <w:p w14:paraId="38978E63" w14:textId="346491B3" w:rsidR="006B1FE2" w:rsidRDefault="006B1FE2" w:rsidP="006B1FE2">
            <w:pPr>
              <w:spacing w:before="60" w:after="60"/>
              <w:rPr>
                <w:rFonts w:ascii="Cambria" w:hAnsi="Cambria"/>
                <w:sz w:val="22"/>
                <w:szCs w:val="22"/>
                <w:u w:val="single"/>
              </w:rPr>
            </w:pPr>
            <w:r w:rsidRPr="00F40177">
              <w:rPr>
                <w:rFonts w:ascii="Cambria" w:hAnsi="Cambria"/>
                <w:sz w:val="22"/>
                <w:szCs w:val="22"/>
              </w:rPr>
              <w:t>6*</w:t>
            </w:r>
          </w:p>
        </w:tc>
        <w:tc>
          <w:tcPr>
            <w:tcW w:w="1260" w:type="dxa"/>
          </w:tcPr>
          <w:p w14:paraId="72711C83" w14:textId="298C2EF2" w:rsidR="006B1FE2" w:rsidRDefault="006B1FE2" w:rsidP="006B1FE2">
            <w:pPr>
              <w:spacing w:before="60" w:after="60"/>
              <w:jc w:val="center"/>
              <w:rPr>
                <w:rFonts w:ascii="Cambria" w:hAnsi="Cambria"/>
                <w:sz w:val="22"/>
                <w:szCs w:val="22"/>
                <w:u w:val="single"/>
              </w:rPr>
            </w:pPr>
            <w:r w:rsidRPr="00FC7C34">
              <w:rPr>
                <w:rFonts w:ascii="Cambria" w:hAnsi="Cambria"/>
                <w:color w:val="C14A08"/>
                <w:sz w:val="22"/>
                <w:szCs w:val="22"/>
              </w:rPr>
              <w:t>A</w:t>
            </w:r>
          </w:p>
        </w:tc>
      </w:tr>
      <w:tr w:rsidR="006B1FE2" w14:paraId="2928D814" w14:textId="785FC95E" w:rsidTr="00162F69">
        <w:tc>
          <w:tcPr>
            <w:tcW w:w="8254" w:type="dxa"/>
          </w:tcPr>
          <w:p w14:paraId="6810D6C9" w14:textId="65FF744B" w:rsidR="006B1FE2" w:rsidRDefault="006B1FE2" w:rsidP="006B1FE2">
            <w:pPr>
              <w:spacing w:before="60" w:after="60"/>
              <w:rPr>
                <w:rFonts w:ascii="Cambria" w:hAnsi="Cambria"/>
                <w:sz w:val="22"/>
                <w:szCs w:val="22"/>
              </w:rPr>
            </w:pPr>
            <w:r>
              <w:rPr>
                <w:rFonts w:ascii="Cambria" w:hAnsi="Cambria"/>
                <w:sz w:val="22"/>
                <w:szCs w:val="22"/>
              </w:rPr>
              <w:t>D. Represent and solve equations and inequalities graphically</w:t>
            </w:r>
          </w:p>
        </w:tc>
        <w:tc>
          <w:tcPr>
            <w:tcW w:w="1260" w:type="dxa"/>
          </w:tcPr>
          <w:p w14:paraId="690CBFD9" w14:textId="68D57CDA" w:rsidR="006B1FE2" w:rsidRDefault="006B1FE2" w:rsidP="006B1FE2">
            <w:pPr>
              <w:spacing w:before="60" w:after="60"/>
              <w:rPr>
                <w:rFonts w:ascii="Cambria" w:hAnsi="Cambria"/>
                <w:sz w:val="22"/>
                <w:szCs w:val="22"/>
                <w:u w:val="single"/>
              </w:rPr>
            </w:pPr>
            <w:r w:rsidRPr="002B7F68">
              <w:rPr>
                <w:rFonts w:ascii="Cambria" w:hAnsi="Cambria"/>
                <w:sz w:val="22"/>
                <w:szCs w:val="22"/>
              </w:rPr>
              <w:t xml:space="preserve">10, </w:t>
            </w:r>
            <w:r w:rsidRPr="00F40177">
              <w:rPr>
                <w:rFonts w:ascii="Cambria" w:hAnsi="Cambria"/>
                <w:sz w:val="22"/>
                <w:szCs w:val="22"/>
              </w:rPr>
              <w:t>11*,</w:t>
            </w:r>
            <w:r w:rsidRPr="002B7F68">
              <w:rPr>
                <w:rFonts w:ascii="Cambria" w:hAnsi="Cambria"/>
                <w:sz w:val="22"/>
                <w:szCs w:val="22"/>
              </w:rPr>
              <w:t xml:space="preserve"> 12</w:t>
            </w:r>
          </w:p>
        </w:tc>
        <w:tc>
          <w:tcPr>
            <w:tcW w:w="1260" w:type="dxa"/>
          </w:tcPr>
          <w:p w14:paraId="0DBD1E0D" w14:textId="01F1B5A3" w:rsidR="006B1FE2" w:rsidRDefault="006B1FE2" w:rsidP="006B1FE2">
            <w:pPr>
              <w:spacing w:before="60" w:after="60"/>
              <w:jc w:val="center"/>
              <w:rPr>
                <w:rFonts w:ascii="Cambria" w:hAnsi="Cambria"/>
                <w:sz w:val="22"/>
                <w:szCs w:val="22"/>
                <w:u w:val="single"/>
              </w:rPr>
            </w:pPr>
            <w:r w:rsidRPr="00FC7C34">
              <w:rPr>
                <w:rFonts w:ascii="Cambria" w:hAnsi="Cambria"/>
                <w:color w:val="1E781E"/>
                <w:sz w:val="22"/>
                <w:szCs w:val="22"/>
              </w:rPr>
              <w:t>M</w:t>
            </w:r>
          </w:p>
        </w:tc>
      </w:tr>
    </w:tbl>
    <w:p w14:paraId="32757F05" w14:textId="37BD03DB" w:rsidR="00FC7C34" w:rsidRPr="00FC7C34" w:rsidRDefault="00FC7C34" w:rsidP="00FC7C34">
      <w:pPr>
        <w:pStyle w:val="Heading2"/>
      </w:pPr>
      <w:r w:rsidRPr="00FC7C34">
        <w:t>Functions</w:t>
      </w:r>
      <w:r>
        <w:t xml:space="preserve"> Conceptual Category</w:t>
      </w:r>
    </w:p>
    <w:p w14:paraId="0BA91628" w14:textId="1F75C76E" w:rsidR="00FC7C34" w:rsidRPr="00FC7C34" w:rsidRDefault="00FC7C34" w:rsidP="00FC7C34">
      <w:pPr>
        <w:pStyle w:val="Heading3"/>
      </w:pPr>
      <w:r w:rsidRPr="00FC7C34">
        <w:t>Interpreting Functions (</w:t>
      </w:r>
      <w:proofErr w:type="gramStart"/>
      <w:r w:rsidRPr="00FC7C34">
        <w:t>F.IF</w:t>
      </w:r>
      <w:proofErr w:type="gramEnd"/>
      <w:r w:rsidRPr="00FC7C34">
        <w:t>)</w:t>
      </w:r>
    </w:p>
    <w:tbl>
      <w:tblPr>
        <w:tblStyle w:val="TableGrid"/>
        <w:tblW w:w="10793" w:type="dxa"/>
        <w:tblLook w:val="0420" w:firstRow="1" w:lastRow="0" w:firstColumn="0" w:lastColumn="0" w:noHBand="0" w:noVBand="1"/>
      </w:tblPr>
      <w:tblGrid>
        <w:gridCol w:w="8185"/>
        <w:gridCol w:w="1349"/>
        <w:gridCol w:w="1259"/>
      </w:tblGrid>
      <w:tr w:rsidR="00FC7C34" w:rsidRPr="00FC7C34" w14:paraId="06EA225A" w14:textId="5DED76C9" w:rsidTr="00162F69">
        <w:tc>
          <w:tcPr>
            <w:tcW w:w="8185" w:type="dxa"/>
            <w:shd w:val="clear" w:color="auto" w:fill="B1C8F3"/>
          </w:tcPr>
          <w:p w14:paraId="24449C1E" w14:textId="77777777" w:rsidR="00FC7C34" w:rsidRPr="00934F86" w:rsidRDefault="00FC7C34" w:rsidP="00FC7C34">
            <w:pPr>
              <w:rPr>
                <w:rFonts w:ascii="Cambria" w:hAnsi="Cambria"/>
                <w:b/>
                <w:bCs/>
                <w:sz w:val="22"/>
                <w:szCs w:val="22"/>
              </w:rPr>
            </w:pPr>
            <w:r w:rsidRPr="00934F86">
              <w:rPr>
                <w:rFonts w:ascii="Cambria" w:hAnsi="Cambria"/>
                <w:b/>
                <w:bCs/>
                <w:sz w:val="22"/>
                <w:szCs w:val="22"/>
              </w:rPr>
              <w:t>Cluster Letter and Heading</w:t>
            </w:r>
          </w:p>
        </w:tc>
        <w:tc>
          <w:tcPr>
            <w:tcW w:w="1349" w:type="dxa"/>
            <w:shd w:val="clear" w:color="auto" w:fill="B1C8F3"/>
          </w:tcPr>
          <w:p w14:paraId="7725F9B9" w14:textId="77777777" w:rsidR="00FC7C34" w:rsidRPr="00934F86" w:rsidRDefault="00FC7C34" w:rsidP="00FC7C34">
            <w:pPr>
              <w:jc w:val="center"/>
              <w:rPr>
                <w:rFonts w:ascii="Cambria" w:hAnsi="Cambria"/>
                <w:b/>
                <w:bCs/>
                <w:sz w:val="22"/>
                <w:szCs w:val="22"/>
              </w:rPr>
            </w:pPr>
            <w:r w:rsidRPr="00934F86">
              <w:rPr>
                <w:rFonts w:ascii="Cambria" w:hAnsi="Cambria"/>
                <w:b/>
                <w:bCs/>
                <w:sz w:val="22"/>
                <w:szCs w:val="22"/>
              </w:rPr>
              <w:t>Standard Number</w:t>
            </w:r>
          </w:p>
        </w:tc>
        <w:tc>
          <w:tcPr>
            <w:tcW w:w="1259" w:type="dxa"/>
            <w:shd w:val="clear" w:color="auto" w:fill="B1C8F3"/>
          </w:tcPr>
          <w:p w14:paraId="79F2EEE8" w14:textId="2945DE93" w:rsidR="00FC7C34" w:rsidRPr="00934F86" w:rsidRDefault="00FC7C34" w:rsidP="00FC7C34">
            <w:pPr>
              <w:jc w:val="center"/>
              <w:rPr>
                <w:rFonts w:ascii="Cambria" w:hAnsi="Cambria"/>
                <w:b/>
                <w:bCs/>
                <w:sz w:val="22"/>
                <w:szCs w:val="22"/>
              </w:rPr>
            </w:pPr>
            <w:r w:rsidRPr="00934F86">
              <w:rPr>
                <w:rFonts w:ascii="Cambria" w:hAnsi="Cambria"/>
                <w:b/>
                <w:bCs/>
                <w:sz w:val="22"/>
                <w:szCs w:val="22"/>
              </w:rPr>
              <w:t>Content Emphasis</w:t>
            </w:r>
          </w:p>
        </w:tc>
      </w:tr>
      <w:tr w:rsidR="006B1FE2" w14:paraId="0693230A" w14:textId="77C43E14" w:rsidTr="00162F69">
        <w:tc>
          <w:tcPr>
            <w:tcW w:w="8185" w:type="dxa"/>
          </w:tcPr>
          <w:p w14:paraId="078FDE82" w14:textId="6F9AE69F" w:rsidR="006B1FE2" w:rsidRDefault="006B1FE2" w:rsidP="006B1FE2">
            <w:pPr>
              <w:spacing w:before="60" w:after="60"/>
              <w:rPr>
                <w:rFonts w:ascii="Cambria" w:hAnsi="Cambria"/>
                <w:sz w:val="22"/>
                <w:szCs w:val="22"/>
              </w:rPr>
            </w:pPr>
            <w:r>
              <w:rPr>
                <w:rFonts w:ascii="Cambria" w:hAnsi="Cambria"/>
                <w:sz w:val="22"/>
                <w:szCs w:val="22"/>
              </w:rPr>
              <w:t>A. Understand the concept of function and use function notation</w:t>
            </w:r>
          </w:p>
        </w:tc>
        <w:tc>
          <w:tcPr>
            <w:tcW w:w="1349" w:type="dxa"/>
          </w:tcPr>
          <w:p w14:paraId="3557DBAC" w14:textId="79D6B9AD" w:rsidR="006B1FE2" w:rsidRDefault="006B1FE2" w:rsidP="006B1FE2">
            <w:pPr>
              <w:spacing w:before="60" w:after="60"/>
              <w:rPr>
                <w:rFonts w:ascii="Cambria" w:hAnsi="Cambria"/>
                <w:sz w:val="22"/>
                <w:szCs w:val="22"/>
                <w:u w:val="single"/>
              </w:rPr>
            </w:pPr>
            <w:r w:rsidRPr="002B7F68">
              <w:rPr>
                <w:rFonts w:ascii="Cambria" w:hAnsi="Cambria"/>
                <w:sz w:val="22"/>
                <w:szCs w:val="22"/>
              </w:rPr>
              <w:t>1, 2,</w:t>
            </w:r>
            <w:r w:rsidRPr="00F40177">
              <w:rPr>
                <w:rFonts w:ascii="Cambria" w:hAnsi="Cambria"/>
                <w:sz w:val="22"/>
                <w:szCs w:val="22"/>
              </w:rPr>
              <w:t xml:space="preserve"> 3</w:t>
            </w:r>
            <w:r>
              <w:rPr>
                <w:rFonts w:ascii="Cambria" w:hAnsi="Cambria"/>
                <w:sz w:val="22"/>
                <w:szCs w:val="22"/>
              </w:rPr>
              <w:t>*</w:t>
            </w:r>
          </w:p>
        </w:tc>
        <w:tc>
          <w:tcPr>
            <w:tcW w:w="1259" w:type="dxa"/>
          </w:tcPr>
          <w:p w14:paraId="3E8E7296" w14:textId="205852E7" w:rsidR="006B1FE2" w:rsidRDefault="006B1FE2" w:rsidP="006B1FE2">
            <w:pPr>
              <w:spacing w:before="60" w:after="60"/>
              <w:jc w:val="center"/>
              <w:rPr>
                <w:rFonts w:ascii="Cambria" w:hAnsi="Cambria"/>
                <w:sz w:val="22"/>
                <w:szCs w:val="22"/>
                <w:u w:val="single"/>
              </w:rPr>
            </w:pPr>
            <w:r w:rsidRPr="00FC7C34">
              <w:rPr>
                <w:rFonts w:ascii="Cambria" w:hAnsi="Cambria"/>
                <w:color w:val="1E781E"/>
                <w:sz w:val="22"/>
                <w:szCs w:val="22"/>
              </w:rPr>
              <w:t>M</w:t>
            </w:r>
          </w:p>
        </w:tc>
      </w:tr>
      <w:tr w:rsidR="006B1FE2" w14:paraId="33419F7E" w14:textId="79CEBEED" w:rsidTr="00162F69">
        <w:tc>
          <w:tcPr>
            <w:tcW w:w="8185" w:type="dxa"/>
          </w:tcPr>
          <w:p w14:paraId="7B0AA9A8" w14:textId="2C37EB11" w:rsidR="006B1FE2" w:rsidRDefault="006B1FE2" w:rsidP="006B1FE2">
            <w:pPr>
              <w:spacing w:before="60" w:after="60"/>
              <w:rPr>
                <w:rFonts w:ascii="Cambria" w:hAnsi="Cambria"/>
                <w:sz w:val="22"/>
                <w:szCs w:val="22"/>
              </w:rPr>
            </w:pPr>
            <w:r>
              <w:rPr>
                <w:rFonts w:ascii="Cambria" w:hAnsi="Cambria"/>
                <w:sz w:val="22"/>
                <w:szCs w:val="22"/>
              </w:rPr>
              <w:t>B. Interpret functions that arise in applications in terms of the context</w:t>
            </w:r>
          </w:p>
        </w:tc>
        <w:tc>
          <w:tcPr>
            <w:tcW w:w="1349" w:type="dxa"/>
          </w:tcPr>
          <w:p w14:paraId="631B8EC9" w14:textId="7608E46A" w:rsidR="006B1FE2" w:rsidRDefault="006B1FE2" w:rsidP="006B1FE2">
            <w:pPr>
              <w:spacing w:before="60" w:after="60"/>
              <w:rPr>
                <w:rFonts w:ascii="Cambria" w:hAnsi="Cambria"/>
                <w:sz w:val="22"/>
                <w:szCs w:val="22"/>
              </w:rPr>
            </w:pPr>
            <w:r w:rsidRPr="00F40177">
              <w:rPr>
                <w:rFonts w:ascii="Cambria" w:hAnsi="Cambria"/>
                <w:sz w:val="22"/>
                <w:szCs w:val="22"/>
              </w:rPr>
              <w:t>4</w:t>
            </w:r>
            <w:r>
              <w:rPr>
                <w:rFonts w:ascii="Cambria" w:hAnsi="Cambria"/>
                <w:sz w:val="22"/>
                <w:szCs w:val="22"/>
              </w:rPr>
              <w:t>*</w:t>
            </w:r>
            <w:r w:rsidRPr="00FC7C34">
              <w:rPr>
                <w:rFonts w:ascii="Cambria" w:hAnsi="Cambria"/>
                <w:sz w:val="22"/>
                <w:szCs w:val="22"/>
              </w:rPr>
              <w:t>,</w:t>
            </w:r>
            <w:r w:rsidRPr="002B7F68">
              <w:rPr>
                <w:rFonts w:ascii="Cambria" w:hAnsi="Cambria"/>
                <w:sz w:val="22"/>
                <w:szCs w:val="22"/>
              </w:rPr>
              <w:t xml:space="preserve"> 5,</w:t>
            </w:r>
            <w:r w:rsidRPr="00F40177">
              <w:rPr>
                <w:rFonts w:ascii="Cambria" w:hAnsi="Cambria"/>
                <w:sz w:val="22"/>
                <w:szCs w:val="22"/>
              </w:rPr>
              <w:t xml:space="preserve"> 6</w:t>
            </w:r>
            <w:r>
              <w:rPr>
                <w:rFonts w:ascii="Cambria" w:hAnsi="Cambria"/>
                <w:sz w:val="22"/>
                <w:szCs w:val="22"/>
              </w:rPr>
              <w:t>*</w:t>
            </w:r>
          </w:p>
        </w:tc>
        <w:tc>
          <w:tcPr>
            <w:tcW w:w="1259" w:type="dxa"/>
          </w:tcPr>
          <w:p w14:paraId="0B7F9385" w14:textId="40E69E58" w:rsidR="006B1FE2" w:rsidRDefault="006B1FE2" w:rsidP="006B1FE2">
            <w:pPr>
              <w:spacing w:before="60" w:after="60"/>
              <w:jc w:val="center"/>
              <w:rPr>
                <w:rFonts w:ascii="Cambria" w:hAnsi="Cambria"/>
                <w:sz w:val="22"/>
                <w:szCs w:val="22"/>
                <w:u w:val="single"/>
              </w:rPr>
            </w:pPr>
            <w:r w:rsidRPr="00FC7C34">
              <w:rPr>
                <w:rFonts w:ascii="Cambria" w:hAnsi="Cambria"/>
                <w:color w:val="1E781E"/>
                <w:sz w:val="22"/>
                <w:szCs w:val="22"/>
              </w:rPr>
              <w:t>M</w:t>
            </w:r>
          </w:p>
        </w:tc>
      </w:tr>
      <w:tr w:rsidR="006B1FE2" w14:paraId="0252182D" w14:textId="384B0DE3" w:rsidTr="00162F69">
        <w:tc>
          <w:tcPr>
            <w:tcW w:w="8185" w:type="dxa"/>
          </w:tcPr>
          <w:p w14:paraId="7DF9F755" w14:textId="583F7764" w:rsidR="006B1FE2" w:rsidRDefault="006B1FE2" w:rsidP="006B1FE2">
            <w:pPr>
              <w:spacing w:before="60" w:after="60"/>
              <w:rPr>
                <w:rFonts w:ascii="Cambria" w:hAnsi="Cambria"/>
                <w:sz w:val="22"/>
                <w:szCs w:val="22"/>
              </w:rPr>
            </w:pPr>
            <w:r>
              <w:rPr>
                <w:rFonts w:ascii="Cambria" w:hAnsi="Cambria"/>
                <w:sz w:val="22"/>
                <w:szCs w:val="22"/>
              </w:rPr>
              <w:t>C. Analyze functions using different representations</w:t>
            </w:r>
          </w:p>
        </w:tc>
        <w:tc>
          <w:tcPr>
            <w:tcW w:w="1349" w:type="dxa"/>
          </w:tcPr>
          <w:p w14:paraId="799272FC" w14:textId="18250E6C" w:rsidR="006B1FE2" w:rsidRDefault="006B1FE2" w:rsidP="006B1FE2">
            <w:pPr>
              <w:spacing w:before="60" w:after="60"/>
              <w:rPr>
                <w:rFonts w:ascii="Cambria" w:hAnsi="Cambria"/>
                <w:sz w:val="22"/>
                <w:szCs w:val="22"/>
                <w:u w:val="single"/>
              </w:rPr>
            </w:pPr>
            <w:r w:rsidRPr="00FC7C34">
              <w:rPr>
                <w:rFonts w:ascii="Cambria" w:hAnsi="Cambria"/>
                <w:sz w:val="22"/>
                <w:szCs w:val="22"/>
              </w:rPr>
              <w:t>7</w:t>
            </w:r>
            <w:r>
              <w:rPr>
                <w:rFonts w:ascii="Cambria" w:hAnsi="Cambria"/>
                <w:sz w:val="22"/>
                <w:szCs w:val="22"/>
              </w:rPr>
              <w:t xml:space="preserve">a, </w:t>
            </w:r>
            <w:r w:rsidRPr="00F40177">
              <w:rPr>
                <w:rFonts w:ascii="Cambria" w:hAnsi="Cambria"/>
                <w:sz w:val="22"/>
                <w:szCs w:val="22"/>
              </w:rPr>
              <w:t>7b</w:t>
            </w:r>
            <w:r>
              <w:rPr>
                <w:rFonts w:ascii="Cambria" w:hAnsi="Cambria"/>
                <w:sz w:val="22"/>
                <w:szCs w:val="22"/>
              </w:rPr>
              <w:t>*</w:t>
            </w:r>
            <w:r w:rsidRPr="00F40177">
              <w:rPr>
                <w:rFonts w:ascii="Cambria" w:hAnsi="Cambria"/>
                <w:sz w:val="22"/>
                <w:szCs w:val="22"/>
              </w:rPr>
              <w:t>,</w:t>
            </w:r>
            <w:r w:rsidRPr="00FC7C34">
              <w:rPr>
                <w:rFonts w:ascii="Cambria" w:hAnsi="Cambria"/>
                <w:sz w:val="22"/>
                <w:szCs w:val="22"/>
              </w:rPr>
              <w:t xml:space="preserve"> </w:t>
            </w:r>
            <w:r w:rsidRPr="00F40177">
              <w:rPr>
                <w:rFonts w:ascii="Cambria" w:hAnsi="Cambria"/>
                <w:sz w:val="22"/>
                <w:szCs w:val="22"/>
              </w:rPr>
              <w:t>7e</w:t>
            </w:r>
            <w:r>
              <w:rPr>
                <w:rFonts w:ascii="Cambria" w:hAnsi="Cambria"/>
                <w:sz w:val="22"/>
                <w:szCs w:val="22"/>
              </w:rPr>
              <w:t>*</w:t>
            </w:r>
            <w:r w:rsidRPr="00FC7C34">
              <w:rPr>
                <w:rFonts w:ascii="Cambria" w:hAnsi="Cambria"/>
                <w:sz w:val="22"/>
                <w:szCs w:val="22"/>
              </w:rPr>
              <w:t>, 8</w:t>
            </w:r>
            <w:r>
              <w:rPr>
                <w:rFonts w:ascii="Cambria" w:hAnsi="Cambria"/>
                <w:sz w:val="22"/>
                <w:szCs w:val="22"/>
              </w:rPr>
              <w:t>a</w:t>
            </w:r>
            <w:r w:rsidRPr="00FC7C34">
              <w:rPr>
                <w:rFonts w:ascii="Cambria" w:hAnsi="Cambria"/>
                <w:sz w:val="22"/>
                <w:szCs w:val="22"/>
              </w:rPr>
              <w:t xml:space="preserve">, </w:t>
            </w:r>
            <w:r w:rsidRPr="00F40177">
              <w:rPr>
                <w:rFonts w:ascii="Cambria" w:hAnsi="Cambria"/>
                <w:sz w:val="22"/>
                <w:szCs w:val="22"/>
              </w:rPr>
              <w:t>9</w:t>
            </w:r>
            <w:r>
              <w:rPr>
                <w:rFonts w:ascii="Cambria" w:hAnsi="Cambria"/>
                <w:sz w:val="22"/>
                <w:szCs w:val="22"/>
              </w:rPr>
              <w:t>*</w:t>
            </w:r>
          </w:p>
        </w:tc>
        <w:tc>
          <w:tcPr>
            <w:tcW w:w="1259" w:type="dxa"/>
          </w:tcPr>
          <w:p w14:paraId="32609CA0" w14:textId="6A557833" w:rsidR="006B1FE2" w:rsidRDefault="006B1FE2" w:rsidP="006B1FE2">
            <w:pPr>
              <w:spacing w:before="60" w:after="60"/>
              <w:jc w:val="center"/>
              <w:rPr>
                <w:rFonts w:ascii="Cambria" w:hAnsi="Cambria"/>
                <w:sz w:val="22"/>
                <w:szCs w:val="22"/>
                <w:u w:val="single"/>
              </w:rPr>
            </w:pPr>
            <w:r w:rsidRPr="00FC7C34">
              <w:rPr>
                <w:rFonts w:ascii="Cambria" w:hAnsi="Cambria"/>
                <w:color w:val="000099"/>
                <w:sz w:val="22"/>
                <w:szCs w:val="22"/>
              </w:rPr>
              <w:t>S</w:t>
            </w:r>
          </w:p>
        </w:tc>
      </w:tr>
    </w:tbl>
    <w:p w14:paraId="0883587C" w14:textId="441B4700" w:rsidR="00FC7C34" w:rsidRPr="00FC7C34" w:rsidRDefault="00FC7C34" w:rsidP="00FC7C34">
      <w:pPr>
        <w:pStyle w:val="Heading3"/>
      </w:pPr>
      <w:r>
        <w:t>Build</w:t>
      </w:r>
      <w:r w:rsidRPr="00FC7C34">
        <w:t>ing Functions (F.</w:t>
      </w:r>
      <w:r>
        <w:t>B</w:t>
      </w:r>
      <w:r w:rsidRPr="00FC7C34">
        <w:t>F)</w:t>
      </w:r>
    </w:p>
    <w:tbl>
      <w:tblPr>
        <w:tblStyle w:val="TableGrid"/>
        <w:tblW w:w="10774" w:type="dxa"/>
        <w:tblLook w:val="0420" w:firstRow="1" w:lastRow="0" w:firstColumn="0" w:lastColumn="0" w:noHBand="0" w:noVBand="1"/>
      </w:tblPr>
      <w:tblGrid>
        <w:gridCol w:w="8254"/>
        <w:gridCol w:w="1260"/>
        <w:gridCol w:w="1260"/>
      </w:tblGrid>
      <w:tr w:rsidR="00FC7C34" w:rsidRPr="00FC7C34" w14:paraId="7E47537C" w14:textId="5B0B066C" w:rsidTr="00162F69">
        <w:tc>
          <w:tcPr>
            <w:tcW w:w="8254" w:type="dxa"/>
            <w:shd w:val="clear" w:color="auto" w:fill="B1C8F3"/>
          </w:tcPr>
          <w:p w14:paraId="6990E2FD" w14:textId="77777777" w:rsidR="00FC7C34" w:rsidRPr="00934F86" w:rsidRDefault="00FC7C34" w:rsidP="00FC7C34">
            <w:pPr>
              <w:rPr>
                <w:rFonts w:ascii="Cambria" w:hAnsi="Cambria"/>
                <w:b/>
                <w:bCs/>
                <w:sz w:val="22"/>
                <w:szCs w:val="22"/>
              </w:rPr>
            </w:pPr>
            <w:r w:rsidRPr="00934F86">
              <w:rPr>
                <w:rFonts w:ascii="Cambria" w:hAnsi="Cambria"/>
                <w:b/>
                <w:bCs/>
                <w:sz w:val="22"/>
                <w:szCs w:val="22"/>
              </w:rPr>
              <w:t>Cluster Letter and Heading</w:t>
            </w:r>
          </w:p>
        </w:tc>
        <w:tc>
          <w:tcPr>
            <w:tcW w:w="1260" w:type="dxa"/>
            <w:shd w:val="clear" w:color="auto" w:fill="B1C8F3"/>
          </w:tcPr>
          <w:p w14:paraId="7660E53D" w14:textId="77777777" w:rsidR="00FC7C34" w:rsidRPr="00934F86" w:rsidRDefault="00FC7C34" w:rsidP="00FC7C34">
            <w:pPr>
              <w:jc w:val="center"/>
              <w:rPr>
                <w:rFonts w:ascii="Cambria" w:hAnsi="Cambria"/>
                <w:b/>
                <w:bCs/>
                <w:sz w:val="22"/>
                <w:szCs w:val="22"/>
              </w:rPr>
            </w:pPr>
            <w:r w:rsidRPr="00934F86">
              <w:rPr>
                <w:rFonts w:ascii="Cambria" w:hAnsi="Cambria"/>
                <w:b/>
                <w:bCs/>
                <w:sz w:val="22"/>
                <w:szCs w:val="22"/>
              </w:rPr>
              <w:t>Standard Number</w:t>
            </w:r>
          </w:p>
        </w:tc>
        <w:tc>
          <w:tcPr>
            <w:tcW w:w="1260" w:type="dxa"/>
            <w:shd w:val="clear" w:color="auto" w:fill="B1C8F3"/>
          </w:tcPr>
          <w:p w14:paraId="51023FEA" w14:textId="01E8986D" w:rsidR="00FC7C34" w:rsidRPr="00934F86" w:rsidRDefault="00FC7C34" w:rsidP="00FC7C34">
            <w:pPr>
              <w:jc w:val="center"/>
              <w:rPr>
                <w:rFonts w:ascii="Cambria" w:hAnsi="Cambria"/>
                <w:b/>
                <w:bCs/>
                <w:sz w:val="22"/>
                <w:szCs w:val="22"/>
              </w:rPr>
            </w:pPr>
            <w:r w:rsidRPr="00934F86">
              <w:rPr>
                <w:rFonts w:ascii="Cambria" w:hAnsi="Cambria"/>
                <w:b/>
                <w:bCs/>
                <w:sz w:val="22"/>
                <w:szCs w:val="22"/>
              </w:rPr>
              <w:t>Content Emphasis</w:t>
            </w:r>
          </w:p>
        </w:tc>
      </w:tr>
      <w:tr w:rsidR="009A1325" w14:paraId="4D336CB2" w14:textId="5E5AD650" w:rsidTr="00162F69">
        <w:tc>
          <w:tcPr>
            <w:tcW w:w="8254" w:type="dxa"/>
          </w:tcPr>
          <w:p w14:paraId="6264A471" w14:textId="1E11888E" w:rsidR="009A1325" w:rsidRDefault="009A1325" w:rsidP="009A1325">
            <w:pPr>
              <w:spacing w:before="60" w:after="60"/>
              <w:rPr>
                <w:rFonts w:ascii="Cambria" w:hAnsi="Cambria"/>
                <w:sz w:val="22"/>
                <w:szCs w:val="22"/>
              </w:rPr>
            </w:pPr>
            <w:r>
              <w:rPr>
                <w:rFonts w:ascii="Cambria" w:hAnsi="Cambria"/>
                <w:sz w:val="22"/>
                <w:szCs w:val="22"/>
              </w:rPr>
              <w:t>A. Build a function that models a relationship between two quantities</w:t>
            </w:r>
          </w:p>
        </w:tc>
        <w:tc>
          <w:tcPr>
            <w:tcW w:w="1260" w:type="dxa"/>
          </w:tcPr>
          <w:p w14:paraId="4A056D00" w14:textId="17F77242" w:rsidR="009A1325" w:rsidRDefault="009A1325" w:rsidP="009A1325">
            <w:pPr>
              <w:spacing w:before="60" w:after="60"/>
              <w:rPr>
                <w:rFonts w:ascii="Cambria" w:hAnsi="Cambria"/>
                <w:sz w:val="22"/>
                <w:szCs w:val="22"/>
                <w:u w:val="single"/>
              </w:rPr>
            </w:pPr>
            <w:r w:rsidRPr="00F40177">
              <w:rPr>
                <w:rFonts w:ascii="Cambria" w:hAnsi="Cambria"/>
                <w:sz w:val="22"/>
                <w:szCs w:val="22"/>
              </w:rPr>
              <w:t>1a</w:t>
            </w:r>
            <w:r>
              <w:rPr>
                <w:rFonts w:ascii="Cambria" w:hAnsi="Cambria"/>
                <w:sz w:val="22"/>
                <w:szCs w:val="22"/>
              </w:rPr>
              <w:t>*</w:t>
            </w:r>
          </w:p>
        </w:tc>
        <w:tc>
          <w:tcPr>
            <w:tcW w:w="1260" w:type="dxa"/>
          </w:tcPr>
          <w:p w14:paraId="5DDCA0E3" w14:textId="359DF7BA" w:rsidR="009A1325" w:rsidRDefault="009A1325" w:rsidP="009A1325">
            <w:pPr>
              <w:spacing w:before="60" w:after="60"/>
              <w:jc w:val="center"/>
              <w:rPr>
                <w:rFonts w:ascii="Cambria" w:hAnsi="Cambria"/>
                <w:sz w:val="22"/>
                <w:szCs w:val="22"/>
                <w:u w:val="single"/>
              </w:rPr>
            </w:pPr>
            <w:r w:rsidRPr="00FC7C34">
              <w:rPr>
                <w:rFonts w:ascii="Cambria" w:hAnsi="Cambria"/>
                <w:color w:val="000099"/>
                <w:sz w:val="22"/>
                <w:szCs w:val="22"/>
              </w:rPr>
              <w:t>S</w:t>
            </w:r>
          </w:p>
        </w:tc>
      </w:tr>
      <w:tr w:rsidR="009A1325" w14:paraId="2964951E" w14:textId="74151EE5" w:rsidTr="00162F69">
        <w:tc>
          <w:tcPr>
            <w:tcW w:w="8254" w:type="dxa"/>
          </w:tcPr>
          <w:p w14:paraId="7DDD87A5" w14:textId="205FEE64" w:rsidR="009A1325" w:rsidRDefault="009A1325" w:rsidP="009A1325">
            <w:pPr>
              <w:spacing w:before="60" w:after="60"/>
              <w:rPr>
                <w:rFonts w:ascii="Cambria" w:hAnsi="Cambria"/>
                <w:sz w:val="22"/>
                <w:szCs w:val="22"/>
              </w:rPr>
            </w:pPr>
            <w:r>
              <w:rPr>
                <w:rFonts w:ascii="Cambria" w:hAnsi="Cambria"/>
                <w:sz w:val="22"/>
                <w:szCs w:val="22"/>
              </w:rPr>
              <w:t>B. Build new functions from existing functions</w:t>
            </w:r>
          </w:p>
        </w:tc>
        <w:tc>
          <w:tcPr>
            <w:tcW w:w="1260" w:type="dxa"/>
          </w:tcPr>
          <w:p w14:paraId="36A9C12C" w14:textId="5BAB2B40" w:rsidR="009A1325" w:rsidRDefault="009A1325" w:rsidP="009A1325">
            <w:pPr>
              <w:spacing w:before="60" w:after="60"/>
              <w:rPr>
                <w:rFonts w:ascii="Cambria" w:hAnsi="Cambria"/>
                <w:sz w:val="22"/>
                <w:szCs w:val="22"/>
              </w:rPr>
            </w:pPr>
            <w:r w:rsidRPr="00F40177">
              <w:rPr>
                <w:rFonts w:ascii="Cambria" w:hAnsi="Cambria"/>
                <w:sz w:val="22"/>
                <w:szCs w:val="22"/>
              </w:rPr>
              <w:t>3</w:t>
            </w:r>
            <w:r>
              <w:rPr>
                <w:rFonts w:ascii="Cambria" w:hAnsi="Cambria"/>
                <w:sz w:val="22"/>
                <w:szCs w:val="22"/>
              </w:rPr>
              <w:t>*</w:t>
            </w:r>
          </w:p>
        </w:tc>
        <w:tc>
          <w:tcPr>
            <w:tcW w:w="1260" w:type="dxa"/>
          </w:tcPr>
          <w:p w14:paraId="694F2FC0" w14:textId="61E09D8F" w:rsidR="009A1325" w:rsidRDefault="009A1325" w:rsidP="009A1325">
            <w:pPr>
              <w:spacing w:before="60" w:after="60"/>
              <w:jc w:val="center"/>
              <w:rPr>
                <w:rFonts w:ascii="Cambria" w:hAnsi="Cambria"/>
                <w:sz w:val="22"/>
                <w:szCs w:val="22"/>
                <w:u w:val="single"/>
              </w:rPr>
            </w:pPr>
            <w:r w:rsidRPr="00FC7C34">
              <w:rPr>
                <w:rFonts w:ascii="Cambria" w:hAnsi="Cambria"/>
                <w:color w:val="C14A08"/>
                <w:sz w:val="22"/>
                <w:szCs w:val="22"/>
              </w:rPr>
              <w:t>A</w:t>
            </w:r>
          </w:p>
        </w:tc>
      </w:tr>
    </w:tbl>
    <w:p w14:paraId="0FDFE1D1" w14:textId="34B44CE9" w:rsidR="00FC7C34" w:rsidRPr="00FC7C34" w:rsidRDefault="00FC7C34" w:rsidP="00FC7C34">
      <w:pPr>
        <w:pStyle w:val="Heading3"/>
      </w:pPr>
      <w:r>
        <w:t>Linear and Exponential Models</w:t>
      </w:r>
      <w:r w:rsidRPr="00FC7C34">
        <w:t xml:space="preserve"> (</w:t>
      </w:r>
      <w:proofErr w:type="gramStart"/>
      <w:r w:rsidRPr="00FC7C34">
        <w:t>F.</w:t>
      </w:r>
      <w:r>
        <w:t>LE</w:t>
      </w:r>
      <w:proofErr w:type="gramEnd"/>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1319957F" w14:textId="124C6615" w:rsidTr="00162F69">
        <w:tc>
          <w:tcPr>
            <w:tcW w:w="8254" w:type="dxa"/>
            <w:shd w:val="clear" w:color="auto" w:fill="B1C8F3"/>
          </w:tcPr>
          <w:p w14:paraId="22101757" w14:textId="77777777" w:rsidR="00FC7C34" w:rsidRPr="00934F86" w:rsidRDefault="00FC7C34" w:rsidP="00FC7C34">
            <w:pPr>
              <w:rPr>
                <w:rFonts w:ascii="Cambria" w:hAnsi="Cambria"/>
                <w:b/>
                <w:bCs/>
                <w:sz w:val="22"/>
                <w:szCs w:val="22"/>
              </w:rPr>
            </w:pPr>
            <w:r w:rsidRPr="00934F86">
              <w:rPr>
                <w:rFonts w:ascii="Cambria" w:hAnsi="Cambria"/>
                <w:b/>
                <w:bCs/>
                <w:sz w:val="22"/>
                <w:szCs w:val="22"/>
              </w:rPr>
              <w:t>Cluster Letter and Heading</w:t>
            </w:r>
          </w:p>
        </w:tc>
        <w:tc>
          <w:tcPr>
            <w:tcW w:w="1260" w:type="dxa"/>
            <w:shd w:val="clear" w:color="auto" w:fill="B1C8F3"/>
          </w:tcPr>
          <w:p w14:paraId="5E5C3993" w14:textId="77777777" w:rsidR="00FC7C34" w:rsidRPr="00934F86" w:rsidRDefault="00FC7C34" w:rsidP="00FC7C34">
            <w:pPr>
              <w:jc w:val="center"/>
              <w:rPr>
                <w:rFonts w:ascii="Cambria" w:hAnsi="Cambria"/>
                <w:b/>
                <w:bCs/>
                <w:sz w:val="22"/>
                <w:szCs w:val="22"/>
              </w:rPr>
            </w:pPr>
            <w:r w:rsidRPr="00934F86">
              <w:rPr>
                <w:rFonts w:ascii="Cambria" w:hAnsi="Cambria"/>
                <w:b/>
                <w:bCs/>
                <w:sz w:val="22"/>
                <w:szCs w:val="22"/>
              </w:rPr>
              <w:t>Standard Number</w:t>
            </w:r>
          </w:p>
        </w:tc>
        <w:tc>
          <w:tcPr>
            <w:tcW w:w="1260" w:type="dxa"/>
            <w:shd w:val="clear" w:color="auto" w:fill="B1C8F3"/>
          </w:tcPr>
          <w:p w14:paraId="17F4F066" w14:textId="746C172D" w:rsidR="00FC7C34" w:rsidRPr="00934F86" w:rsidRDefault="00FC7C34" w:rsidP="00FC7C34">
            <w:pPr>
              <w:jc w:val="center"/>
              <w:rPr>
                <w:rFonts w:ascii="Cambria" w:hAnsi="Cambria"/>
                <w:b/>
                <w:bCs/>
                <w:sz w:val="22"/>
                <w:szCs w:val="22"/>
              </w:rPr>
            </w:pPr>
            <w:r w:rsidRPr="00934F86">
              <w:rPr>
                <w:rFonts w:ascii="Cambria" w:hAnsi="Cambria"/>
                <w:b/>
                <w:bCs/>
                <w:sz w:val="22"/>
                <w:szCs w:val="22"/>
              </w:rPr>
              <w:t>Content Emphasis</w:t>
            </w:r>
          </w:p>
        </w:tc>
      </w:tr>
      <w:tr w:rsidR="009A1325" w14:paraId="78227F9F" w14:textId="2AB73872" w:rsidTr="00162F69">
        <w:tc>
          <w:tcPr>
            <w:tcW w:w="8254" w:type="dxa"/>
          </w:tcPr>
          <w:p w14:paraId="385926A6" w14:textId="206E71D4" w:rsidR="009A1325" w:rsidRDefault="009A1325" w:rsidP="009A1325">
            <w:pPr>
              <w:spacing w:before="60" w:after="60"/>
              <w:rPr>
                <w:rFonts w:ascii="Cambria" w:hAnsi="Cambria"/>
                <w:sz w:val="22"/>
                <w:szCs w:val="22"/>
              </w:rPr>
            </w:pPr>
            <w:r>
              <w:rPr>
                <w:rFonts w:ascii="Cambria" w:hAnsi="Cambria"/>
                <w:sz w:val="22"/>
                <w:szCs w:val="22"/>
              </w:rPr>
              <w:t>A. Construct and compare linear and exponential models and solve problems</w:t>
            </w:r>
          </w:p>
        </w:tc>
        <w:tc>
          <w:tcPr>
            <w:tcW w:w="1260" w:type="dxa"/>
          </w:tcPr>
          <w:p w14:paraId="4F2C78C8" w14:textId="12CE8D5D" w:rsidR="009A1325" w:rsidRDefault="009A1325" w:rsidP="009A1325">
            <w:pPr>
              <w:spacing w:before="60" w:after="60"/>
              <w:rPr>
                <w:rFonts w:ascii="Cambria" w:hAnsi="Cambria"/>
                <w:sz w:val="22"/>
                <w:szCs w:val="22"/>
                <w:u w:val="single"/>
              </w:rPr>
            </w:pPr>
            <w:r>
              <w:rPr>
                <w:rFonts w:ascii="Cambria" w:hAnsi="Cambria"/>
                <w:sz w:val="22"/>
                <w:szCs w:val="22"/>
              </w:rPr>
              <w:t xml:space="preserve">1, </w:t>
            </w:r>
            <w:r w:rsidRPr="00F40177">
              <w:rPr>
                <w:rFonts w:ascii="Cambria" w:hAnsi="Cambria"/>
                <w:sz w:val="22"/>
                <w:szCs w:val="22"/>
              </w:rPr>
              <w:t>2</w:t>
            </w:r>
            <w:r>
              <w:rPr>
                <w:rFonts w:ascii="Cambria" w:hAnsi="Cambria"/>
                <w:sz w:val="22"/>
                <w:szCs w:val="22"/>
              </w:rPr>
              <w:t>*</w:t>
            </w:r>
            <w:r w:rsidRPr="00FC7C34">
              <w:rPr>
                <w:rFonts w:ascii="Cambria" w:hAnsi="Cambria"/>
                <w:sz w:val="22"/>
                <w:szCs w:val="22"/>
              </w:rPr>
              <w:t xml:space="preserve">, </w:t>
            </w:r>
            <w:r>
              <w:rPr>
                <w:rFonts w:ascii="Cambria" w:hAnsi="Cambria"/>
                <w:sz w:val="22"/>
                <w:szCs w:val="22"/>
              </w:rPr>
              <w:t>3</w:t>
            </w:r>
          </w:p>
        </w:tc>
        <w:tc>
          <w:tcPr>
            <w:tcW w:w="1260" w:type="dxa"/>
          </w:tcPr>
          <w:p w14:paraId="51FD3A84" w14:textId="71C21593" w:rsidR="009A1325" w:rsidRDefault="009A1325" w:rsidP="009A1325">
            <w:pPr>
              <w:spacing w:before="60" w:after="60"/>
              <w:jc w:val="center"/>
              <w:rPr>
                <w:rFonts w:ascii="Cambria" w:hAnsi="Cambria"/>
                <w:sz w:val="22"/>
                <w:szCs w:val="22"/>
                <w:u w:val="single"/>
              </w:rPr>
            </w:pPr>
            <w:r w:rsidRPr="00FC7C34">
              <w:rPr>
                <w:rFonts w:ascii="Cambria" w:hAnsi="Cambria"/>
                <w:color w:val="000099"/>
                <w:sz w:val="22"/>
                <w:szCs w:val="22"/>
              </w:rPr>
              <w:t>S</w:t>
            </w:r>
          </w:p>
        </w:tc>
      </w:tr>
      <w:tr w:rsidR="009A1325" w14:paraId="51D39796" w14:textId="7ABAB044" w:rsidTr="00162F69">
        <w:tc>
          <w:tcPr>
            <w:tcW w:w="8254" w:type="dxa"/>
          </w:tcPr>
          <w:p w14:paraId="7ACB92C1" w14:textId="017AC8CE" w:rsidR="009A1325" w:rsidRDefault="009A1325" w:rsidP="009A1325">
            <w:pPr>
              <w:spacing w:before="60" w:after="60"/>
              <w:rPr>
                <w:rFonts w:ascii="Cambria" w:hAnsi="Cambria"/>
                <w:sz w:val="22"/>
                <w:szCs w:val="22"/>
              </w:rPr>
            </w:pPr>
            <w:r>
              <w:rPr>
                <w:rFonts w:ascii="Cambria" w:hAnsi="Cambria"/>
                <w:sz w:val="22"/>
                <w:szCs w:val="22"/>
              </w:rPr>
              <w:t xml:space="preserve">B. Interpret expressions for functions in terms of the situation they model </w:t>
            </w:r>
          </w:p>
        </w:tc>
        <w:tc>
          <w:tcPr>
            <w:tcW w:w="1260" w:type="dxa"/>
          </w:tcPr>
          <w:p w14:paraId="6EC9E142" w14:textId="5E5E1AF3" w:rsidR="009A1325" w:rsidRDefault="009A1325" w:rsidP="009A1325">
            <w:pPr>
              <w:spacing w:before="60" w:after="60"/>
              <w:rPr>
                <w:rFonts w:ascii="Cambria" w:hAnsi="Cambria"/>
                <w:sz w:val="22"/>
                <w:szCs w:val="22"/>
              </w:rPr>
            </w:pPr>
            <w:r w:rsidRPr="00F40177">
              <w:rPr>
                <w:rFonts w:ascii="Cambria" w:hAnsi="Cambria"/>
                <w:sz w:val="22"/>
                <w:szCs w:val="22"/>
              </w:rPr>
              <w:t>5</w:t>
            </w:r>
            <w:r>
              <w:rPr>
                <w:rFonts w:ascii="Cambria" w:hAnsi="Cambria"/>
                <w:sz w:val="22"/>
                <w:szCs w:val="22"/>
              </w:rPr>
              <w:t>*</w:t>
            </w:r>
          </w:p>
        </w:tc>
        <w:tc>
          <w:tcPr>
            <w:tcW w:w="1260" w:type="dxa"/>
          </w:tcPr>
          <w:p w14:paraId="67092A7F" w14:textId="6ED8DA21" w:rsidR="009A1325" w:rsidRDefault="009A1325" w:rsidP="009A1325">
            <w:pPr>
              <w:spacing w:before="60" w:after="60"/>
              <w:jc w:val="center"/>
              <w:rPr>
                <w:rFonts w:ascii="Cambria" w:hAnsi="Cambria"/>
                <w:sz w:val="22"/>
                <w:szCs w:val="22"/>
                <w:u w:val="single"/>
              </w:rPr>
            </w:pPr>
            <w:r w:rsidRPr="00FC7C34">
              <w:rPr>
                <w:rFonts w:ascii="Cambria" w:hAnsi="Cambria"/>
                <w:color w:val="000099"/>
                <w:sz w:val="22"/>
                <w:szCs w:val="22"/>
              </w:rPr>
              <w:t>S</w:t>
            </w:r>
          </w:p>
        </w:tc>
      </w:tr>
    </w:tbl>
    <w:p w14:paraId="4E144E6E" w14:textId="7019F50D" w:rsidR="00FC7C34" w:rsidRPr="00FC7C34" w:rsidRDefault="00FC7C34" w:rsidP="00FC7C34">
      <w:pPr>
        <w:pStyle w:val="Heading2"/>
      </w:pPr>
      <w:r w:rsidRPr="00FC7C34">
        <w:t>Statistics and Probability Conceptual Category</w:t>
      </w:r>
    </w:p>
    <w:p w14:paraId="7C119DDC" w14:textId="77777777" w:rsidR="00FC7C34" w:rsidRPr="00FC7C34" w:rsidRDefault="00FC7C34" w:rsidP="00FC7C34">
      <w:pPr>
        <w:pStyle w:val="Heading3"/>
        <w:rPr>
          <w:sz w:val="22"/>
          <w:szCs w:val="22"/>
        </w:rPr>
      </w:pPr>
      <w:r>
        <w:t>Interpreting categorical and quantitative data</w:t>
      </w:r>
      <w:r w:rsidRPr="00FC7C34">
        <w:t xml:space="preserve"> (</w:t>
      </w:r>
      <w:r>
        <w:t>S.ID</w:t>
      </w:r>
      <w:r w:rsidRPr="00FC7C34">
        <w:t>)</w:t>
      </w:r>
    </w:p>
    <w:tbl>
      <w:tblPr>
        <w:tblStyle w:val="TableGrid"/>
        <w:tblW w:w="10774" w:type="dxa"/>
        <w:tblLook w:val="0420" w:firstRow="1" w:lastRow="0" w:firstColumn="0" w:lastColumn="0" w:noHBand="0" w:noVBand="1"/>
      </w:tblPr>
      <w:tblGrid>
        <w:gridCol w:w="8254"/>
        <w:gridCol w:w="1260"/>
        <w:gridCol w:w="1260"/>
      </w:tblGrid>
      <w:tr w:rsidR="00FC7C34" w:rsidRPr="00FC7C34" w14:paraId="4E24916D" w14:textId="4CBCB59D" w:rsidTr="00162F69">
        <w:tc>
          <w:tcPr>
            <w:tcW w:w="8254" w:type="dxa"/>
            <w:shd w:val="clear" w:color="auto" w:fill="B1C8F3"/>
          </w:tcPr>
          <w:p w14:paraId="5B54DA2B" w14:textId="77777777" w:rsidR="00FC7C34" w:rsidRPr="00934F86" w:rsidRDefault="00FC7C34" w:rsidP="00FC7C34">
            <w:pPr>
              <w:rPr>
                <w:rFonts w:ascii="Cambria" w:hAnsi="Cambria"/>
                <w:b/>
                <w:bCs/>
                <w:sz w:val="22"/>
                <w:szCs w:val="22"/>
              </w:rPr>
            </w:pPr>
            <w:r w:rsidRPr="00934F86">
              <w:rPr>
                <w:rFonts w:ascii="Cambria" w:hAnsi="Cambria"/>
                <w:b/>
                <w:bCs/>
                <w:sz w:val="22"/>
                <w:szCs w:val="22"/>
              </w:rPr>
              <w:t>Cluster Letter and Heading</w:t>
            </w:r>
          </w:p>
        </w:tc>
        <w:tc>
          <w:tcPr>
            <w:tcW w:w="1260" w:type="dxa"/>
            <w:shd w:val="clear" w:color="auto" w:fill="B1C8F3"/>
          </w:tcPr>
          <w:p w14:paraId="614278E3" w14:textId="77777777" w:rsidR="00FC7C34" w:rsidRPr="00934F86" w:rsidRDefault="00FC7C34" w:rsidP="00FC7C34">
            <w:pPr>
              <w:jc w:val="center"/>
              <w:rPr>
                <w:rFonts w:ascii="Cambria" w:hAnsi="Cambria"/>
                <w:b/>
                <w:bCs/>
                <w:sz w:val="22"/>
                <w:szCs w:val="22"/>
              </w:rPr>
            </w:pPr>
            <w:r w:rsidRPr="00934F86">
              <w:rPr>
                <w:rFonts w:ascii="Cambria" w:hAnsi="Cambria"/>
                <w:b/>
                <w:bCs/>
                <w:sz w:val="22"/>
                <w:szCs w:val="22"/>
              </w:rPr>
              <w:t>Standard Number</w:t>
            </w:r>
          </w:p>
        </w:tc>
        <w:tc>
          <w:tcPr>
            <w:tcW w:w="1260" w:type="dxa"/>
            <w:shd w:val="clear" w:color="auto" w:fill="B1C8F3"/>
          </w:tcPr>
          <w:p w14:paraId="7E902BE9" w14:textId="53C3E9D1" w:rsidR="00FC7C34" w:rsidRPr="00934F86" w:rsidRDefault="00FC7C34" w:rsidP="00FC7C34">
            <w:pPr>
              <w:jc w:val="center"/>
              <w:rPr>
                <w:rFonts w:ascii="Cambria" w:hAnsi="Cambria"/>
                <w:b/>
                <w:bCs/>
                <w:sz w:val="22"/>
                <w:szCs w:val="22"/>
              </w:rPr>
            </w:pPr>
            <w:r w:rsidRPr="00934F86">
              <w:rPr>
                <w:rFonts w:ascii="Cambria" w:hAnsi="Cambria"/>
                <w:b/>
                <w:bCs/>
                <w:sz w:val="22"/>
                <w:szCs w:val="22"/>
              </w:rPr>
              <w:t>Content Emphasis</w:t>
            </w:r>
          </w:p>
        </w:tc>
      </w:tr>
      <w:tr w:rsidR="009A1325" w14:paraId="37E5B1D3" w14:textId="7BF18EB7" w:rsidTr="00162F69">
        <w:tc>
          <w:tcPr>
            <w:tcW w:w="8254" w:type="dxa"/>
            <w:vAlign w:val="center"/>
          </w:tcPr>
          <w:p w14:paraId="5590C289" w14:textId="77777777" w:rsidR="009A1325" w:rsidRDefault="009A1325" w:rsidP="009A1325">
            <w:pPr>
              <w:spacing w:before="60" w:after="60"/>
              <w:rPr>
                <w:rFonts w:ascii="Cambria" w:hAnsi="Cambria"/>
                <w:sz w:val="22"/>
                <w:szCs w:val="22"/>
              </w:rPr>
            </w:pPr>
            <w:r>
              <w:rPr>
                <w:rFonts w:ascii="Cambria" w:hAnsi="Cambria"/>
                <w:sz w:val="22"/>
                <w:szCs w:val="22"/>
              </w:rPr>
              <w:t>A. Summarize, represent, and interpret data on a single count or measurement variable</w:t>
            </w:r>
          </w:p>
        </w:tc>
        <w:tc>
          <w:tcPr>
            <w:tcW w:w="1260" w:type="dxa"/>
            <w:vAlign w:val="center"/>
          </w:tcPr>
          <w:p w14:paraId="2D83E49A" w14:textId="457AD821" w:rsidR="009A1325" w:rsidRDefault="009A1325" w:rsidP="009A1325">
            <w:pPr>
              <w:spacing w:before="60" w:after="60"/>
              <w:rPr>
                <w:rFonts w:ascii="Cambria" w:hAnsi="Cambria"/>
                <w:sz w:val="22"/>
                <w:szCs w:val="22"/>
                <w:u w:val="single"/>
              </w:rPr>
            </w:pPr>
            <w:r w:rsidRPr="00F40177">
              <w:rPr>
                <w:rFonts w:ascii="Cambria" w:hAnsi="Cambria"/>
                <w:sz w:val="22"/>
                <w:szCs w:val="22"/>
              </w:rPr>
              <w:t>1</w:t>
            </w:r>
            <w:r>
              <w:rPr>
                <w:rFonts w:ascii="Cambria" w:hAnsi="Cambria"/>
                <w:sz w:val="22"/>
                <w:szCs w:val="22"/>
              </w:rPr>
              <w:t>*</w:t>
            </w:r>
            <w:r w:rsidRPr="00F40177">
              <w:rPr>
                <w:rFonts w:ascii="Cambria" w:hAnsi="Cambria"/>
                <w:sz w:val="22"/>
                <w:szCs w:val="22"/>
              </w:rPr>
              <w:t>, 2</w:t>
            </w:r>
            <w:r>
              <w:rPr>
                <w:rFonts w:ascii="Cambria" w:hAnsi="Cambria"/>
                <w:sz w:val="22"/>
                <w:szCs w:val="22"/>
              </w:rPr>
              <w:t>*</w:t>
            </w:r>
            <w:r w:rsidRPr="00F40177">
              <w:rPr>
                <w:rFonts w:ascii="Cambria" w:hAnsi="Cambria"/>
                <w:sz w:val="22"/>
                <w:szCs w:val="22"/>
              </w:rPr>
              <w:t>, 3</w:t>
            </w:r>
            <w:r>
              <w:rPr>
                <w:rFonts w:ascii="Cambria" w:hAnsi="Cambria"/>
                <w:sz w:val="22"/>
                <w:szCs w:val="22"/>
              </w:rPr>
              <w:t>*</w:t>
            </w:r>
          </w:p>
        </w:tc>
        <w:tc>
          <w:tcPr>
            <w:tcW w:w="1260" w:type="dxa"/>
            <w:vAlign w:val="center"/>
          </w:tcPr>
          <w:p w14:paraId="7CFCF318" w14:textId="1DEDD39D" w:rsidR="009A1325" w:rsidRPr="00FC7C34" w:rsidRDefault="009A1325" w:rsidP="009A1325">
            <w:pPr>
              <w:spacing w:before="60" w:after="60"/>
              <w:jc w:val="center"/>
              <w:rPr>
                <w:rFonts w:ascii="Cambria" w:hAnsi="Cambria"/>
                <w:sz w:val="22"/>
                <w:szCs w:val="22"/>
                <w:u w:val="single"/>
              </w:rPr>
            </w:pPr>
            <w:r w:rsidRPr="00FC7C34">
              <w:rPr>
                <w:rFonts w:ascii="Cambria" w:hAnsi="Cambria"/>
                <w:color w:val="C14A08"/>
                <w:sz w:val="22"/>
                <w:szCs w:val="22"/>
              </w:rPr>
              <w:t>A</w:t>
            </w:r>
          </w:p>
        </w:tc>
      </w:tr>
      <w:tr w:rsidR="009A1325" w14:paraId="25AC4834" w14:textId="0F06E039" w:rsidTr="00162F69">
        <w:tc>
          <w:tcPr>
            <w:tcW w:w="8254" w:type="dxa"/>
            <w:vAlign w:val="center"/>
          </w:tcPr>
          <w:p w14:paraId="1AABFDFB" w14:textId="55DDB355" w:rsidR="009A1325" w:rsidRDefault="009A1325" w:rsidP="009A1325">
            <w:pPr>
              <w:spacing w:before="60" w:after="60"/>
              <w:rPr>
                <w:rFonts w:ascii="Cambria" w:hAnsi="Cambria"/>
                <w:sz w:val="22"/>
                <w:szCs w:val="22"/>
              </w:rPr>
            </w:pPr>
            <w:r>
              <w:rPr>
                <w:rFonts w:ascii="Cambria" w:hAnsi="Cambria"/>
                <w:sz w:val="22"/>
                <w:szCs w:val="22"/>
              </w:rPr>
              <w:t>B. Summarize, represent, and interpret data on two categorical and quantitative variables</w:t>
            </w:r>
          </w:p>
        </w:tc>
        <w:tc>
          <w:tcPr>
            <w:tcW w:w="1260" w:type="dxa"/>
            <w:vAlign w:val="center"/>
          </w:tcPr>
          <w:p w14:paraId="533B5157" w14:textId="7AD0B7C6" w:rsidR="009A1325" w:rsidRDefault="009A1325" w:rsidP="009A1325">
            <w:pPr>
              <w:spacing w:before="60" w:after="60"/>
              <w:rPr>
                <w:rFonts w:ascii="Cambria" w:hAnsi="Cambria"/>
                <w:sz w:val="22"/>
                <w:szCs w:val="22"/>
              </w:rPr>
            </w:pPr>
            <w:r w:rsidRPr="00F40177">
              <w:rPr>
                <w:rFonts w:ascii="Cambria" w:hAnsi="Cambria"/>
                <w:sz w:val="22"/>
                <w:szCs w:val="22"/>
              </w:rPr>
              <w:t>6a</w:t>
            </w:r>
            <w:r>
              <w:rPr>
                <w:rFonts w:ascii="Cambria" w:hAnsi="Cambria"/>
                <w:sz w:val="22"/>
                <w:szCs w:val="22"/>
              </w:rPr>
              <w:t>–</w:t>
            </w:r>
            <w:r w:rsidRPr="00F40177">
              <w:rPr>
                <w:rFonts w:ascii="Cambria" w:hAnsi="Cambria"/>
                <w:sz w:val="22"/>
                <w:szCs w:val="22"/>
              </w:rPr>
              <w:t>b*</w:t>
            </w:r>
            <w:r>
              <w:rPr>
                <w:rFonts w:ascii="Cambria" w:hAnsi="Cambria"/>
                <w:sz w:val="22"/>
                <w:szCs w:val="22"/>
                <w:u w:val="single"/>
              </w:rPr>
              <w:t>,</w:t>
            </w:r>
            <w:r w:rsidRPr="00166344">
              <w:rPr>
                <w:rFonts w:ascii="Cambria" w:hAnsi="Cambria"/>
                <w:sz w:val="22"/>
                <w:szCs w:val="22"/>
              </w:rPr>
              <w:t xml:space="preserve"> 6c</w:t>
            </w:r>
          </w:p>
        </w:tc>
        <w:tc>
          <w:tcPr>
            <w:tcW w:w="1260" w:type="dxa"/>
            <w:vAlign w:val="center"/>
          </w:tcPr>
          <w:p w14:paraId="15D4B1F7" w14:textId="47DBFBF6" w:rsidR="009A1325" w:rsidRDefault="009A1325" w:rsidP="009A1325">
            <w:pPr>
              <w:spacing w:before="60" w:after="60"/>
              <w:jc w:val="center"/>
              <w:rPr>
                <w:rFonts w:ascii="Cambria" w:hAnsi="Cambria"/>
                <w:sz w:val="22"/>
                <w:szCs w:val="22"/>
              </w:rPr>
            </w:pPr>
            <w:r w:rsidRPr="00FC7C34">
              <w:rPr>
                <w:rFonts w:ascii="Cambria" w:hAnsi="Cambria"/>
                <w:color w:val="000099"/>
                <w:sz w:val="22"/>
                <w:szCs w:val="22"/>
              </w:rPr>
              <w:t>S</w:t>
            </w:r>
          </w:p>
        </w:tc>
      </w:tr>
      <w:tr w:rsidR="009A1325" w14:paraId="7F3850FF" w14:textId="77777777" w:rsidTr="00162F69">
        <w:tc>
          <w:tcPr>
            <w:tcW w:w="8254" w:type="dxa"/>
            <w:vAlign w:val="center"/>
          </w:tcPr>
          <w:p w14:paraId="45B0ED40" w14:textId="71052BD2" w:rsidR="009A1325" w:rsidRDefault="009A1325" w:rsidP="009A1325">
            <w:pPr>
              <w:spacing w:before="60" w:after="60"/>
              <w:rPr>
                <w:rFonts w:ascii="Cambria" w:hAnsi="Cambria"/>
                <w:sz w:val="22"/>
                <w:szCs w:val="22"/>
              </w:rPr>
            </w:pPr>
            <w:r>
              <w:rPr>
                <w:rFonts w:ascii="Cambria" w:hAnsi="Cambria"/>
                <w:sz w:val="22"/>
                <w:szCs w:val="22"/>
              </w:rPr>
              <w:t>C. Interpret linear models</w:t>
            </w:r>
          </w:p>
        </w:tc>
        <w:tc>
          <w:tcPr>
            <w:tcW w:w="1260" w:type="dxa"/>
            <w:vAlign w:val="center"/>
          </w:tcPr>
          <w:p w14:paraId="2F8A9195" w14:textId="5971BF00" w:rsidR="009A1325" w:rsidRPr="00166344" w:rsidRDefault="009A1325" w:rsidP="009A1325">
            <w:pPr>
              <w:spacing w:before="60" w:after="60"/>
              <w:rPr>
                <w:rFonts w:ascii="Cambria" w:hAnsi="Cambria"/>
                <w:sz w:val="22"/>
                <w:szCs w:val="22"/>
              </w:rPr>
            </w:pPr>
            <w:r w:rsidRPr="00166344">
              <w:rPr>
                <w:rFonts w:ascii="Cambria" w:hAnsi="Cambria"/>
                <w:sz w:val="22"/>
                <w:szCs w:val="22"/>
              </w:rPr>
              <w:t>7, 8, 9</w:t>
            </w:r>
          </w:p>
        </w:tc>
        <w:tc>
          <w:tcPr>
            <w:tcW w:w="1260" w:type="dxa"/>
            <w:vAlign w:val="center"/>
          </w:tcPr>
          <w:p w14:paraId="71FFD918" w14:textId="08E9D5F5" w:rsidR="009A1325" w:rsidRPr="00FC7C34" w:rsidRDefault="009A1325" w:rsidP="009A1325">
            <w:pPr>
              <w:spacing w:before="60" w:after="60"/>
              <w:jc w:val="center"/>
              <w:rPr>
                <w:rFonts w:ascii="Cambria" w:hAnsi="Cambria"/>
                <w:color w:val="000099"/>
                <w:sz w:val="22"/>
                <w:szCs w:val="22"/>
              </w:rPr>
            </w:pPr>
            <w:r w:rsidRPr="00FC7C34">
              <w:rPr>
                <w:rFonts w:ascii="Cambria" w:hAnsi="Cambria"/>
                <w:color w:val="1E781E"/>
                <w:sz w:val="22"/>
                <w:szCs w:val="22"/>
              </w:rPr>
              <w:t>M</w:t>
            </w:r>
          </w:p>
        </w:tc>
      </w:tr>
    </w:tbl>
    <w:p w14:paraId="416881BC" w14:textId="77777777" w:rsidR="00FC7C34" w:rsidRPr="00FC7C34" w:rsidRDefault="00FC7C34">
      <w:pPr>
        <w:rPr>
          <w:rFonts w:ascii="Cambria" w:hAnsi="Cambria"/>
          <w:sz w:val="20"/>
          <w:szCs w:val="20"/>
        </w:rPr>
      </w:pPr>
    </w:p>
    <w:sectPr w:rsidR="00FC7C34" w:rsidRPr="00FC7C34" w:rsidSect="008A154E">
      <w:footerReference w:type="even" r:id="rId9"/>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25B2" w14:textId="77777777" w:rsidR="008A154E" w:rsidRDefault="008A154E" w:rsidP="00B76E4D">
      <w:r>
        <w:separator/>
      </w:r>
    </w:p>
  </w:endnote>
  <w:endnote w:type="continuationSeparator" w:id="0">
    <w:p w14:paraId="1A8779CB" w14:textId="77777777" w:rsidR="008A154E" w:rsidRDefault="008A154E" w:rsidP="00B7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718057"/>
      <w:docPartObj>
        <w:docPartGallery w:val="Page Numbers (Bottom of Page)"/>
        <w:docPartUnique/>
      </w:docPartObj>
    </w:sdtPr>
    <w:sdtContent>
      <w:p w14:paraId="3AD39E9D" w14:textId="63B978B4" w:rsidR="00B76E4D" w:rsidRDefault="00B76E4D" w:rsidP="001F7F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C89A48" w14:textId="77777777" w:rsidR="00B76E4D" w:rsidRDefault="00B76E4D" w:rsidP="00B76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372139"/>
      <w:docPartObj>
        <w:docPartGallery w:val="Page Numbers (Bottom of Page)"/>
        <w:docPartUnique/>
      </w:docPartObj>
    </w:sdtPr>
    <w:sdtEndPr>
      <w:rPr>
        <w:rStyle w:val="PageNumber"/>
        <w:rFonts w:ascii="Cambria" w:hAnsi="Cambria"/>
        <w:sz w:val="22"/>
        <w:szCs w:val="22"/>
      </w:rPr>
    </w:sdtEndPr>
    <w:sdtContent>
      <w:p w14:paraId="071FDA7C" w14:textId="3EFA29BD" w:rsidR="00B76E4D" w:rsidRPr="00B76E4D" w:rsidRDefault="00B76E4D" w:rsidP="001F7F3D">
        <w:pPr>
          <w:pStyle w:val="Footer"/>
          <w:framePr w:wrap="none" w:vAnchor="text" w:hAnchor="margin" w:xAlign="right" w:y="1"/>
          <w:rPr>
            <w:rStyle w:val="PageNumber"/>
            <w:rFonts w:ascii="Cambria" w:hAnsi="Cambria"/>
            <w:sz w:val="22"/>
            <w:szCs w:val="22"/>
          </w:rPr>
        </w:pPr>
        <w:r w:rsidRPr="00B76E4D">
          <w:rPr>
            <w:rStyle w:val="PageNumber"/>
            <w:rFonts w:ascii="Cambria" w:hAnsi="Cambria"/>
            <w:sz w:val="22"/>
            <w:szCs w:val="22"/>
          </w:rPr>
          <w:fldChar w:fldCharType="begin"/>
        </w:r>
        <w:r w:rsidRPr="00B76E4D">
          <w:rPr>
            <w:rStyle w:val="PageNumber"/>
            <w:rFonts w:ascii="Cambria" w:hAnsi="Cambria"/>
            <w:sz w:val="22"/>
            <w:szCs w:val="22"/>
          </w:rPr>
          <w:instrText xml:space="preserve"> PAGE </w:instrText>
        </w:r>
        <w:r w:rsidRPr="00B76E4D">
          <w:rPr>
            <w:rStyle w:val="PageNumber"/>
            <w:rFonts w:ascii="Cambria" w:hAnsi="Cambria"/>
            <w:sz w:val="22"/>
            <w:szCs w:val="22"/>
          </w:rPr>
          <w:fldChar w:fldCharType="separate"/>
        </w:r>
        <w:r w:rsidRPr="00B76E4D">
          <w:rPr>
            <w:rStyle w:val="PageNumber"/>
            <w:rFonts w:ascii="Cambria" w:hAnsi="Cambria"/>
            <w:noProof/>
            <w:sz w:val="22"/>
            <w:szCs w:val="22"/>
          </w:rPr>
          <w:t>1</w:t>
        </w:r>
        <w:r w:rsidRPr="00B76E4D">
          <w:rPr>
            <w:rStyle w:val="PageNumber"/>
            <w:rFonts w:ascii="Cambria" w:hAnsi="Cambria"/>
            <w:sz w:val="22"/>
            <w:szCs w:val="22"/>
          </w:rPr>
          <w:fldChar w:fldCharType="end"/>
        </w:r>
      </w:p>
    </w:sdtContent>
  </w:sdt>
  <w:p w14:paraId="40292FE9" w14:textId="77777777" w:rsidR="00B76E4D" w:rsidRDefault="00B76E4D" w:rsidP="00B76E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372B" w14:textId="77777777" w:rsidR="008A154E" w:rsidRDefault="008A154E" w:rsidP="00B76E4D">
      <w:r>
        <w:separator/>
      </w:r>
    </w:p>
  </w:footnote>
  <w:footnote w:type="continuationSeparator" w:id="0">
    <w:p w14:paraId="21CA19F0" w14:textId="77777777" w:rsidR="008A154E" w:rsidRDefault="008A154E" w:rsidP="00B7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C34"/>
    <w:rsid w:val="00080692"/>
    <w:rsid w:val="000E515A"/>
    <w:rsid w:val="001445E2"/>
    <w:rsid w:val="00162F69"/>
    <w:rsid w:val="00166344"/>
    <w:rsid w:val="00192249"/>
    <w:rsid w:val="002B7F68"/>
    <w:rsid w:val="0038719A"/>
    <w:rsid w:val="00431ACB"/>
    <w:rsid w:val="004A0F19"/>
    <w:rsid w:val="004A3484"/>
    <w:rsid w:val="00512975"/>
    <w:rsid w:val="00516DB8"/>
    <w:rsid w:val="00571B05"/>
    <w:rsid w:val="0057715C"/>
    <w:rsid w:val="00625B8F"/>
    <w:rsid w:val="00657CC9"/>
    <w:rsid w:val="006B1FE2"/>
    <w:rsid w:val="006C790B"/>
    <w:rsid w:val="006E5759"/>
    <w:rsid w:val="00705DCC"/>
    <w:rsid w:val="008972EB"/>
    <w:rsid w:val="008A154E"/>
    <w:rsid w:val="008A4184"/>
    <w:rsid w:val="00934F86"/>
    <w:rsid w:val="009468B2"/>
    <w:rsid w:val="009A1325"/>
    <w:rsid w:val="00A053DA"/>
    <w:rsid w:val="00A45D33"/>
    <w:rsid w:val="00B76E4D"/>
    <w:rsid w:val="00BF4C4B"/>
    <w:rsid w:val="00CB20B7"/>
    <w:rsid w:val="00CF462B"/>
    <w:rsid w:val="00D547E5"/>
    <w:rsid w:val="00D859DF"/>
    <w:rsid w:val="00EC4A7E"/>
    <w:rsid w:val="00F637EC"/>
    <w:rsid w:val="00FC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12BD"/>
  <w15:chartTrackingRefBased/>
  <w15:docId w15:val="{486C3C78-B0F7-3C44-AFC2-B93CB016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C34"/>
    <w:pPr>
      <w:jc w:val="center"/>
      <w:outlineLvl w:val="0"/>
    </w:pPr>
    <w:rPr>
      <w:rFonts w:ascii="Cambria" w:hAnsi="Cambria"/>
      <w:sz w:val="28"/>
      <w:szCs w:val="28"/>
    </w:rPr>
  </w:style>
  <w:style w:type="paragraph" w:styleId="Heading2">
    <w:name w:val="heading 2"/>
    <w:basedOn w:val="Normal"/>
    <w:next w:val="Normal"/>
    <w:link w:val="Heading2Char"/>
    <w:uiPriority w:val="9"/>
    <w:unhideWhenUsed/>
    <w:qFormat/>
    <w:rsid w:val="00FC7C34"/>
    <w:pPr>
      <w:spacing w:before="480"/>
      <w:outlineLvl w:val="1"/>
    </w:pPr>
    <w:rPr>
      <w:rFonts w:ascii="Cambria" w:hAnsi="Cambria"/>
      <w:b/>
      <w:bCs/>
      <w:color w:val="000099"/>
    </w:rPr>
  </w:style>
  <w:style w:type="paragraph" w:styleId="Heading3">
    <w:name w:val="heading 3"/>
    <w:basedOn w:val="Normal"/>
    <w:next w:val="Normal"/>
    <w:link w:val="Heading3Char"/>
    <w:uiPriority w:val="9"/>
    <w:unhideWhenUsed/>
    <w:qFormat/>
    <w:rsid w:val="00FC7C34"/>
    <w:pPr>
      <w:spacing w:before="240" w:after="120"/>
      <w:jc w:val="center"/>
      <w:outlineLvl w:val="2"/>
    </w:pPr>
    <w:rPr>
      <w:rFonts w:ascii="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C34"/>
    <w:pPr>
      <w:ind w:left="720"/>
      <w:contextualSpacing/>
    </w:pPr>
  </w:style>
  <w:style w:type="character" w:customStyle="1" w:styleId="Heading1Char">
    <w:name w:val="Heading 1 Char"/>
    <w:basedOn w:val="DefaultParagraphFont"/>
    <w:link w:val="Heading1"/>
    <w:uiPriority w:val="9"/>
    <w:rsid w:val="00FC7C34"/>
    <w:rPr>
      <w:rFonts w:ascii="Cambria" w:hAnsi="Cambria"/>
      <w:sz w:val="28"/>
      <w:szCs w:val="28"/>
    </w:rPr>
  </w:style>
  <w:style w:type="character" w:customStyle="1" w:styleId="Heading2Char">
    <w:name w:val="Heading 2 Char"/>
    <w:basedOn w:val="DefaultParagraphFont"/>
    <w:link w:val="Heading2"/>
    <w:uiPriority w:val="9"/>
    <w:rsid w:val="00FC7C34"/>
    <w:rPr>
      <w:rFonts w:ascii="Cambria" w:hAnsi="Cambria"/>
      <w:b/>
      <w:bCs/>
      <w:color w:val="000099"/>
    </w:rPr>
  </w:style>
  <w:style w:type="character" w:customStyle="1" w:styleId="Heading3Char">
    <w:name w:val="Heading 3 Char"/>
    <w:basedOn w:val="DefaultParagraphFont"/>
    <w:link w:val="Heading3"/>
    <w:uiPriority w:val="9"/>
    <w:rsid w:val="00FC7C34"/>
    <w:rPr>
      <w:rFonts w:ascii="Cambria" w:hAnsi="Cambria"/>
      <w:b/>
      <w:bCs/>
    </w:rPr>
  </w:style>
  <w:style w:type="paragraph" w:styleId="NormalWeb">
    <w:name w:val="Normal (Web)"/>
    <w:basedOn w:val="Normal"/>
    <w:uiPriority w:val="99"/>
    <w:semiHidden/>
    <w:unhideWhenUsed/>
    <w:rsid w:val="00FC7C34"/>
    <w:pPr>
      <w:spacing w:before="100" w:beforeAutospacing="1" w:after="100" w:afterAutospacing="1"/>
    </w:pPr>
    <w:rPr>
      <w:rFonts w:ascii="Times New Roman" w:eastAsia="Times New Roman" w:hAnsi="Times New Roman" w:cs="Times New Roman"/>
    </w:rPr>
  </w:style>
  <w:style w:type="character" w:customStyle="1" w:styleId="major">
    <w:name w:val="major"/>
    <w:basedOn w:val="DefaultParagraphFont"/>
    <w:rsid w:val="00FC7C34"/>
  </w:style>
  <w:style w:type="character" w:customStyle="1" w:styleId="supp">
    <w:name w:val="supp"/>
    <w:basedOn w:val="DefaultParagraphFont"/>
    <w:rsid w:val="00FC7C34"/>
  </w:style>
  <w:style w:type="character" w:customStyle="1" w:styleId="add">
    <w:name w:val="add"/>
    <w:basedOn w:val="DefaultParagraphFont"/>
    <w:rsid w:val="00FC7C34"/>
  </w:style>
  <w:style w:type="character" w:styleId="CommentReference">
    <w:name w:val="annotation reference"/>
    <w:basedOn w:val="DefaultParagraphFont"/>
    <w:uiPriority w:val="99"/>
    <w:semiHidden/>
    <w:unhideWhenUsed/>
    <w:rsid w:val="00B76E4D"/>
    <w:rPr>
      <w:sz w:val="16"/>
      <w:szCs w:val="16"/>
    </w:rPr>
  </w:style>
  <w:style w:type="paragraph" w:styleId="CommentText">
    <w:name w:val="annotation text"/>
    <w:basedOn w:val="Normal"/>
    <w:link w:val="CommentTextChar"/>
    <w:uiPriority w:val="99"/>
    <w:unhideWhenUsed/>
    <w:rsid w:val="00B76E4D"/>
    <w:rPr>
      <w:sz w:val="20"/>
      <w:szCs w:val="20"/>
    </w:rPr>
  </w:style>
  <w:style w:type="character" w:customStyle="1" w:styleId="CommentTextChar">
    <w:name w:val="Comment Text Char"/>
    <w:basedOn w:val="DefaultParagraphFont"/>
    <w:link w:val="CommentText"/>
    <w:uiPriority w:val="99"/>
    <w:rsid w:val="00B76E4D"/>
    <w:rPr>
      <w:sz w:val="20"/>
      <w:szCs w:val="20"/>
    </w:rPr>
  </w:style>
  <w:style w:type="paragraph" w:styleId="CommentSubject">
    <w:name w:val="annotation subject"/>
    <w:basedOn w:val="CommentText"/>
    <w:next w:val="CommentText"/>
    <w:link w:val="CommentSubjectChar"/>
    <w:uiPriority w:val="99"/>
    <w:semiHidden/>
    <w:unhideWhenUsed/>
    <w:rsid w:val="00B76E4D"/>
    <w:rPr>
      <w:b/>
      <w:bCs/>
    </w:rPr>
  </w:style>
  <w:style w:type="character" w:customStyle="1" w:styleId="CommentSubjectChar">
    <w:name w:val="Comment Subject Char"/>
    <w:basedOn w:val="CommentTextChar"/>
    <w:link w:val="CommentSubject"/>
    <w:uiPriority w:val="99"/>
    <w:semiHidden/>
    <w:rsid w:val="00B76E4D"/>
    <w:rPr>
      <w:b/>
      <w:bCs/>
      <w:sz w:val="20"/>
      <w:szCs w:val="20"/>
    </w:rPr>
  </w:style>
  <w:style w:type="paragraph" w:styleId="Footer">
    <w:name w:val="footer"/>
    <w:basedOn w:val="Normal"/>
    <w:link w:val="FooterChar"/>
    <w:uiPriority w:val="99"/>
    <w:unhideWhenUsed/>
    <w:rsid w:val="00B76E4D"/>
    <w:pPr>
      <w:tabs>
        <w:tab w:val="center" w:pos="4680"/>
        <w:tab w:val="right" w:pos="9360"/>
      </w:tabs>
    </w:pPr>
  </w:style>
  <w:style w:type="character" w:customStyle="1" w:styleId="FooterChar">
    <w:name w:val="Footer Char"/>
    <w:basedOn w:val="DefaultParagraphFont"/>
    <w:link w:val="Footer"/>
    <w:uiPriority w:val="99"/>
    <w:rsid w:val="00B76E4D"/>
  </w:style>
  <w:style w:type="character" w:styleId="PageNumber">
    <w:name w:val="page number"/>
    <w:basedOn w:val="DefaultParagraphFont"/>
    <w:uiPriority w:val="99"/>
    <w:semiHidden/>
    <w:unhideWhenUsed/>
    <w:rsid w:val="00B76E4D"/>
  </w:style>
  <w:style w:type="paragraph" w:styleId="Header">
    <w:name w:val="header"/>
    <w:basedOn w:val="Normal"/>
    <w:link w:val="HeaderChar"/>
    <w:uiPriority w:val="99"/>
    <w:unhideWhenUsed/>
    <w:rsid w:val="00B76E4D"/>
    <w:pPr>
      <w:tabs>
        <w:tab w:val="center" w:pos="4680"/>
        <w:tab w:val="right" w:pos="9360"/>
      </w:tabs>
    </w:pPr>
  </w:style>
  <w:style w:type="character" w:customStyle="1" w:styleId="HeaderChar">
    <w:name w:val="Header Char"/>
    <w:basedOn w:val="DefaultParagraphFont"/>
    <w:link w:val="Header"/>
    <w:uiPriority w:val="99"/>
    <w:rsid w:val="00B76E4D"/>
  </w:style>
  <w:style w:type="character" w:styleId="Hyperlink">
    <w:name w:val="Hyperlink"/>
    <w:basedOn w:val="DefaultParagraphFont"/>
    <w:uiPriority w:val="99"/>
    <w:unhideWhenUsed/>
    <w:rsid w:val="0057715C"/>
    <w:rPr>
      <w:color w:val="0000FF"/>
      <w:u w:val="single"/>
    </w:rPr>
  </w:style>
  <w:style w:type="character" w:styleId="UnresolvedMention">
    <w:name w:val="Unresolved Mention"/>
    <w:basedOn w:val="DefaultParagraphFont"/>
    <w:uiPriority w:val="99"/>
    <w:semiHidden/>
    <w:unhideWhenUsed/>
    <w:rsid w:val="00577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gov/education/standards/math/hscontent.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2D93-5554-4840-994E-56C797C3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Algebra 1 Course Content Framework and Content Emphases</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1 Course Content Framework and Content Emphases</dc:title>
  <dc:subject/>
  <dc:creator>New Jersey Department of Education, Office of Standards</dc:creator>
  <cp:keywords/>
  <dc:description/>
  <cp:lastModifiedBy>Thomas, Elizabeth</cp:lastModifiedBy>
  <cp:revision>2</cp:revision>
  <cp:lastPrinted>2024-01-03T15:40:00Z</cp:lastPrinted>
  <dcterms:created xsi:type="dcterms:W3CDTF">2024-01-10T19:35:00Z</dcterms:created>
  <dcterms:modified xsi:type="dcterms:W3CDTF">2024-01-10T19:35:00Z</dcterms:modified>
</cp:coreProperties>
</file>