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846046" w14:textId="77777777" w:rsidR="00960A78" w:rsidRDefault="00960A78" w:rsidP="007F35D6">
      <w:pPr>
        <w:jc w:val="center"/>
      </w:pPr>
      <w:r w:rsidRPr="007F35D6">
        <w:rPr>
          <w:noProof/>
        </w:rPr>
        <w:drawing>
          <wp:inline distT="0" distB="0" distL="0" distR="0" wp14:anchorId="3230AEC3" wp14:editId="4415E698">
            <wp:extent cx="3502152" cy="1096160"/>
            <wp:effectExtent l="0" t="0" r="3175" b="0"/>
            <wp:docPr id="1" name="Picture 1" descr="Logo: NJ Department of Education STAMP, standards transparency and mastery platform.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: NJ Department of Education STAMP, standards transparency and mastery platform.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152" cy="1096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364FE17" w14:textId="15C7F64C" w:rsidR="00960A78" w:rsidRPr="00245881" w:rsidRDefault="00960A78" w:rsidP="00245881">
      <w:pPr>
        <w:pStyle w:val="Heading1"/>
      </w:pPr>
      <w:r w:rsidRPr="00245881">
        <w:t>Limits</w:t>
      </w:r>
      <w:r w:rsidR="003C5E5D">
        <w:t xml:space="preserve"> </w:t>
      </w:r>
      <w:r w:rsidRPr="00245881">
        <w:t>and</w:t>
      </w:r>
      <w:r w:rsidR="003C5E5D">
        <w:t xml:space="preserve"> </w:t>
      </w:r>
      <w:r w:rsidRPr="00245881">
        <w:t>Clarifications</w:t>
      </w:r>
      <w:r w:rsidR="003C5E5D">
        <w:t xml:space="preserve"> </w:t>
      </w:r>
      <w:r w:rsidRPr="00245881">
        <w:t>for</w:t>
      </w:r>
      <w:r w:rsidR="003C5E5D">
        <w:t xml:space="preserve"> </w:t>
      </w:r>
      <w:r w:rsidRPr="00245881">
        <w:t>Multi-Course</w:t>
      </w:r>
      <w:r w:rsidR="003C5E5D">
        <w:t xml:space="preserve"> </w:t>
      </w:r>
      <w:r w:rsidRPr="00245881">
        <w:t>Standards</w:t>
      </w:r>
    </w:p>
    <w:p w14:paraId="28818617" w14:textId="061C9626" w:rsidR="00960A78" w:rsidRDefault="00960A78" w:rsidP="00294C0C">
      <w:pPr>
        <w:spacing w:after="220"/>
        <w:rPr>
          <w:rFonts w:ascii="Cambria" w:hAnsi="Cambria"/>
          <w:sz w:val="22"/>
          <w:szCs w:val="22"/>
        </w:rPr>
      </w:pPr>
      <w:r w:rsidRPr="00960A78">
        <w:rPr>
          <w:rFonts w:ascii="Cambria" w:hAnsi="Cambria"/>
          <w:sz w:val="22"/>
          <w:szCs w:val="22"/>
        </w:rPr>
        <w:t>This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document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lists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the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2023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New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Jersey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Student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Learning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Standards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included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in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both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the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Algebra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1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and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Algebra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2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courses.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The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document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also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provides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the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limits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and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clarifications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for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each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of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these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standards.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The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standards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are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organized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by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conceptual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category,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domain,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and</w:t>
      </w:r>
      <w:r w:rsidR="003C5E5D">
        <w:rPr>
          <w:rFonts w:ascii="Cambria" w:hAnsi="Cambria"/>
          <w:sz w:val="22"/>
          <w:szCs w:val="22"/>
        </w:rPr>
        <w:t xml:space="preserve"> </w:t>
      </w:r>
      <w:r w:rsidRPr="00960A78">
        <w:rPr>
          <w:rFonts w:ascii="Cambria" w:hAnsi="Cambria"/>
          <w:sz w:val="22"/>
          <w:szCs w:val="22"/>
        </w:rPr>
        <w:t>cluster.</w:t>
      </w:r>
    </w:p>
    <w:p w14:paraId="26A0CC87" w14:textId="5ECF19A4" w:rsidR="00D00A4B" w:rsidRPr="00294C0C" w:rsidRDefault="00D00A4B" w:rsidP="00294C0C">
      <w:pPr>
        <w:spacing w:after="220"/>
        <w:rPr>
          <w:rFonts w:ascii="Cambria" w:hAnsi="Cambria"/>
          <w:sz w:val="22"/>
          <w:szCs w:val="22"/>
        </w:rPr>
      </w:pPr>
      <w:r w:rsidRPr="00D00A4B">
        <w:rPr>
          <w:rStyle w:val="Strong"/>
          <w:rFonts w:ascii="Cambria" w:hAnsi="Cambria"/>
        </w:rPr>
        <w:t>Note</w:t>
      </w:r>
      <w:r>
        <w:rPr>
          <w:rFonts w:ascii="Cambria" w:hAnsi="Cambria"/>
          <w:sz w:val="22"/>
          <w:szCs w:val="22"/>
        </w:rPr>
        <w:t>: A star (</w:t>
      </w:r>
      <w:r>
        <w:rPr>
          <w:noProof/>
        </w:rPr>
        <w:drawing>
          <wp:inline distT="0" distB="0" distL="0" distR="0" wp14:anchorId="6E667F5E" wp14:editId="6D3120D9">
            <wp:extent cx="137160" cy="137160"/>
            <wp:effectExtent l="0" t="0" r="0" b="0"/>
            <wp:docPr id="5" name="Picture 5" descr="modeling standard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tar.sv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7160" cy="137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Cambria" w:hAnsi="Cambria"/>
          <w:sz w:val="22"/>
          <w:szCs w:val="22"/>
        </w:rPr>
        <w:t>) indicates a modeling standard.</w:t>
      </w:r>
    </w:p>
    <w:tbl>
      <w:tblPr>
        <w:tblStyle w:val="TableGrid"/>
        <w:tblW w:w="5032" w:type="pct"/>
        <w:tblCellMar>
          <w:top w:w="43" w:type="dxa"/>
          <w:bottom w:w="43" w:type="dxa"/>
        </w:tblCellMar>
        <w:tblLook w:val="0420" w:firstRow="1" w:lastRow="0" w:firstColumn="0" w:lastColumn="0" w:noHBand="0" w:noVBand="1"/>
      </w:tblPr>
      <w:tblGrid>
        <w:gridCol w:w="2142"/>
        <w:gridCol w:w="1214"/>
        <w:gridCol w:w="3948"/>
        <w:gridCol w:w="3592"/>
        <w:gridCol w:w="3586"/>
      </w:tblGrid>
      <w:tr w:rsidR="00960A78" w:rsidRPr="00960A78" w14:paraId="503C6F09" w14:textId="30DDEE09" w:rsidTr="00836823">
        <w:trPr>
          <w:cantSplit/>
          <w:tblHeader/>
        </w:trPr>
        <w:tc>
          <w:tcPr>
            <w:tcW w:w="740" w:type="pct"/>
            <w:shd w:val="clear" w:color="auto" w:fill="BDD6EE" w:themeFill="accent5" w:themeFillTint="66"/>
            <w:vAlign w:val="center"/>
          </w:tcPr>
          <w:p w14:paraId="2D2E3BA0" w14:textId="7A2E12C5" w:rsidR="00960A78" w:rsidRPr="00960A78" w:rsidRDefault="00960A78" w:rsidP="00960A78">
            <w:pPr>
              <w:spacing w:before="240" w:after="24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Cluster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Heading</w:t>
            </w:r>
          </w:p>
        </w:tc>
        <w:tc>
          <w:tcPr>
            <w:tcW w:w="419" w:type="pct"/>
            <w:shd w:val="clear" w:color="auto" w:fill="BDD6EE" w:themeFill="accent5" w:themeFillTint="66"/>
            <w:vAlign w:val="center"/>
          </w:tcPr>
          <w:p w14:paraId="61B239E5" w14:textId="07855817" w:rsidR="00960A78" w:rsidRPr="00960A78" w:rsidRDefault="00960A78" w:rsidP="00960A78">
            <w:pPr>
              <w:spacing w:before="240" w:after="24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Indicator</w:t>
            </w:r>
          </w:p>
        </w:tc>
        <w:tc>
          <w:tcPr>
            <w:tcW w:w="1363" w:type="pct"/>
            <w:shd w:val="clear" w:color="auto" w:fill="BDD6EE" w:themeFill="accent5" w:themeFillTint="66"/>
            <w:vAlign w:val="center"/>
          </w:tcPr>
          <w:p w14:paraId="5042D083" w14:textId="08E01AFE" w:rsidR="00960A78" w:rsidRPr="00960A78" w:rsidRDefault="00960A78" w:rsidP="00960A78">
            <w:pPr>
              <w:spacing w:before="240" w:after="24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2023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New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Jersey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Student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Learning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Standard</w:t>
            </w:r>
          </w:p>
        </w:tc>
        <w:tc>
          <w:tcPr>
            <w:tcW w:w="1240" w:type="pct"/>
            <w:shd w:val="clear" w:color="auto" w:fill="BDD6EE" w:themeFill="accent5" w:themeFillTint="66"/>
            <w:vAlign w:val="center"/>
          </w:tcPr>
          <w:p w14:paraId="0D63FF0E" w14:textId="417CB313" w:rsidR="00960A78" w:rsidRPr="00960A78" w:rsidRDefault="00960A78" w:rsidP="00960A78">
            <w:pPr>
              <w:spacing w:before="240" w:after="24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Algebra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Limits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Clarifications</w:t>
            </w:r>
          </w:p>
        </w:tc>
        <w:tc>
          <w:tcPr>
            <w:tcW w:w="1238" w:type="pct"/>
            <w:shd w:val="clear" w:color="auto" w:fill="BDD6EE" w:themeFill="accent5" w:themeFillTint="66"/>
            <w:vAlign w:val="center"/>
          </w:tcPr>
          <w:p w14:paraId="4D0194F4" w14:textId="5010DA26" w:rsidR="00960A78" w:rsidRPr="00960A78" w:rsidRDefault="00960A78" w:rsidP="00960A78">
            <w:pPr>
              <w:spacing w:before="240" w:after="24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Algebra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Limits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b/>
                <w:bCs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b/>
                <w:bCs/>
                <w:sz w:val="22"/>
                <w:szCs w:val="22"/>
              </w:rPr>
              <w:t>Clarifications</w:t>
            </w:r>
          </w:p>
        </w:tc>
      </w:tr>
      <w:tr w:rsidR="00960A78" w14:paraId="7E286FC0" w14:textId="50BC2BA2" w:rsidTr="00294C0C">
        <w:trPr>
          <w:cantSplit/>
        </w:trPr>
        <w:tc>
          <w:tcPr>
            <w:tcW w:w="740" w:type="pct"/>
          </w:tcPr>
          <w:p w14:paraId="397C99E4" w14:textId="7CC6C69B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Reason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quantitatively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use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units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problems</w:t>
            </w:r>
          </w:p>
        </w:tc>
        <w:tc>
          <w:tcPr>
            <w:tcW w:w="419" w:type="pct"/>
          </w:tcPr>
          <w:p w14:paraId="7C288FB3" w14:textId="396ED44B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N.Q.A.2</w:t>
            </w:r>
          </w:p>
        </w:tc>
        <w:tc>
          <w:tcPr>
            <w:tcW w:w="1363" w:type="pct"/>
          </w:tcPr>
          <w:p w14:paraId="4FD270E6" w14:textId="725BB842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Define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appropriate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quantities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for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purpose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descriptive</w:t>
            </w:r>
            <w:r w:rsidR="003C5E5D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bCs/>
                <w:noProof/>
                <w:color w:val="000000" w:themeColor="text1"/>
                <w:sz w:val="22"/>
                <w:szCs w:val="22"/>
              </w:rPr>
              <w:t>modeling.</w:t>
            </w:r>
          </w:p>
        </w:tc>
        <w:tc>
          <w:tcPr>
            <w:tcW w:w="1240" w:type="pct"/>
          </w:tcPr>
          <w:p w14:paraId="3B1DB7FE" w14:textId="1C7206F8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standard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integrated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S.</w:t>
            </w: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ID.A</w:t>
            </w:r>
            <w:proofErr w:type="gramEnd"/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Algebra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requires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student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create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quantity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interest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situation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being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described.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example,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situation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single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student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might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decide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mean,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measure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center,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key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variable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situation,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choose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work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mean.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1238" w:type="pct"/>
          </w:tcPr>
          <w:p w14:paraId="5DE2BB45" w14:textId="249C056F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standard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integrated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S.</w:t>
            </w:r>
            <w:proofErr w:type="gramStart"/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ID.A</w:t>
            </w:r>
            <w:proofErr w:type="gramEnd"/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Algebra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requires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student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create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quantity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interest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situation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being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described.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example,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situation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different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student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might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decide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interquartile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range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(IQR),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measure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spread,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key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variable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situation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work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IQR.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960A78" w14:paraId="7757DCA3" w14:textId="5E37229A" w:rsidTr="00294C0C">
        <w:trPr>
          <w:cantSplit/>
        </w:trPr>
        <w:tc>
          <w:tcPr>
            <w:tcW w:w="740" w:type="pct"/>
          </w:tcPr>
          <w:p w14:paraId="705408D7" w14:textId="7C42FC68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Write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expressions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equivalent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forms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problems</w:t>
            </w:r>
          </w:p>
        </w:tc>
        <w:tc>
          <w:tcPr>
            <w:tcW w:w="419" w:type="pct"/>
          </w:tcPr>
          <w:p w14:paraId="62E4161E" w14:textId="5F5AD0A3" w:rsidR="00960A78" w:rsidRP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proofErr w:type="gramStart"/>
            <w:r w:rsidRPr="00960A78">
              <w:rPr>
                <w:rFonts w:ascii="Cambria" w:hAnsi="Cambria"/>
                <w:sz w:val="22"/>
                <w:szCs w:val="22"/>
              </w:rPr>
              <w:t>A.S</w:t>
            </w:r>
            <w:r>
              <w:rPr>
                <w:rFonts w:ascii="Cambria" w:hAnsi="Cambria"/>
                <w:sz w:val="22"/>
                <w:szCs w:val="22"/>
              </w:rPr>
              <w:t>S</w:t>
            </w:r>
            <w:r w:rsidRPr="00960A78">
              <w:rPr>
                <w:rFonts w:ascii="Cambria" w:hAnsi="Cambria"/>
                <w:sz w:val="22"/>
                <w:szCs w:val="22"/>
              </w:rPr>
              <w:t>E.B.</w:t>
            </w:r>
            <w:proofErr w:type="gramEnd"/>
            <w:r w:rsidRPr="00960A78">
              <w:rPr>
                <w:rFonts w:ascii="Cambria" w:hAnsi="Cambria"/>
                <w:sz w:val="22"/>
                <w:szCs w:val="22"/>
              </w:rPr>
              <w:t>3c</w:t>
            </w:r>
          </w:p>
        </w:tc>
        <w:tc>
          <w:tcPr>
            <w:tcW w:w="1363" w:type="pct"/>
          </w:tcPr>
          <w:p w14:paraId="05E1E191" w14:textId="4427028C" w:rsidR="00960A78" w:rsidRDefault="00960A78" w:rsidP="00764293">
            <w:pPr>
              <w:spacing w:after="120"/>
              <w:rPr>
                <w:rFonts w:ascii="Cambria" w:hAnsi="Cambria"/>
                <w:color w:val="181818"/>
                <w:sz w:val="22"/>
                <w:szCs w:val="22"/>
              </w:rPr>
            </w:pP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Choose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produce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an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equivalent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form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an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expression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reveal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explain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properties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quantity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represented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by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181818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181818"/>
                <w:sz w:val="22"/>
                <w:szCs w:val="22"/>
              </w:rPr>
              <w:t>expression</w:t>
            </w:r>
            <w:r>
              <w:rPr>
                <w:rFonts w:ascii="Cambria" w:hAnsi="Cambria"/>
                <w:color w:val="181818"/>
                <w:sz w:val="22"/>
                <w:szCs w:val="22"/>
              </w:rPr>
              <w:t>.</w:t>
            </w:r>
          </w:p>
          <w:p w14:paraId="1D4D0E0F" w14:textId="5A64B7ED" w:rsidR="00960A78" w:rsidRPr="00764293" w:rsidRDefault="00960A78" w:rsidP="00764293">
            <w:pPr>
              <w:pStyle w:val="ListParagraph"/>
              <w:numPr>
                <w:ilvl w:val="0"/>
                <w:numId w:val="5"/>
              </w:numPr>
              <w:ind w:left="360"/>
              <w:rPr>
                <w:color w:val="202020"/>
              </w:rPr>
            </w:pPr>
            <w:r w:rsidRPr="00764293">
              <w:rPr>
                <w:rFonts w:cs="Times New Roman"/>
              </w:rPr>
              <w:t>Use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the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properties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of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exponents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to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transform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expressions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for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exponential</w:t>
            </w:r>
            <w:r w:rsidR="003C5E5D" w:rsidRPr="00764293">
              <w:rPr>
                <w:rFonts w:cs="Times New Roman"/>
              </w:rPr>
              <w:t xml:space="preserve"> </w:t>
            </w:r>
            <w:r w:rsidRPr="00764293">
              <w:rPr>
                <w:rFonts w:cs="Times New Roman"/>
              </w:rPr>
              <w:t>functions.</w:t>
            </w:r>
            <w:r w:rsidR="003C5E5D" w:rsidRPr="00764293">
              <w:rPr>
                <w:rFonts w:cs="Times New Roman"/>
              </w:rPr>
              <w:t xml:space="preserve"> </w:t>
            </w:r>
            <w:r w:rsidR="00FD01DF" w:rsidRPr="00FD01DF">
              <w:rPr>
                <w:rStyle w:val="MathExample"/>
              </w:rPr>
              <w:t>For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example,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the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expression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position w:val="-6"/>
              </w:rPr>
              <w:object w:dxaOrig="480" w:dyaOrig="300" w14:anchorId="402270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1.75pt;height:14.25pt" o:ole="">
                  <v:imagedata r:id="rId10" o:title=""/>
                </v:shape>
                <o:OLEObject Type="Embed" ProgID="Equation.DSMT4" ShapeID="_x0000_i1025" DrawAspect="Content" ObjectID="_1766403182" r:id="rId11"/>
              </w:object>
            </w:r>
            <w:r w:rsidR="00FD01DF" w:rsidRPr="00FD01DF">
              <w:rPr>
                <w:rStyle w:val="MathExample"/>
              </w:rPr>
              <w:t>can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be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rewritten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as</w:t>
            </w:r>
            <w:r w:rsidR="003C5E5D" w:rsidRPr="00764293">
              <w:t xml:space="preserve"> </w:t>
            </w:r>
            <w:r w:rsidR="00FD01DF" w:rsidRPr="00FD01DF">
              <w:rPr>
                <w:position w:val="-22"/>
              </w:rPr>
              <w:object w:dxaOrig="1880" w:dyaOrig="580" w14:anchorId="04418EBA">
                <v:shape id="_x0000_i1026" type="#_x0000_t75" style="width:93.75pt;height:29.25pt" o:ole="">
                  <v:imagedata r:id="rId12" o:title=""/>
                </v:shape>
                <o:OLEObject Type="Embed" ProgID="Equation.DSMT4" ShapeID="_x0000_i1026" DrawAspect="Content" ObjectID="_1766403183" r:id="rId13"/>
              </w:object>
            </w:r>
            <w:r w:rsidR="003C5E5D" w:rsidRPr="00764293">
              <w:t xml:space="preserve"> </w:t>
            </w:r>
            <w:r w:rsidR="00FD01DF" w:rsidRPr="00FD01DF">
              <w:rPr>
                <w:rStyle w:val="MathExample"/>
              </w:rPr>
              <w:t>to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reveal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the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approximate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equivalent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monthly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interest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rate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if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the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annual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rate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is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15%</w:t>
            </w:r>
            <w:r w:rsidRPr="00764293">
              <w:rPr>
                <w:rFonts w:cs="Times New Roman"/>
                <w:color w:val="0070C0"/>
              </w:rPr>
              <w:t>.</w:t>
            </w:r>
          </w:p>
        </w:tc>
        <w:tc>
          <w:tcPr>
            <w:tcW w:w="1240" w:type="pct"/>
          </w:tcPr>
          <w:p w14:paraId="63315A08" w14:textId="64831CD4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expressions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integer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0437544D" w14:textId="55756264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expressions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rational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960A78" w14:paraId="5E2CD5B5" w14:textId="77777777" w:rsidTr="00294C0C">
        <w:trPr>
          <w:cantSplit/>
        </w:trPr>
        <w:tc>
          <w:tcPr>
            <w:tcW w:w="740" w:type="pct"/>
          </w:tcPr>
          <w:p w14:paraId="62F3FCE8" w14:textId="098F5292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Create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describe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numbers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relationships</w:t>
            </w:r>
          </w:p>
        </w:tc>
        <w:tc>
          <w:tcPr>
            <w:tcW w:w="419" w:type="pct"/>
          </w:tcPr>
          <w:p w14:paraId="453A4D69" w14:textId="1144FCC8" w:rsidR="00960A78" w:rsidRP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A.CED.A.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63" w:type="pct"/>
          </w:tcPr>
          <w:p w14:paraId="022EB1EF" w14:textId="215B1A6B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960A78">
              <w:rPr>
                <w:rFonts w:ascii="Cambria" w:eastAsia="Times New Roman" w:hAnsi="Cambria"/>
                <w:sz w:val="22"/>
                <w:szCs w:val="22"/>
              </w:rPr>
              <w:t>Create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equations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inequalities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in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one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variable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use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them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to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solve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problems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.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Include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equations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arising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from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simple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rational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functions.</w:t>
            </w:r>
          </w:p>
        </w:tc>
        <w:tc>
          <w:tcPr>
            <w:tcW w:w="1240" w:type="pct"/>
          </w:tcPr>
          <w:p w14:paraId="68B89C05" w14:textId="51422C71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linear,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proofErr w:type="gramStart"/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proofErr w:type="gramEnd"/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integer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exponents</w:t>
            </w:r>
          </w:p>
        </w:tc>
        <w:tc>
          <w:tcPr>
            <w:tcW w:w="1238" w:type="pct"/>
          </w:tcPr>
          <w:p w14:paraId="0D4654B8" w14:textId="1A115C72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rational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rational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equations.</w:t>
            </w:r>
          </w:p>
        </w:tc>
      </w:tr>
      <w:tr w:rsidR="00960A78" w14:paraId="1D7DE8EE" w14:textId="77777777" w:rsidTr="00294C0C">
        <w:trPr>
          <w:cantSplit/>
        </w:trPr>
        <w:tc>
          <w:tcPr>
            <w:tcW w:w="740" w:type="pct"/>
          </w:tcPr>
          <w:p w14:paraId="7FAFBDA9" w14:textId="711DFD40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Understand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solving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process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reasoning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explain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reasoning</w:t>
            </w:r>
          </w:p>
        </w:tc>
        <w:tc>
          <w:tcPr>
            <w:tcW w:w="419" w:type="pct"/>
          </w:tcPr>
          <w:p w14:paraId="140BFE40" w14:textId="2083FF7F" w:rsidR="00960A78" w:rsidRP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A.REI.A.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1</w:t>
            </w:r>
          </w:p>
        </w:tc>
        <w:tc>
          <w:tcPr>
            <w:tcW w:w="1363" w:type="pct"/>
          </w:tcPr>
          <w:p w14:paraId="2B25887C" w14:textId="5DAEEAA9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960A78">
              <w:rPr>
                <w:rFonts w:ascii="Cambria" w:hAnsi="Cambria" w:cs="Times New Roman"/>
                <w:sz w:val="22"/>
                <w:szCs w:val="22"/>
              </w:rPr>
              <w:t>Explain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each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step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solving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simple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equation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following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from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equality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numbers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asserted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previous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step,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starting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from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assumption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that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original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equation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has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solution.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Construct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viable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argument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to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justify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solution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method</w:t>
            </w:r>
          </w:p>
        </w:tc>
        <w:tc>
          <w:tcPr>
            <w:tcW w:w="1240" w:type="pct"/>
          </w:tcPr>
          <w:p w14:paraId="59F1CF77" w14:textId="474542CF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equation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</w:t>
            </w:r>
          </w:p>
        </w:tc>
        <w:tc>
          <w:tcPr>
            <w:tcW w:w="1238" w:type="pct"/>
          </w:tcPr>
          <w:p w14:paraId="2CB100F1" w14:textId="7D418CE3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simple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rational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radical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equations.</w:t>
            </w:r>
          </w:p>
        </w:tc>
      </w:tr>
      <w:tr w:rsidR="00960A78" w14:paraId="13F731FE" w14:textId="77777777" w:rsidTr="00294C0C">
        <w:trPr>
          <w:cantSplit/>
        </w:trPr>
        <w:tc>
          <w:tcPr>
            <w:tcW w:w="740" w:type="pct"/>
          </w:tcPr>
          <w:p w14:paraId="10E46F82" w14:textId="4A3A014B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inequalities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one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variable</w:t>
            </w:r>
          </w:p>
        </w:tc>
        <w:tc>
          <w:tcPr>
            <w:tcW w:w="419" w:type="pct"/>
          </w:tcPr>
          <w:p w14:paraId="26968E98" w14:textId="05880D7C" w:rsidR="00960A78" w:rsidRP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A.REI.B.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4b</w:t>
            </w:r>
          </w:p>
        </w:tc>
        <w:tc>
          <w:tcPr>
            <w:tcW w:w="1363" w:type="pct"/>
          </w:tcPr>
          <w:p w14:paraId="23A301B6" w14:textId="5CF384F5" w:rsidR="00960A78" w:rsidRP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960A78">
              <w:rPr>
                <w:rFonts w:ascii="Cambria" w:hAnsi="Cambria" w:cs="Times New Roman"/>
                <w:sz w:val="22"/>
                <w:szCs w:val="22"/>
              </w:rPr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on</w:t>
            </w:r>
            <w:r>
              <w:rPr>
                <w:rFonts w:ascii="Cambria" w:hAnsi="Cambria"/>
                <w:sz w:val="22"/>
                <w:szCs w:val="22"/>
              </w:rPr>
              <w:t>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variable.</w:t>
            </w:r>
          </w:p>
          <w:p w14:paraId="78E911D1" w14:textId="28F1A88D" w:rsidR="00960A78" w:rsidRPr="00BD6558" w:rsidRDefault="00960A78" w:rsidP="004A31F5">
            <w:pPr>
              <w:pStyle w:val="ListParagraph"/>
              <w:numPr>
                <w:ilvl w:val="0"/>
                <w:numId w:val="7"/>
              </w:numPr>
              <w:spacing w:line="240" w:lineRule="auto"/>
              <w:ind w:left="504"/>
              <w:rPr>
                <w:color w:val="000000" w:themeColor="text1"/>
                <w:u w:val="single"/>
              </w:rPr>
            </w:pPr>
            <w:r w:rsidRPr="00BD6558">
              <w:rPr>
                <w:rFonts w:cs="Times New Roman"/>
              </w:rPr>
              <w:t>Solve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quadratic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equations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by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inspection</w:t>
            </w:r>
            <w:r w:rsidR="003C5E5D" w:rsidRPr="00BD6558">
              <w:rPr>
                <w:rFonts w:cs="Times New Roman"/>
              </w:rPr>
              <w:t xml:space="preserve"> </w:t>
            </w:r>
            <w:r w:rsidR="00FD01DF" w:rsidRPr="00BD6558">
              <w:rPr>
                <w:rFonts w:cs="Times New Roman"/>
              </w:rPr>
              <w:t>(e.g.,</w:t>
            </w:r>
            <w:r w:rsidR="003C5E5D" w:rsidRPr="00BD6558">
              <w:rPr>
                <w:rFonts w:cs="Times New Roman"/>
              </w:rPr>
              <w:t xml:space="preserve"> </w:t>
            </w:r>
            <w:r w:rsidR="00FD01DF" w:rsidRPr="00BD6558">
              <w:rPr>
                <w:rFonts w:cs="Times New Roman"/>
              </w:rPr>
              <w:t>for</w:t>
            </w:r>
            <w:r w:rsidR="003C5E5D" w:rsidRPr="00BD6558">
              <w:rPr>
                <w:rFonts w:cs="Times New Roman"/>
              </w:rPr>
              <w:t xml:space="preserve"> </w:t>
            </w:r>
            <w:r w:rsidR="00FD01DF" w:rsidRPr="00FD01DF">
              <w:rPr>
                <w:position w:val="-6"/>
              </w:rPr>
              <w:object w:dxaOrig="720" w:dyaOrig="300" w14:anchorId="419A97DD">
                <v:shape id="_x0000_i1027" type="#_x0000_t75" style="width:36pt;height:14.25pt" o:ole="">
                  <v:imagedata r:id="rId14" o:title=""/>
                </v:shape>
                <o:OLEObject Type="Embed" ProgID="Equation.DSMT4" ShapeID="_x0000_i1027" DrawAspect="Content" ObjectID="_1766403184" r:id="rId15"/>
              </w:object>
            </w:r>
            <w:r w:rsidR="00FD01DF" w:rsidRPr="00BD6558">
              <w:rPr>
                <w:rFonts w:cs="Times New Roman"/>
              </w:rPr>
              <w:t>),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taking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square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roots,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completing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the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square,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the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quadratic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formula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and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factoring,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as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appropriate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to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the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initial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form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of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the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equation.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Recognize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when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the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quadratic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formula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gives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complex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solutions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and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write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them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as</w:t>
            </w:r>
            <w:r w:rsidR="003C5E5D" w:rsidRPr="00BD6558">
              <w:rPr>
                <w:rFonts w:cs="Times New Roman"/>
              </w:rPr>
              <w:t xml:space="preserve"> </w:t>
            </w:r>
            <w:r w:rsidR="00FD01DF" w:rsidRPr="00111837">
              <w:rPr>
                <w:position w:val="-6"/>
              </w:rPr>
              <w:object w:dxaOrig="560" w:dyaOrig="260" w14:anchorId="63B47364">
                <v:shape id="_x0000_i1028" type="#_x0000_t75" style="width:25.5pt;height:12.75pt" o:ole="">
                  <v:imagedata r:id="rId16" o:title=""/>
                </v:shape>
                <o:OLEObject Type="Embed" ProgID="Equation.DSMT4" ShapeID="_x0000_i1028" DrawAspect="Content" ObjectID="_1766403185" r:id="rId17"/>
              </w:object>
            </w:r>
            <w:r w:rsidR="003C5E5D" w:rsidRPr="00BD6558">
              <w:rPr>
                <w:rFonts w:cs="Times New Roman"/>
                <w:i/>
                <w:iCs/>
              </w:rPr>
              <w:t xml:space="preserve"> </w:t>
            </w:r>
            <w:r w:rsidRPr="00BD6558">
              <w:rPr>
                <w:rFonts w:cs="Times New Roman"/>
              </w:rPr>
              <w:t>for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real</w:t>
            </w:r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</w:rPr>
              <w:t>numbers</w:t>
            </w:r>
            <w:r w:rsidR="003C5E5D" w:rsidRPr="00BD6558">
              <w:rPr>
                <w:rFonts w:cs="Times New Roman"/>
              </w:rPr>
              <w:t xml:space="preserve"> </w:t>
            </w:r>
            <w:proofErr w:type="gramStart"/>
            <w:r w:rsidRPr="00BD6558">
              <w:rPr>
                <w:rFonts w:cs="Times New Roman"/>
                <w:i/>
                <w:iCs/>
              </w:rPr>
              <w:t>a</w:t>
            </w:r>
            <w:r w:rsidR="003C5E5D" w:rsidRPr="00BD6558">
              <w:rPr>
                <w:rFonts w:cs="Times New Roman"/>
                <w:i/>
                <w:iCs/>
              </w:rPr>
              <w:t xml:space="preserve"> </w:t>
            </w:r>
            <w:r w:rsidRPr="00BD6558">
              <w:rPr>
                <w:rFonts w:cs="Times New Roman"/>
              </w:rPr>
              <w:t>and</w:t>
            </w:r>
            <w:proofErr w:type="gramEnd"/>
            <w:r w:rsidR="003C5E5D" w:rsidRPr="00BD6558">
              <w:rPr>
                <w:rFonts w:cs="Times New Roman"/>
              </w:rPr>
              <w:t xml:space="preserve"> </w:t>
            </w:r>
            <w:r w:rsidRPr="00BD6558">
              <w:rPr>
                <w:rFonts w:cs="Times New Roman"/>
                <w:i/>
                <w:iCs/>
              </w:rPr>
              <w:t>b</w:t>
            </w:r>
            <w:r w:rsidRPr="00BD6558">
              <w:rPr>
                <w:rFonts w:cs="Times New Roman"/>
              </w:rPr>
              <w:t>.</w:t>
            </w:r>
          </w:p>
        </w:tc>
        <w:tc>
          <w:tcPr>
            <w:tcW w:w="1240" w:type="pct"/>
          </w:tcPr>
          <w:p w14:paraId="205D6C66" w14:textId="7F7C1F29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Writing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solutions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for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roots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nonzero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imaginary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parts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required.</w:t>
            </w:r>
          </w:p>
        </w:tc>
        <w:tc>
          <w:tcPr>
            <w:tcW w:w="1238" w:type="pct"/>
          </w:tcPr>
          <w:p w14:paraId="3B144711" w14:textId="0DA9119F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case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roots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nonzero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imaginary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parts,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solutions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be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written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as</w:t>
            </w:r>
            <w:r w:rsidR="00FD01DF" w:rsidRPr="00111837">
              <w:rPr>
                <w:rFonts w:cs="Times New Roman"/>
                <w:position w:val="-6"/>
              </w:rPr>
              <w:object w:dxaOrig="560" w:dyaOrig="260" w14:anchorId="5742B033">
                <v:shape id="_x0000_i1029" type="#_x0000_t75" style="width:25.5pt;height:12.75pt" o:ole="">
                  <v:imagedata r:id="rId16" o:title=""/>
                </v:shape>
                <o:OLEObject Type="Embed" ProgID="Equation.DSMT4" ShapeID="_x0000_i1029" DrawAspect="Content" ObjectID="_1766403186" r:id="rId18"/>
              </w:objec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for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real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numbers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615763" w:rsidRPr="00111837">
              <w:rPr>
                <w:rFonts w:cs="Times New Roman"/>
                <w:position w:val="-6"/>
              </w:rPr>
              <w:object w:dxaOrig="180" w:dyaOrig="220" w14:anchorId="79C2737A">
                <v:shape id="_x0000_i1030" type="#_x0000_t75" style="width:8.25pt;height:10.5pt" o:ole="">
                  <v:imagedata r:id="rId19" o:title=""/>
                </v:shape>
                <o:OLEObject Type="Embed" ProgID="Equation.DSMT4" ShapeID="_x0000_i1030" DrawAspect="Content" ObjectID="_1766403187" r:id="rId20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615763" w:rsidRPr="00111837">
              <w:rPr>
                <w:rFonts w:cs="Times New Roman"/>
                <w:position w:val="-6"/>
              </w:rPr>
              <w:object w:dxaOrig="180" w:dyaOrig="260" w14:anchorId="164928C7">
                <v:shape id="_x0000_i1031" type="#_x0000_t75" style="width:8.25pt;height:12.75pt" o:ole="">
                  <v:imagedata r:id="rId21" o:title=""/>
                </v:shape>
                <o:OLEObject Type="Embed" ProgID="Equation.DSMT4" ShapeID="_x0000_i1031" DrawAspect="Content" ObjectID="_1766403188" r:id="rId22"/>
              </w:object>
            </w:r>
            <w:r w:rsidRPr="00960A78">
              <w:rPr>
                <w:rFonts w:ascii="Cambria" w:hAnsi="Cambria" w:cs="Times New Roman"/>
                <w:sz w:val="22"/>
                <w:szCs w:val="22"/>
              </w:rPr>
              <w:t>.</w:t>
            </w:r>
          </w:p>
        </w:tc>
      </w:tr>
      <w:tr w:rsidR="00960A78" w14:paraId="2BD0560E" w14:textId="77777777" w:rsidTr="00294C0C">
        <w:trPr>
          <w:cantSplit/>
        </w:trPr>
        <w:tc>
          <w:tcPr>
            <w:tcW w:w="740" w:type="pct"/>
          </w:tcPr>
          <w:p w14:paraId="5DEBD3A5" w14:textId="766A320F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systems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equations</w:t>
            </w:r>
          </w:p>
        </w:tc>
        <w:tc>
          <w:tcPr>
            <w:tcW w:w="419" w:type="pct"/>
          </w:tcPr>
          <w:p w14:paraId="3B2336BC" w14:textId="53F58184" w:rsidR="00960A78" w:rsidRP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A.REI.C.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6</w:t>
            </w:r>
          </w:p>
        </w:tc>
        <w:tc>
          <w:tcPr>
            <w:tcW w:w="1363" w:type="pct"/>
          </w:tcPr>
          <w:p w14:paraId="50F7A350" w14:textId="2F6E7C06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960A78">
              <w:rPr>
                <w:rFonts w:ascii="Cambria" w:eastAsia="Times New Roman" w:hAnsi="Cambria"/>
                <w:sz w:val="22"/>
                <w:szCs w:val="22"/>
              </w:rPr>
              <w:t>Solve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systems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linear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equations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algebraically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(include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using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elimination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method)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graphically,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focusing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on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pairs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linear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equations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in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two</w:t>
            </w:r>
            <w:r w:rsidR="003C5E5D">
              <w:rPr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variables.</w:t>
            </w:r>
          </w:p>
        </w:tc>
        <w:tc>
          <w:tcPr>
            <w:tcW w:w="1240" w:type="pct"/>
          </w:tcPr>
          <w:p w14:paraId="474105CF" w14:textId="59296AD0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x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systems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2488B68F" w14:textId="3BFB57B5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x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3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systems.</w:t>
            </w:r>
          </w:p>
        </w:tc>
      </w:tr>
      <w:tr w:rsidR="00960A78" w14:paraId="453057E6" w14:textId="77777777" w:rsidTr="00294C0C">
        <w:trPr>
          <w:cantSplit/>
        </w:trPr>
        <w:tc>
          <w:tcPr>
            <w:tcW w:w="740" w:type="pct"/>
          </w:tcPr>
          <w:p w14:paraId="08625936" w14:textId="61223653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Represent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equations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inequalities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graphically</w:t>
            </w:r>
          </w:p>
        </w:tc>
        <w:tc>
          <w:tcPr>
            <w:tcW w:w="419" w:type="pct"/>
          </w:tcPr>
          <w:p w14:paraId="4005317A" w14:textId="19EDB521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proofErr w:type="gramStart"/>
            <w:r>
              <w:rPr>
                <w:rFonts w:ascii="Cambria" w:hAnsi="Cambria"/>
                <w:sz w:val="22"/>
                <w:szCs w:val="22"/>
              </w:rPr>
              <w:t>A.REI.D.</w:t>
            </w:r>
            <w:proofErr w:type="gramEnd"/>
            <w:r>
              <w:rPr>
                <w:rFonts w:ascii="Cambria" w:hAnsi="Cambria"/>
                <w:sz w:val="22"/>
                <w:szCs w:val="22"/>
              </w:rPr>
              <w:t>11</w:t>
            </w:r>
          </w:p>
        </w:tc>
        <w:tc>
          <w:tcPr>
            <w:tcW w:w="1363" w:type="pct"/>
          </w:tcPr>
          <w:p w14:paraId="2247EC64" w14:textId="52BF1987" w:rsidR="00960A78" w:rsidRPr="00FD01DF" w:rsidRDefault="00FD01DF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FD01DF">
              <w:rPr>
                <w:rFonts w:ascii="Cambria" w:hAnsi="Cambria" w:cs="Times New Roman"/>
                <w:sz w:val="22"/>
                <w:szCs w:val="22"/>
              </w:rPr>
              <w:t>Explain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why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i/>
                <w:iCs/>
                <w:sz w:val="22"/>
                <w:szCs w:val="22"/>
              </w:rPr>
              <w:t>x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-coordinates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points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where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graphs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equations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/>
                <w:position w:val="-8"/>
                <w:sz w:val="22"/>
                <w:szCs w:val="22"/>
              </w:rPr>
              <w:object w:dxaOrig="740" w:dyaOrig="260" w14:anchorId="04B9873D">
                <v:shape id="_x0000_i1032" type="#_x0000_t75" style="width:36pt;height:14.25pt" o:ole="">
                  <v:imagedata r:id="rId23" o:title=""/>
                </v:shape>
                <o:OLEObject Type="Embed" ProgID="Equation.DSMT4" ShapeID="_x0000_i1032" DrawAspect="Content" ObjectID="_1766403189" r:id="rId24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/>
                <w:position w:val="-8"/>
                <w:sz w:val="22"/>
                <w:szCs w:val="22"/>
              </w:rPr>
              <w:object w:dxaOrig="740" w:dyaOrig="260" w14:anchorId="5C85E808">
                <v:shape id="_x0000_i1033" type="#_x0000_t75" style="width:36pt;height:14.25pt" o:ole="">
                  <v:imagedata r:id="rId25" o:title=""/>
                </v:shape>
                <o:OLEObject Type="Embed" ProgID="Equation.DSMT4" ShapeID="_x0000_i1033" DrawAspect="Content" ObjectID="_1766403190" r:id="rId26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intersect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solutions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equation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/>
                <w:position w:val="-8"/>
                <w:sz w:val="22"/>
                <w:szCs w:val="22"/>
              </w:rPr>
              <w:object w:dxaOrig="980" w:dyaOrig="260" w14:anchorId="18234F94">
                <v:shape id="_x0000_i1034" type="#_x0000_t75" style="width:51pt;height:14.25pt" o:ole="">
                  <v:imagedata r:id="rId27" o:title=""/>
                </v:shape>
                <o:OLEObject Type="Embed" ProgID="Equation.DSMT4" ShapeID="_x0000_i1034" DrawAspect="Content" ObjectID="_1766403191" r:id="rId28"/>
              </w:objec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;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find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solutions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approximately,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e.g.,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using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technology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graph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functions,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make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tables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values,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find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successive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approximations.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Include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cases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where</w:t>
            </w:r>
            <w:r w:rsidRPr="00FD01DF">
              <w:rPr>
                <w:rFonts w:ascii="Cambria" w:hAnsi="Cambria"/>
                <w:position w:val="-8"/>
                <w:sz w:val="22"/>
                <w:szCs w:val="22"/>
              </w:rPr>
              <w:object w:dxaOrig="440" w:dyaOrig="260" w14:anchorId="1DB09DFC">
                <v:shape id="_x0000_i1035" type="#_x0000_t75" style="width:21.75pt;height:14.25pt" o:ole="">
                  <v:imagedata r:id="rId29" o:title=""/>
                </v:shape>
                <o:OLEObject Type="Embed" ProgID="Equation.DSMT4" ShapeID="_x0000_i1035" DrawAspect="Content" ObjectID="_1766403192" r:id="rId30"/>
              </w:objec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and/or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/>
                <w:position w:val="-8"/>
                <w:sz w:val="22"/>
                <w:szCs w:val="22"/>
              </w:rPr>
              <w:object w:dxaOrig="420" w:dyaOrig="260" w14:anchorId="1BA98F63">
                <v:shape id="_x0000_i1036" type="#_x0000_t75" style="width:21.75pt;height:14.25pt" o:ole="">
                  <v:imagedata r:id="rId31" o:title=""/>
                </v:shape>
                <o:OLEObject Type="Embed" ProgID="Equation.DSMT4" ShapeID="_x0000_i1036" DrawAspect="Content" ObjectID="_1766403193" r:id="rId32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linear,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polynomial,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rational,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absolute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value,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exponential,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logarithmic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="0015136D">
              <w:rPr>
                <w:rFonts w:ascii="Cambria" w:hAnsi="Cambria" w:cs="Times New Roman"/>
                <w:sz w:val="22"/>
                <w:szCs w:val="22"/>
              </w:rPr>
              <w:br/>
            </w:r>
            <w:r w:rsidRPr="00FD01DF">
              <w:rPr>
                <w:rFonts w:ascii="Cambria" w:hAnsi="Cambria" w:cs="Times New Roman"/>
                <w:sz w:val="22"/>
                <w:szCs w:val="22"/>
              </w:rPr>
              <w:t>functions</w:t>
            </w:r>
            <w:r w:rsidR="00960A78" w:rsidRPr="00FD01DF">
              <w:rPr>
                <w:rFonts w:ascii="Cambria" w:eastAsia="Times New Roman" w:hAnsi="Cambria"/>
                <w:bCs/>
                <w:color w:val="000000" w:themeColor="text1"/>
                <w:sz w:val="22"/>
                <w:szCs w:val="22"/>
              </w:rPr>
              <w:t>.</w:t>
            </w:r>
            <w:r w:rsidR="0015136D">
              <w:rPr>
                <w:noProof/>
              </w:rPr>
              <w:t xml:space="preserve"> </w:t>
            </w:r>
            <w:r w:rsidR="0015136D">
              <w:rPr>
                <w:noProof/>
              </w:rPr>
              <w:drawing>
                <wp:inline distT="0" distB="0" distL="0" distR="0" wp14:anchorId="6262179E" wp14:editId="6830F112">
                  <wp:extent cx="137160" cy="137160"/>
                  <wp:effectExtent l="0" t="0" r="0" b="0"/>
                  <wp:docPr id="1246991264" name="Picture 5" descr="modeling standa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240" w:type="pct"/>
          </w:tcPr>
          <w:p w14:paraId="54CCF3A1" w14:textId="4928FEE6" w:rsidR="00960A78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degree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(i.e.,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quadratic)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absolute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value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  <w:p w14:paraId="3C446E5A" w14:textId="4D06CFA3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Finding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solutions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approximately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cases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where</w:t>
            </w:r>
            <w:r w:rsidR="004A31F5" w:rsidRPr="004A31F5">
              <w:rPr>
                <w:rFonts w:ascii="Cambria" w:hAnsi="Cambria"/>
                <w:color w:val="000000" w:themeColor="text1"/>
                <w:position w:val="-8"/>
                <w:sz w:val="22"/>
                <w:szCs w:val="22"/>
              </w:rPr>
              <w:object w:dxaOrig="440" w:dyaOrig="260" w14:anchorId="08A5654E">
                <v:shape id="_x0000_i1037" type="#_x0000_t75" style="width:21.75pt;height:12.75pt" o:ole="">
                  <v:imagedata r:id="rId33" o:title=""/>
                </v:shape>
                <o:OLEObject Type="Embed" ProgID="Equation.DSMT4" ShapeID="_x0000_i1037" DrawAspect="Content" ObjectID="_1766403194" r:id="rId34"/>
              </w:objec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4A31F5" w:rsidRPr="004A31F5">
              <w:rPr>
                <w:rFonts w:ascii="Cambria" w:hAnsi="Cambria"/>
                <w:color w:val="000000" w:themeColor="text1"/>
                <w:position w:val="-8"/>
                <w:sz w:val="22"/>
                <w:szCs w:val="22"/>
              </w:rPr>
              <w:object w:dxaOrig="420" w:dyaOrig="260" w14:anchorId="6D888CC7">
                <v:shape id="_x0000_i1038" type="#_x0000_t75" style="width:21pt;height:12.75pt" o:ole="">
                  <v:imagedata r:id="rId35" o:title=""/>
                </v:shape>
                <o:OLEObject Type="Embed" ProgID="Equation.DSMT4" ShapeID="_x0000_i1038" DrawAspect="Content" ObjectID="_1766403195" r:id="rId36"/>
              </w:objec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  <w:vertAlign w:val="superscript"/>
              </w:rPr>
              <w:t>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degree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  <w:tc>
          <w:tcPr>
            <w:tcW w:w="1238" w:type="pct"/>
          </w:tcPr>
          <w:p w14:paraId="284A4B1D" w14:textId="26A66A27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types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mentioned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standard.</w:t>
            </w:r>
          </w:p>
        </w:tc>
      </w:tr>
      <w:tr w:rsidR="00960A78" w14:paraId="669D84A8" w14:textId="77777777" w:rsidTr="00294C0C">
        <w:trPr>
          <w:cantSplit/>
        </w:trPr>
        <w:tc>
          <w:tcPr>
            <w:tcW w:w="740" w:type="pct"/>
          </w:tcPr>
          <w:p w14:paraId="442B657F" w14:textId="7AA43346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Understand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concept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use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notation</w:t>
            </w:r>
          </w:p>
        </w:tc>
        <w:tc>
          <w:tcPr>
            <w:tcW w:w="419" w:type="pct"/>
          </w:tcPr>
          <w:p w14:paraId="4FE18484" w14:textId="78F21F0B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F.IF.A.3</w:t>
            </w:r>
          </w:p>
        </w:tc>
        <w:tc>
          <w:tcPr>
            <w:tcW w:w="1363" w:type="pct"/>
          </w:tcPr>
          <w:p w14:paraId="19A58B74" w14:textId="51F0B8AA" w:rsidR="00960A78" w:rsidRPr="00FD01DF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FD01DF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Recognize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that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sequences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are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functions,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sometimes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defined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recursively,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whose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domain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is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a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subset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of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the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Fonts w:ascii="Cambria" w:hAnsi="Cambria" w:cs="Times New Roman"/>
              </w:rPr>
              <w:t>integers.</w:t>
            </w:r>
            <w:r w:rsidR="003C5E5D">
              <w:rPr>
                <w:rFonts w:ascii="Cambria" w:hAnsi="Cambria" w:cs="Times New Roman"/>
              </w:rPr>
              <w:t xml:space="preserve"> </w:t>
            </w:r>
            <w:r w:rsidR="00FD01DF" w:rsidRPr="00FD01DF">
              <w:rPr>
                <w:rStyle w:val="MathExample"/>
              </w:rPr>
              <w:t>For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example,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the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Fibonacci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sequence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is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defined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recursively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by</w:t>
            </w:r>
            <w:r w:rsidR="003C5E5D">
              <w:rPr>
                <w:rFonts w:ascii="Cambria" w:hAnsi="Cambria"/>
              </w:rPr>
              <w:t xml:space="preserve"> </w:t>
            </w:r>
            <w:r w:rsidR="00FD01DF" w:rsidRPr="00FD01DF">
              <w:rPr>
                <w:rFonts w:ascii="Cambria" w:hAnsi="Cambria"/>
                <w:position w:val="-10"/>
              </w:rPr>
              <w:object w:dxaOrig="1380" w:dyaOrig="300" w14:anchorId="60FF48CA">
                <v:shape id="_x0000_i1039" type="#_x0000_t75" style="width:65.25pt;height:14.25pt" o:ole="">
                  <v:imagedata r:id="rId37" o:title=""/>
                </v:shape>
                <o:OLEObject Type="Embed" ProgID="Equation.DSMT4" ShapeID="_x0000_i1039" DrawAspect="Content" ObjectID="_1766403196" r:id="rId38"/>
              </w:object>
            </w:r>
            <w:r w:rsidR="00FD01DF" w:rsidRPr="00FD01DF">
              <w:rPr>
                <w:rFonts w:ascii="Cambria" w:hAnsi="Cambria"/>
              </w:rPr>
              <w:t>,</w:t>
            </w:r>
            <w:r w:rsidR="003C5E5D">
              <w:rPr>
                <w:rFonts w:ascii="Cambria" w:hAnsi="Cambria"/>
              </w:rPr>
              <w:t xml:space="preserve"> </w:t>
            </w:r>
            <w:r w:rsidR="00FD01DF" w:rsidRPr="00FD01DF">
              <w:rPr>
                <w:rFonts w:ascii="Cambria" w:hAnsi="Cambria"/>
                <w:position w:val="-10"/>
              </w:rPr>
              <w:object w:dxaOrig="2320" w:dyaOrig="300" w14:anchorId="3C9863FF">
                <v:shape id="_x0000_i1040" type="#_x0000_t75" style="width:114.75pt;height:14.25pt" o:ole="">
                  <v:imagedata r:id="rId39" o:title=""/>
                </v:shape>
                <o:OLEObject Type="Embed" ProgID="Equation.DSMT4" ShapeID="_x0000_i1040" DrawAspect="Content" ObjectID="_1766403197" r:id="rId40"/>
              </w:objec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Style w:val="MathExample"/>
              </w:rPr>
              <w:t>for</w:t>
            </w:r>
            <w:r w:rsidR="003C5E5D">
              <w:rPr>
                <w:rStyle w:val="MathExample"/>
              </w:rPr>
              <w:t xml:space="preserve"> </w:t>
            </w:r>
            <w:r w:rsidR="00FD01DF" w:rsidRPr="00FD01DF">
              <w:rPr>
                <w:rFonts w:ascii="Cambria" w:hAnsi="Cambria"/>
                <w:position w:val="-6"/>
              </w:rPr>
              <w:object w:dxaOrig="480" w:dyaOrig="260" w14:anchorId="3D40F5B8">
                <v:shape id="_x0000_i1041" type="#_x0000_t75" style="width:21.75pt;height:14.25pt" o:ole="">
                  <v:imagedata r:id="rId41" o:title=""/>
                </v:shape>
                <o:OLEObject Type="Embed" ProgID="Equation.DSMT4" ShapeID="_x0000_i1041" DrawAspect="Content" ObjectID="_1766403198" r:id="rId42"/>
              </w:object>
            </w:r>
            <w:r w:rsidR="00FD01DF" w:rsidRPr="003D5845">
              <w:rPr>
                <w:rFonts w:ascii="Cambria" w:hAnsi="Cambria"/>
                <w:color w:val="0070C0"/>
              </w:rPr>
              <w:t>.</w:t>
            </w:r>
          </w:p>
        </w:tc>
        <w:tc>
          <w:tcPr>
            <w:tcW w:w="1240" w:type="pct"/>
          </w:tcPr>
          <w:p w14:paraId="7EE3B043" w14:textId="1ACFD82E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  <w:u w:val="single"/>
              </w:rPr>
            </w:pP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This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standard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Major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work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Algebra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1</w:t>
            </w:r>
          </w:p>
        </w:tc>
        <w:tc>
          <w:tcPr>
            <w:tcW w:w="1238" w:type="pct"/>
          </w:tcPr>
          <w:p w14:paraId="7FEDF358" w14:textId="3C84F543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standard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Supporting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work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Algebra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2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should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support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Major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work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F.BF.A.2</w:t>
            </w:r>
          </w:p>
        </w:tc>
      </w:tr>
      <w:tr w:rsidR="00960A78" w14:paraId="74D91B91" w14:textId="77777777" w:rsidTr="00294C0C">
        <w:trPr>
          <w:cantSplit/>
        </w:trPr>
        <w:tc>
          <w:tcPr>
            <w:tcW w:w="740" w:type="pct"/>
          </w:tcPr>
          <w:p w14:paraId="3F46437D" w14:textId="45455D8E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arise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applications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terms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context</w:t>
            </w:r>
          </w:p>
        </w:tc>
        <w:tc>
          <w:tcPr>
            <w:tcW w:w="419" w:type="pct"/>
          </w:tcPr>
          <w:p w14:paraId="0597EAC1" w14:textId="617FCBE2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F.IF.B.4</w:t>
            </w:r>
          </w:p>
        </w:tc>
        <w:tc>
          <w:tcPr>
            <w:tcW w:w="1363" w:type="pct"/>
          </w:tcPr>
          <w:p w14:paraId="3015A782" w14:textId="3D8BF251" w:rsidR="00960A78" w:rsidRPr="00960A78" w:rsidRDefault="00960A78" w:rsidP="00294C0C">
            <w:pPr>
              <w:spacing w:before="60" w:after="60"/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hAnsi="Cambria"/>
                <w:sz w:val="22"/>
                <w:szCs w:val="22"/>
              </w:rPr>
              <w:t>For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models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relationship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between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quantities,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key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features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graphs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tables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terms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quantities,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sketch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graphs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showing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key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features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given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verbal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description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relationship.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Key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features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proofErr w:type="gramStart"/>
            <w:r w:rsidRPr="00960A78">
              <w:rPr>
                <w:rFonts w:ascii="Cambria" w:hAnsi="Cambria"/>
                <w:sz w:val="22"/>
                <w:szCs w:val="22"/>
              </w:rPr>
              <w:t>include:</w:t>
            </w:r>
            <w:proofErr w:type="gramEnd"/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intercepts;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intervals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where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increasing,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decreasing,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positive,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negative;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relative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maximums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minimums;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symmetries;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end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behavior;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sz w:val="22"/>
                <w:szCs w:val="22"/>
              </w:rPr>
              <w:t>periodicity.</w:t>
            </w:r>
          </w:p>
        </w:tc>
        <w:tc>
          <w:tcPr>
            <w:tcW w:w="1240" w:type="pct"/>
          </w:tcPr>
          <w:p w14:paraId="794B0BBD" w14:textId="6C22E730" w:rsidR="00600262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49C8054F" w14:textId="237A8756" w:rsidR="00960A78" w:rsidRPr="00960A78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should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084329A7" w14:textId="6CA804CA" w:rsidR="00600262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logarithmic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198094CC" w14:textId="36329864" w:rsidR="00960A78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should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960A78" w14:paraId="5C3BFF4F" w14:textId="77777777" w:rsidTr="00294C0C">
        <w:trPr>
          <w:cantSplit/>
        </w:trPr>
        <w:tc>
          <w:tcPr>
            <w:tcW w:w="740" w:type="pct"/>
          </w:tcPr>
          <w:p w14:paraId="45A52069" w14:textId="3EB375CF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arise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applications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terms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context</w:t>
            </w:r>
          </w:p>
        </w:tc>
        <w:tc>
          <w:tcPr>
            <w:tcW w:w="419" w:type="pct"/>
          </w:tcPr>
          <w:p w14:paraId="6AD93CE0" w14:textId="71893BA5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F.IF.B.6</w:t>
            </w:r>
          </w:p>
        </w:tc>
        <w:tc>
          <w:tcPr>
            <w:tcW w:w="1363" w:type="pct"/>
          </w:tcPr>
          <w:p w14:paraId="2B014A53" w14:textId="7716C5E4" w:rsidR="00960A78" w:rsidRPr="00960A78" w:rsidRDefault="00960A78" w:rsidP="00294C0C">
            <w:pPr>
              <w:spacing w:before="60" w:after="60"/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Calculate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interpret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average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rate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change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function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(presented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symbolically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table)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over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specified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interval.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Estimate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rate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change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from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graph.</w:t>
            </w:r>
          </w:p>
        </w:tc>
        <w:tc>
          <w:tcPr>
            <w:tcW w:w="1240" w:type="pct"/>
          </w:tcPr>
          <w:p w14:paraId="6AFB629F" w14:textId="449F1210" w:rsidR="00600262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6B8D09D2" w14:textId="7053540C" w:rsidR="00960A78" w:rsidRPr="00960A78" w:rsidRDefault="00960A78" w:rsidP="00294C0C">
            <w:pPr>
              <w:spacing w:before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7090FAB0" w14:textId="1781E07C" w:rsidR="00600262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logarithmic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</w:p>
          <w:p w14:paraId="1CBEBBEC" w14:textId="299903FF" w:rsidR="00960A78" w:rsidRDefault="00960A78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should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0B1A89" w14:paraId="1EB3F1FE" w14:textId="77777777" w:rsidTr="00294C0C">
        <w:trPr>
          <w:cantSplit/>
        </w:trPr>
        <w:tc>
          <w:tcPr>
            <w:tcW w:w="740" w:type="pct"/>
          </w:tcPr>
          <w:p w14:paraId="0A674C63" w14:textId="5E379EAD" w:rsidR="000B1A89" w:rsidRDefault="000B1A89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Build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models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relationship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between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quantities</w:t>
            </w:r>
          </w:p>
        </w:tc>
        <w:tc>
          <w:tcPr>
            <w:tcW w:w="419" w:type="pct"/>
          </w:tcPr>
          <w:p w14:paraId="37EA316E" w14:textId="5D786096" w:rsidR="000B1A89" w:rsidRDefault="000B1A89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F.IF.C.7b</w:t>
            </w:r>
          </w:p>
        </w:tc>
        <w:tc>
          <w:tcPr>
            <w:tcW w:w="1363" w:type="pct"/>
          </w:tcPr>
          <w:p w14:paraId="249E3A3D" w14:textId="5ADABCB6" w:rsidR="000B1A89" w:rsidRPr="00960A78" w:rsidRDefault="000B1A89" w:rsidP="00294C0C">
            <w:pPr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Graph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expressed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symbolically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show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key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features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graph,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by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hand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simple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cases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using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technology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for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complicated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cases.</w:t>
            </w:r>
            <w:r w:rsidR="0015136D">
              <w:rPr>
                <w:noProof/>
              </w:rPr>
              <w:t xml:space="preserve"> </w:t>
            </w:r>
            <w:r w:rsidR="0015136D">
              <w:rPr>
                <w:noProof/>
              </w:rPr>
              <w:drawing>
                <wp:inline distT="0" distB="0" distL="0" distR="0" wp14:anchorId="156B9D06" wp14:editId="5C73A055">
                  <wp:extent cx="137160" cy="137160"/>
                  <wp:effectExtent l="0" t="0" r="0" b="0"/>
                  <wp:docPr id="1745957148" name="Picture 5" descr="modeling standa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</w:p>
          <w:p w14:paraId="2E771D08" w14:textId="7F01A2A3" w:rsidR="000B1A89" w:rsidRPr="00BD6558" w:rsidRDefault="000B1A89" w:rsidP="00446008">
            <w:pPr>
              <w:pStyle w:val="ListParagraph"/>
              <w:numPr>
                <w:ilvl w:val="0"/>
                <w:numId w:val="8"/>
              </w:numPr>
              <w:spacing w:line="240" w:lineRule="auto"/>
              <w:ind w:left="504"/>
              <w:rPr>
                <w:rFonts w:eastAsia="Times New Roman"/>
                <w:color w:val="000000" w:themeColor="text1"/>
              </w:rPr>
            </w:pPr>
            <w:r w:rsidRPr="00BD6558">
              <w:rPr>
                <w:rFonts w:eastAsia="Times New Roman"/>
                <w:color w:val="000000" w:themeColor="text1"/>
              </w:rPr>
              <w:t>Graph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square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root,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cube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root,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and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piecewise-defined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functions,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including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step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functions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and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absolute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value</w:t>
            </w:r>
            <w:r w:rsidR="003C5E5D" w:rsidRPr="00BD6558">
              <w:rPr>
                <w:rFonts w:eastAsia="Times New Roman"/>
                <w:color w:val="000000" w:themeColor="text1"/>
              </w:rPr>
              <w:t xml:space="preserve"> </w:t>
            </w:r>
            <w:r w:rsidRPr="00BD6558">
              <w:rPr>
                <w:rFonts w:eastAsia="Times New Roman"/>
                <w:color w:val="000000" w:themeColor="text1"/>
              </w:rPr>
              <w:t>functions.</w:t>
            </w:r>
          </w:p>
        </w:tc>
        <w:tc>
          <w:tcPr>
            <w:tcW w:w="1240" w:type="pct"/>
          </w:tcPr>
          <w:p w14:paraId="2AA18E1B" w14:textId="0AA5B670" w:rsidR="000B1A89" w:rsidRDefault="000B1A89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piecewise-defined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step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absolute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value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  <w:tc>
          <w:tcPr>
            <w:tcW w:w="1238" w:type="pct"/>
          </w:tcPr>
          <w:p w14:paraId="12D55F41" w14:textId="0EE3D66B" w:rsidR="000B1A89" w:rsidRDefault="000B1A89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square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root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cube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root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</w:tr>
      <w:tr w:rsidR="00960A78" w14:paraId="07819BBA" w14:textId="77777777" w:rsidTr="00294C0C">
        <w:trPr>
          <w:cantSplit/>
        </w:trPr>
        <w:tc>
          <w:tcPr>
            <w:tcW w:w="740" w:type="pct"/>
          </w:tcPr>
          <w:p w14:paraId="55BC46E1" w14:textId="50371D23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Build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models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relationship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between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quantities</w:t>
            </w:r>
          </w:p>
        </w:tc>
        <w:tc>
          <w:tcPr>
            <w:tcW w:w="419" w:type="pct"/>
          </w:tcPr>
          <w:p w14:paraId="32F807F8" w14:textId="2216B75C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F.IF.C.7e</w:t>
            </w:r>
          </w:p>
        </w:tc>
        <w:tc>
          <w:tcPr>
            <w:tcW w:w="1363" w:type="pct"/>
          </w:tcPr>
          <w:p w14:paraId="149D1E7D" w14:textId="018827CD" w:rsidR="00960A78" w:rsidRPr="00960A78" w:rsidRDefault="00960A78" w:rsidP="00294C0C">
            <w:pPr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Graph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expressed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symbolically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show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key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features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graph,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by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hand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simple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cases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using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technology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for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complicated</w:t>
            </w:r>
            <w:r w:rsidR="003C5E5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>cases.</w:t>
            </w:r>
            <w:r w:rsidR="0015136D"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  <w:t xml:space="preserve"> </w:t>
            </w:r>
            <w:r w:rsidR="0015136D">
              <w:rPr>
                <w:noProof/>
              </w:rPr>
              <w:drawing>
                <wp:inline distT="0" distB="0" distL="0" distR="0" wp14:anchorId="5F6B9D3E" wp14:editId="3E7C2F16">
                  <wp:extent cx="137160" cy="137160"/>
                  <wp:effectExtent l="0" t="0" r="0" b="0"/>
                  <wp:docPr id="146013433" name="Picture 5" descr="modeling standa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05693F3" w14:textId="0FC41953" w:rsidR="00960A78" w:rsidRPr="00446008" w:rsidRDefault="00960A78" w:rsidP="00446008">
            <w:pPr>
              <w:pStyle w:val="ListParagraph"/>
              <w:numPr>
                <w:ilvl w:val="0"/>
                <w:numId w:val="9"/>
              </w:numPr>
              <w:spacing w:line="240" w:lineRule="auto"/>
              <w:ind w:left="504"/>
              <w:contextualSpacing w:val="0"/>
              <w:rPr>
                <w:rFonts w:eastAsia="Times New Roman"/>
                <w:color w:val="000000" w:themeColor="text1"/>
              </w:rPr>
            </w:pPr>
            <w:r w:rsidRPr="00446008">
              <w:rPr>
                <w:rFonts w:eastAsia="Times New Roman"/>
                <w:color w:val="000000" w:themeColor="text1"/>
              </w:rPr>
              <w:t>Graph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exponential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and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logarithmic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functions,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showing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intercepts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and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end</w:t>
            </w:r>
            <w:r w:rsidR="003C5E5D" w:rsidRPr="00446008">
              <w:rPr>
                <w:rFonts w:eastAsia="Times New Roman"/>
                <w:color w:val="000000" w:themeColor="text1"/>
              </w:rPr>
              <w:t xml:space="preserve"> </w:t>
            </w:r>
            <w:r w:rsidRPr="00446008">
              <w:rPr>
                <w:rFonts w:eastAsia="Times New Roman"/>
                <w:color w:val="000000" w:themeColor="text1"/>
              </w:rPr>
              <w:t>behavior.</w:t>
            </w:r>
          </w:p>
        </w:tc>
        <w:tc>
          <w:tcPr>
            <w:tcW w:w="1240" w:type="pct"/>
          </w:tcPr>
          <w:p w14:paraId="4476CFD5" w14:textId="007B7171" w:rsidR="00960A78" w:rsidRP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integer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exponents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</w:tc>
        <w:tc>
          <w:tcPr>
            <w:tcW w:w="1238" w:type="pct"/>
          </w:tcPr>
          <w:p w14:paraId="1D0FF047" w14:textId="54EAB388" w:rsidR="00960A78" w:rsidRDefault="00960A78" w:rsidP="00294C0C">
            <w:pPr>
              <w:spacing w:before="60" w:after="6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rational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960A78">
              <w:rPr>
                <w:rFonts w:ascii="Cambria" w:hAnsi="Cambria"/>
                <w:color w:val="000000" w:themeColor="text1"/>
                <w:sz w:val="22"/>
                <w:szCs w:val="22"/>
              </w:rPr>
              <w:t>exponents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logarithmic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</w:tr>
      <w:tr w:rsidR="00600262" w14:paraId="02AD09EA" w14:textId="77777777" w:rsidTr="00294C0C">
        <w:trPr>
          <w:cantSplit/>
        </w:trPr>
        <w:tc>
          <w:tcPr>
            <w:tcW w:w="740" w:type="pct"/>
          </w:tcPr>
          <w:p w14:paraId="36946041" w14:textId="059899A2" w:rsidR="00600262" w:rsidRDefault="00600262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Analyze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using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different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representations</w:t>
            </w:r>
          </w:p>
        </w:tc>
        <w:tc>
          <w:tcPr>
            <w:tcW w:w="419" w:type="pct"/>
          </w:tcPr>
          <w:p w14:paraId="753D61DF" w14:textId="414FF63E" w:rsidR="00600262" w:rsidRPr="00960A78" w:rsidRDefault="00600262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 w:rsidRPr="00960A78">
              <w:rPr>
                <w:rFonts w:ascii="Cambria" w:eastAsia="Times New Roman" w:hAnsi="Cambria"/>
                <w:caps/>
                <w:sz w:val="22"/>
                <w:szCs w:val="22"/>
              </w:rPr>
              <w:t>F.IF.C.9</w:t>
            </w:r>
          </w:p>
        </w:tc>
        <w:tc>
          <w:tcPr>
            <w:tcW w:w="1363" w:type="pct"/>
          </w:tcPr>
          <w:p w14:paraId="4EE0940F" w14:textId="3251F7D7" w:rsidR="00600262" w:rsidRPr="00960A78" w:rsidRDefault="00600262" w:rsidP="00294C0C">
            <w:pPr>
              <w:spacing w:before="60" w:after="60"/>
              <w:rPr>
                <w:rFonts w:ascii="Cambria" w:eastAsia="Times New Roman" w:hAnsi="Cambria"/>
                <w:color w:val="000000" w:themeColor="text1"/>
                <w:sz w:val="22"/>
                <w:szCs w:val="22"/>
              </w:rPr>
            </w:pP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Compare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properties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two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functions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each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represented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in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a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different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way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(algebraically,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graphically,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numerically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in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tables,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or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by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verbal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202020"/>
                <w:sz w:val="22"/>
                <w:szCs w:val="22"/>
              </w:rPr>
              <w:t>description</w:t>
            </w:r>
            <w:r w:rsidRPr="00960A78">
              <w:rPr>
                <w:rFonts w:ascii="Cambria" w:eastAsia="Times New Roman" w:hAnsi="Cambria"/>
                <w:sz w:val="22"/>
                <w:szCs w:val="22"/>
              </w:rPr>
              <w:t>s).</w:t>
            </w:r>
            <w:r w:rsidR="003C5E5D">
              <w:rPr>
                <w:rStyle w:val="apple-converted-space"/>
                <w:rFonts w:ascii="Cambria" w:eastAsia="Times New Roman" w:hAnsi="Cambria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For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example,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given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a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graph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of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one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quadratic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function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and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an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algebraic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expression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for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another,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say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which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has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the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larger</w:t>
            </w:r>
            <w:r w:rsidR="003C5E5D">
              <w:rPr>
                <w:rFonts w:ascii="Cambria" w:eastAsia="Times New Roman" w:hAnsi="Cambria"/>
                <w:color w:val="0070C0"/>
                <w:sz w:val="22"/>
                <w:szCs w:val="22"/>
              </w:rPr>
              <w:t xml:space="preserve"> </w:t>
            </w:r>
            <w:r w:rsidRPr="00960A78">
              <w:rPr>
                <w:rFonts w:ascii="Cambria" w:eastAsia="Times New Roman" w:hAnsi="Cambria"/>
                <w:color w:val="0070C0"/>
                <w:sz w:val="22"/>
                <w:szCs w:val="22"/>
              </w:rPr>
              <w:t>maximum.</w:t>
            </w:r>
          </w:p>
        </w:tc>
        <w:tc>
          <w:tcPr>
            <w:tcW w:w="1240" w:type="pct"/>
          </w:tcPr>
          <w:p w14:paraId="189CDA98" w14:textId="012E9E8F" w:rsidR="00600262" w:rsidRPr="00960A78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</w:tc>
        <w:tc>
          <w:tcPr>
            <w:tcW w:w="1238" w:type="pct"/>
          </w:tcPr>
          <w:p w14:paraId="547AB636" w14:textId="0AD7FDF0" w:rsidR="00600262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logarithmic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</w:tr>
      <w:tr w:rsidR="00600262" w14:paraId="0565A687" w14:textId="77777777" w:rsidTr="00294C0C">
        <w:trPr>
          <w:cantSplit/>
        </w:trPr>
        <w:tc>
          <w:tcPr>
            <w:tcW w:w="740" w:type="pct"/>
          </w:tcPr>
          <w:p w14:paraId="7A2ED00C" w14:textId="5714C241" w:rsidR="00600262" w:rsidRDefault="00600262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Build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that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models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relationship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between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quantities</w:t>
            </w:r>
          </w:p>
        </w:tc>
        <w:tc>
          <w:tcPr>
            <w:tcW w:w="419" w:type="pct"/>
          </w:tcPr>
          <w:p w14:paraId="70F05750" w14:textId="1C26B25C" w:rsidR="00600262" w:rsidRPr="00960A78" w:rsidRDefault="00600262" w:rsidP="00294C0C">
            <w:pPr>
              <w:spacing w:before="60" w:after="60"/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sz w:val="22"/>
                <w:szCs w:val="22"/>
              </w:rPr>
              <w:t>F.BF.A.1a</w:t>
            </w:r>
          </w:p>
        </w:tc>
        <w:tc>
          <w:tcPr>
            <w:tcW w:w="1363" w:type="pct"/>
          </w:tcPr>
          <w:p w14:paraId="1C051F0E" w14:textId="595F6B13" w:rsidR="00600262" w:rsidRPr="003D5845" w:rsidRDefault="00600262" w:rsidP="00294C0C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3D5845">
              <w:rPr>
                <w:rFonts w:ascii="Cambria" w:hAnsi="Cambria" w:cs="Times New Roman"/>
                <w:sz w:val="22"/>
                <w:szCs w:val="22"/>
              </w:rPr>
              <w:t>Write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function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that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describes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relationship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between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two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quantities.</w:t>
            </w:r>
            <w:r w:rsidR="003C5E5D">
              <w:rPr>
                <w:rFonts w:ascii="Cambria" w:hAnsi="Cambria"/>
                <w:noProof/>
                <w:sz w:val="22"/>
                <w:szCs w:val="22"/>
              </w:rPr>
              <w:t xml:space="preserve"> </w:t>
            </w:r>
            <w:r w:rsidR="0015136D">
              <w:rPr>
                <w:noProof/>
              </w:rPr>
              <w:drawing>
                <wp:inline distT="0" distB="0" distL="0" distR="0" wp14:anchorId="3C9B96FD" wp14:editId="37FC2EA5">
                  <wp:extent cx="137160" cy="137160"/>
                  <wp:effectExtent l="0" t="0" r="0" b="0"/>
                  <wp:docPr id="1275351554" name="Picture 5" descr="modeling standard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star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160" cy="1371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F529B1D" w14:textId="4AA93607" w:rsidR="00600262" w:rsidRPr="00446008" w:rsidRDefault="00600262" w:rsidP="00446008">
            <w:pPr>
              <w:pStyle w:val="ListParagraph"/>
              <w:numPr>
                <w:ilvl w:val="0"/>
                <w:numId w:val="10"/>
              </w:numPr>
              <w:spacing w:line="240" w:lineRule="auto"/>
              <w:ind w:left="504"/>
              <w:rPr>
                <w:rFonts w:cs="Times New Roman"/>
              </w:rPr>
            </w:pPr>
            <w:r w:rsidRPr="00446008">
              <w:rPr>
                <w:rFonts w:cs="Times New Roman"/>
              </w:rPr>
              <w:t>Determine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an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explicit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expression,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a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recursive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process,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or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steps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for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calculation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from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a</w:t>
            </w:r>
            <w:r w:rsidR="003C5E5D" w:rsidRPr="00446008">
              <w:rPr>
                <w:rFonts w:cs="Times New Roman"/>
              </w:rPr>
              <w:t xml:space="preserve"> </w:t>
            </w:r>
            <w:r w:rsidRPr="00446008">
              <w:rPr>
                <w:rFonts w:cs="Times New Roman"/>
              </w:rPr>
              <w:t>context.</w:t>
            </w:r>
          </w:p>
        </w:tc>
        <w:tc>
          <w:tcPr>
            <w:tcW w:w="1240" w:type="pct"/>
          </w:tcPr>
          <w:p w14:paraId="03E057D8" w14:textId="6B7F57C9" w:rsidR="00600262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  <w:p w14:paraId="5A525EA8" w14:textId="122486FA" w:rsidR="00600262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notation.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subscript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notation.</w:t>
            </w:r>
          </w:p>
          <w:p w14:paraId="2F157589" w14:textId="23F4640B" w:rsidR="00600262" w:rsidRPr="00960A78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</w:t>
            </w:r>
          </w:p>
        </w:tc>
        <w:tc>
          <w:tcPr>
            <w:tcW w:w="1238" w:type="pct"/>
          </w:tcPr>
          <w:p w14:paraId="06B3822B" w14:textId="0DDE2103" w:rsidR="00600262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logarithmic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  <w:p w14:paraId="0E4BEC54" w14:textId="1F7A7407" w:rsidR="00600262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may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subscript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notation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.</w:t>
            </w:r>
          </w:p>
          <w:p w14:paraId="654AE5FA" w14:textId="4BD21A66" w:rsidR="00600262" w:rsidRDefault="00600262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960A78" w14:paraId="7FCD59C2" w14:textId="77777777" w:rsidTr="00294C0C">
        <w:trPr>
          <w:cantSplit/>
          <w:trHeight w:val="2989"/>
        </w:trPr>
        <w:tc>
          <w:tcPr>
            <w:tcW w:w="740" w:type="pct"/>
          </w:tcPr>
          <w:p w14:paraId="40C44DE4" w14:textId="25694FE2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Build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new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from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existing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functions</w:t>
            </w:r>
          </w:p>
        </w:tc>
        <w:tc>
          <w:tcPr>
            <w:tcW w:w="419" w:type="pct"/>
          </w:tcPr>
          <w:p w14:paraId="45ED0D2D" w14:textId="128191A7" w:rsidR="00960A78" w:rsidRPr="00960A78" w:rsidRDefault="00960A78" w:rsidP="00294C0C">
            <w:pPr>
              <w:spacing w:before="60" w:after="60"/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F.BF.B.3</w:t>
            </w:r>
          </w:p>
        </w:tc>
        <w:tc>
          <w:tcPr>
            <w:tcW w:w="1363" w:type="pct"/>
          </w:tcPr>
          <w:p w14:paraId="321F6006" w14:textId="58277576" w:rsidR="00960A78" w:rsidRPr="003D5845" w:rsidRDefault="003D5845" w:rsidP="00294C0C">
            <w:pPr>
              <w:autoSpaceDE w:val="0"/>
              <w:autoSpaceDN w:val="0"/>
              <w:adjustRightInd w:val="0"/>
              <w:spacing w:after="60"/>
              <w:rPr>
                <w:rFonts w:ascii="Cambria" w:hAnsi="Cambria"/>
                <w:sz w:val="22"/>
                <w:szCs w:val="22"/>
              </w:rPr>
            </w:pPr>
            <w:r w:rsidRPr="003D5845">
              <w:rPr>
                <w:rFonts w:ascii="Cambria" w:eastAsia="Times New Roman" w:hAnsi="Cambria"/>
                <w:color w:val="202020"/>
                <w:sz w:val="22"/>
                <w:szCs w:val="22"/>
              </w:rPr>
              <w:t>Identify</w:t>
            </w:r>
            <w:r w:rsidR="003C5E5D">
              <w:rPr>
                <w:rFonts w:ascii="Cambria" w:eastAsia="Times New Roman" w:hAnsi="Cambria"/>
                <w:color w:val="202020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effect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graph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replacing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499" w:dyaOrig="300" w14:anchorId="2DFF2FAE">
                <v:shape id="_x0000_i1042" type="#_x0000_t75" style="width:21.75pt;height:14.25pt" o:ole="">
                  <v:imagedata r:id="rId43" o:title=""/>
                </v:shape>
                <o:OLEObject Type="Embed" ProgID="Equation.DSMT4" ShapeID="_x0000_i1042" DrawAspect="Content" ObjectID="_1766403199" r:id="rId44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by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820" w:dyaOrig="300" w14:anchorId="31D4E2D4">
                <v:shape id="_x0000_i1043" type="#_x0000_t75" style="width:42.75pt;height:14.25pt" o:ole="">
                  <v:imagedata r:id="rId45" o:title=""/>
                </v:shape>
                <o:OLEObject Type="Embed" ProgID="Equation.DSMT4" ShapeID="_x0000_i1043" DrawAspect="Content" ObjectID="_1766403200" r:id="rId46"/>
              </w:objec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560" w:dyaOrig="300" w14:anchorId="4F0EB6D5">
                <v:shape id="_x0000_i1044" type="#_x0000_t75" style="width:29.25pt;height:14.25pt" o:ole="">
                  <v:imagedata r:id="rId47" o:title=""/>
                </v:shape>
                <o:OLEObject Type="Embed" ProgID="Equation.DSMT4" ShapeID="_x0000_i1044" DrawAspect="Content" ObjectID="_1766403201" r:id="rId48"/>
              </w:objec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580" w:dyaOrig="300" w14:anchorId="0288DEBA">
                <v:shape id="_x0000_i1045" type="#_x0000_t75" style="width:29.25pt;height:14.25pt" o:ole="">
                  <v:imagedata r:id="rId49" o:title=""/>
                </v:shape>
                <o:OLEObject Type="Embed" ProgID="Equation.DSMT4" ShapeID="_x0000_i1045" DrawAspect="Content" ObjectID="_1766403202" r:id="rId50"/>
              </w:objec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820" w:dyaOrig="300" w14:anchorId="57D534C6">
                <v:shape id="_x0000_i1046" type="#_x0000_t75" style="width:42.75pt;height:14.25pt" o:ole="">
                  <v:imagedata r:id="rId51" o:title=""/>
                </v:shape>
                <o:OLEObject Type="Embed" ProgID="Equation.DSMT4" ShapeID="_x0000_i1046" DrawAspect="Content" ObjectID="_1766403203" r:id="rId52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for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specific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values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Style w:val="mathEQN"/>
                <w:rFonts w:ascii="Cambria" w:hAnsi="Cambria"/>
                <w:i/>
                <w:iCs/>
                <w:sz w:val="22"/>
                <w:szCs w:val="22"/>
              </w:rPr>
              <w:t>k</w:t>
            </w:r>
            <w:r w:rsidR="003C5E5D">
              <w:rPr>
                <w:rFonts w:ascii="Cambria" w:hAnsi="Cambria" w:cs="Times New Roman"/>
                <w:i/>
                <w:iCs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(both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positive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negative);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find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value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i/>
                <w:iCs/>
                <w:sz w:val="22"/>
                <w:szCs w:val="22"/>
              </w:rPr>
              <w:t>k</w:t>
            </w:r>
            <w:r w:rsidR="003C5E5D">
              <w:rPr>
                <w:rFonts w:ascii="Cambria" w:hAnsi="Cambria" w:cs="Times New Roman"/>
                <w:i/>
                <w:iCs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given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graphs.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Experiment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with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cases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illustrate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explanation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effects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graph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using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technology.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Include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recognizing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even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and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odd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functions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from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their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graphs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and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algebraic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expressions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for</w:t>
            </w:r>
            <w:r w:rsidR="003C5E5D">
              <w:rPr>
                <w:rStyle w:val="MathExample"/>
                <w:szCs w:val="22"/>
              </w:rPr>
              <w:t xml:space="preserve"> </w:t>
            </w:r>
            <w:r w:rsidRPr="003D5845">
              <w:rPr>
                <w:rStyle w:val="MathExample"/>
                <w:szCs w:val="22"/>
              </w:rPr>
              <w:t>them</w:t>
            </w:r>
            <w:r w:rsidRPr="003D5845">
              <w:rPr>
                <w:rFonts w:ascii="Cambria" w:hAnsi="Cambria"/>
                <w:sz w:val="22"/>
                <w:szCs w:val="22"/>
              </w:rPr>
              <w:t>.</w:t>
            </w:r>
          </w:p>
        </w:tc>
        <w:tc>
          <w:tcPr>
            <w:tcW w:w="1240" w:type="pct"/>
          </w:tcPr>
          <w:p w14:paraId="15094D27" w14:textId="74D9C6E3" w:rsidR="00960A78" w:rsidRDefault="00351EDE" w:rsidP="00294C0C">
            <w:pPr>
              <w:spacing w:before="60" w:after="220"/>
              <w:rPr>
                <w:rFonts w:ascii="Cambria" w:hAnsi="Cambria" w:cs="Times New Roman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Identifying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effect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graph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replacing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499" w:dyaOrig="300" w14:anchorId="1C0D6390">
                <v:shape id="_x0000_i1047" type="#_x0000_t75" style="width:21.75pt;height:14.25pt" o:ole="">
                  <v:imagedata r:id="rId43" o:title=""/>
                </v:shape>
                <o:OLEObject Type="Embed" ProgID="Equation.DSMT4" ShapeID="_x0000_i1047" DrawAspect="Content" ObjectID="_1766403204" r:id="rId53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by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820" w:dyaOrig="300" w14:anchorId="48B15797">
                <v:shape id="_x0000_i1048" type="#_x0000_t75" style="width:42.75pt;height:14.25pt" o:ole="">
                  <v:imagedata r:id="rId45" o:title=""/>
                </v:shape>
                <o:OLEObject Type="Embed" ProgID="Equation.DSMT4" ShapeID="_x0000_i1048" DrawAspect="Content" ObjectID="_1766403205" r:id="rId54"/>
              </w:objec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560" w:dyaOrig="300" w14:anchorId="567A123F">
                <v:shape id="_x0000_i1049" type="#_x0000_t75" style="width:29.25pt;height:14.25pt" o:ole="">
                  <v:imagedata r:id="rId47" o:title=""/>
                </v:shape>
                <o:OLEObject Type="Embed" ProgID="Equation.DSMT4" ShapeID="_x0000_i1049" DrawAspect="Content" ObjectID="_1766403206" r:id="rId55"/>
              </w:objec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580" w:dyaOrig="300" w14:anchorId="241AE549">
                <v:shape id="_x0000_i1050" type="#_x0000_t75" style="width:29.25pt;height:14.25pt" o:ole="">
                  <v:imagedata r:id="rId49" o:title=""/>
                </v:shape>
                <o:OLEObject Type="Embed" ProgID="Equation.DSMT4" ShapeID="_x0000_i1050" DrawAspect="Content" ObjectID="_1766403207" r:id="rId56"/>
              </w:objec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/>
                <w:position w:val="-10"/>
                <w:sz w:val="22"/>
                <w:szCs w:val="22"/>
              </w:rPr>
              <w:object w:dxaOrig="820" w:dyaOrig="300" w14:anchorId="36DAF8A9">
                <v:shape id="_x0000_i1051" type="#_x0000_t75" style="width:42.75pt;height:14.25pt" o:ole="">
                  <v:imagedata r:id="rId51" o:title=""/>
                </v:shape>
                <o:OLEObject Type="Embed" ProgID="Equation.DSMT4" ShapeID="_x0000_i1051" DrawAspect="Content" ObjectID="_1766403208" r:id="rId57"/>
              </w:objec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for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specific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values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Style w:val="mathEQN"/>
                <w:rFonts w:ascii="Cambria" w:hAnsi="Cambria"/>
                <w:i/>
                <w:iCs/>
                <w:sz w:val="22"/>
                <w:szCs w:val="22"/>
              </w:rPr>
              <w:t>k</w:t>
            </w:r>
            <w:r w:rsidR="003C5E5D">
              <w:rPr>
                <w:rFonts w:ascii="Cambria" w:hAnsi="Cambria" w:cs="Times New Roman"/>
                <w:i/>
                <w:iCs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(both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positive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negative)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is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limited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to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linear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quadratic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>
              <w:rPr>
                <w:rFonts w:ascii="Cambria" w:hAnsi="Cambria" w:cs="Times New Roman"/>
                <w:sz w:val="22"/>
                <w:szCs w:val="22"/>
              </w:rPr>
              <w:t>functions.</w:t>
            </w:r>
          </w:p>
          <w:p w14:paraId="28A17826" w14:textId="424AA7D0" w:rsidR="00351EDE" w:rsidRDefault="00351EDE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Experimenting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cases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illustrating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explanation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effects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graph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using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technology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78B39680" w14:textId="7380C600" w:rsidR="00351EDE" w:rsidRPr="00960A78" w:rsidRDefault="00351EDE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recognizing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even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odd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  <w:tc>
          <w:tcPr>
            <w:tcW w:w="1238" w:type="pct"/>
          </w:tcPr>
          <w:p w14:paraId="40FCBF77" w14:textId="55FB95B4" w:rsidR="00960A78" w:rsidRDefault="00351EDE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may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polynomial,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logarithmic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  <w:p w14:paraId="1CA1A1EA" w14:textId="29F33DC5" w:rsidR="00351EDE" w:rsidRDefault="00351EDE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may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recognizing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even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odd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</w:tc>
      </w:tr>
      <w:tr w:rsidR="00960A78" w14:paraId="20454218" w14:textId="77777777" w:rsidTr="00294C0C">
        <w:trPr>
          <w:cantSplit/>
        </w:trPr>
        <w:tc>
          <w:tcPr>
            <w:tcW w:w="740" w:type="pct"/>
          </w:tcPr>
          <w:p w14:paraId="15040E24" w14:textId="56750302" w:rsidR="00960A78" w:rsidRDefault="00960A78" w:rsidP="00294C0C">
            <w:pPr>
              <w:spacing w:before="60" w:after="60"/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Construct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compare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models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solve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problems</w:t>
            </w:r>
          </w:p>
        </w:tc>
        <w:tc>
          <w:tcPr>
            <w:tcW w:w="419" w:type="pct"/>
          </w:tcPr>
          <w:p w14:paraId="579F317A" w14:textId="70F6F2EE" w:rsidR="00960A78" w:rsidRPr="00960A78" w:rsidRDefault="00960A78" w:rsidP="00294C0C">
            <w:pPr>
              <w:spacing w:before="60" w:after="60"/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F.LE.A.2</w:t>
            </w:r>
          </w:p>
        </w:tc>
        <w:tc>
          <w:tcPr>
            <w:tcW w:w="1363" w:type="pct"/>
          </w:tcPr>
          <w:p w14:paraId="1139EA38" w14:textId="136E1173" w:rsidR="00960A78" w:rsidRPr="003D5845" w:rsidRDefault="003D5845" w:rsidP="00294C0C">
            <w:pPr>
              <w:autoSpaceDE w:val="0"/>
              <w:autoSpaceDN w:val="0"/>
              <w:adjustRightInd w:val="0"/>
              <w:spacing w:after="60"/>
              <w:rPr>
                <w:rFonts w:ascii="Cambria" w:hAnsi="Cambria" w:cs="Times New Roman"/>
                <w:sz w:val="22"/>
                <w:szCs w:val="22"/>
              </w:rPr>
            </w:pPr>
            <w:r w:rsidRPr="003D5845">
              <w:rPr>
                <w:rFonts w:ascii="Cambria" w:hAnsi="Cambria" w:cs="Times New Roman"/>
                <w:sz w:val="22"/>
                <w:szCs w:val="22"/>
              </w:rPr>
              <w:t>Construct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linear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exponential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functions,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including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arithmetic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geometric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sequences,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given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graph,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description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relationship,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two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input-output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pairs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(include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reading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these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from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table).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1240" w:type="pct"/>
          </w:tcPr>
          <w:p w14:paraId="087F3AA1" w14:textId="55B4223F" w:rsidR="00960A78" w:rsidRDefault="001D15A7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constructing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arithmetic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sequences,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functions.</w:t>
            </w:r>
          </w:p>
          <w:p w14:paraId="09E76DF0" w14:textId="144B7650" w:rsidR="001D15A7" w:rsidRDefault="001D15A7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75DB1219" w14:textId="4B7149EF" w:rsidR="001D15A7" w:rsidRPr="00960A78" w:rsidRDefault="001D15A7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use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subscript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notation.</w:t>
            </w:r>
          </w:p>
        </w:tc>
        <w:tc>
          <w:tcPr>
            <w:tcW w:w="1238" w:type="pct"/>
          </w:tcPr>
          <w:p w14:paraId="19AB9E4C" w14:textId="579B91CE" w:rsidR="00960A78" w:rsidRDefault="001D15A7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Constructing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linear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constructing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geometric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sequences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arithmetic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sequences.</w:t>
            </w:r>
          </w:p>
          <w:p w14:paraId="70524C47" w14:textId="4B92A2E9" w:rsidR="001D15A7" w:rsidRDefault="001D15A7" w:rsidP="00294C0C">
            <w:pPr>
              <w:spacing w:before="60"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may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involve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subscript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notation.</w:t>
            </w:r>
          </w:p>
        </w:tc>
      </w:tr>
      <w:tr w:rsidR="00960A78" w14:paraId="3C967367" w14:textId="77777777" w:rsidTr="00294C0C">
        <w:trPr>
          <w:cantSplit/>
        </w:trPr>
        <w:tc>
          <w:tcPr>
            <w:tcW w:w="740" w:type="pct"/>
          </w:tcPr>
          <w:p w14:paraId="605DD1B4" w14:textId="04508FAF" w:rsidR="00960A78" w:rsidRDefault="00960A78" w:rsidP="00294C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expressions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terms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of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situation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they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model</w:t>
            </w:r>
          </w:p>
        </w:tc>
        <w:tc>
          <w:tcPr>
            <w:tcW w:w="419" w:type="pct"/>
          </w:tcPr>
          <w:p w14:paraId="0A42DDC1" w14:textId="616CC424" w:rsidR="00960A78" w:rsidRPr="00960A78" w:rsidRDefault="00960A78" w:rsidP="00294C0C">
            <w:pPr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F.LE.B.5</w:t>
            </w:r>
          </w:p>
        </w:tc>
        <w:tc>
          <w:tcPr>
            <w:tcW w:w="1363" w:type="pct"/>
          </w:tcPr>
          <w:p w14:paraId="4241F627" w14:textId="62572A44" w:rsidR="00960A78" w:rsidRPr="00600262" w:rsidRDefault="003D5845" w:rsidP="00294C0C">
            <w:pPr>
              <w:rPr>
                <w:rFonts w:ascii="Cambria" w:eastAsia="Times New Roman" w:hAnsi="Cambria"/>
                <w:color w:val="202020"/>
                <w:sz w:val="22"/>
                <w:szCs w:val="22"/>
              </w:rPr>
            </w:pPr>
            <w:r w:rsidRPr="00600262">
              <w:rPr>
                <w:rFonts w:ascii="Cambria" w:hAnsi="Cambria" w:cs="Times New Roman"/>
                <w:sz w:val="22"/>
                <w:szCs w:val="22"/>
              </w:rPr>
              <w:t>Interpret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parameters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linear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exponential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function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terms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context.</w:t>
            </w:r>
          </w:p>
        </w:tc>
        <w:tc>
          <w:tcPr>
            <w:tcW w:w="1240" w:type="pct"/>
          </w:tcPr>
          <w:p w14:paraId="6D73D3C8" w14:textId="4D1C0560" w:rsidR="00960A78" w:rsidRDefault="001D15A7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778D031E" w14:textId="4668352B" w:rsidR="001D15A7" w:rsidRPr="00960A78" w:rsidRDefault="001D15A7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4172DD2A" w14:textId="5E72DA9D" w:rsidR="001D15A7" w:rsidRDefault="001D15A7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77BD84A4" w14:textId="066D0805" w:rsidR="00960A78" w:rsidRDefault="001D15A7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960A78" w14:paraId="710E5BF3" w14:textId="77777777" w:rsidTr="00294C0C">
        <w:trPr>
          <w:cantSplit/>
        </w:trPr>
        <w:tc>
          <w:tcPr>
            <w:tcW w:w="740" w:type="pct"/>
          </w:tcPr>
          <w:p w14:paraId="0E304CC3" w14:textId="2CD7EA06" w:rsidR="00960A78" w:rsidRDefault="00960A78" w:rsidP="00294C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Summarize,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represent,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single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count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measurement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variable</w:t>
            </w:r>
          </w:p>
        </w:tc>
        <w:tc>
          <w:tcPr>
            <w:tcW w:w="419" w:type="pct"/>
          </w:tcPr>
          <w:p w14:paraId="6DFD7D60" w14:textId="6AD0F072" w:rsidR="00960A78" w:rsidRDefault="00960A78" w:rsidP="00294C0C">
            <w:pPr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S.ID.A.1</w:t>
            </w:r>
          </w:p>
        </w:tc>
        <w:tc>
          <w:tcPr>
            <w:tcW w:w="1363" w:type="pct"/>
          </w:tcPr>
          <w:p w14:paraId="30BFAFFB" w14:textId="7E746124" w:rsidR="00960A78" w:rsidRPr="00600262" w:rsidRDefault="003D5845" w:rsidP="00294C0C">
            <w:pPr>
              <w:rPr>
                <w:rFonts w:ascii="Cambria" w:eastAsia="Times New Roman" w:hAnsi="Cambria"/>
                <w:color w:val="202020"/>
                <w:sz w:val="22"/>
                <w:szCs w:val="22"/>
              </w:rPr>
            </w:pPr>
            <w:r w:rsidRPr="00600262">
              <w:rPr>
                <w:rFonts w:ascii="Cambria" w:hAnsi="Cambria" w:cs="Times New Roman"/>
                <w:sz w:val="22"/>
                <w:szCs w:val="22"/>
              </w:rPr>
              <w:t>Represent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with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plots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real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number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line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(dot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plots,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histograms,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box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plots).</w:t>
            </w:r>
          </w:p>
        </w:tc>
        <w:tc>
          <w:tcPr>
            <w:tcW w:w="1240" w:type="pct"/>
          </w:tcPr>
          <w:p w14:paraId="3C98C702" w14:textId="023486D6" w:rsidR="00960A78" w:rsidRDefault="00283B59" w:rsidP="00294C0C">
            <w:pPr>
              <w:spacing w:after="2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different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sets.</w:t>
            </w:r>
          </w:p>
          <w:p w14:paraId="44CEFD6F" w14:textId="1179EA13" w:rsidR="00283B59" w:rsidRPr="00960A78" w:rsidRDefault="00283B59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4B4DF8C7" w14:textId="5E19720A" w:rsidR="00960A78" w:rsidRDefault="00283B59" w:rsidP="00294C0C">
            <w:pPr>
              <w:spacing w:after="2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sets.</w:t>
            </w:r>
          </w:p>
          <w:p w14:paraId="53DD6F94" w14:textId="7B89E72D" w:rsidR="00283B59" w:rsidRDefault="00283B59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283B59" w14:paraId="1C7280BD" w14:textId="77777777" w:rsidTr="00294C0C">
        <w:trPr>
          <w:cantSplit/>
        </w:trPr>
        <w:tc>
          <w:tcPr>
            <w:tcW w:w="740" w:type="pct"/>
          </w:tcPr>
          <w:p w14:paraId="4FEAD249" w14:textId="64B993CB" w:rsidR="00283B59" w:rsidRDefault="00283B59" w:rsidP="00294C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Summarize,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represent,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single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count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measurement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variable</w:t>
            </w:r>
          </w:p>
        </w:tc>
        <w:tc>
          <w:tcPr>
            <w:tcW w:w="419" w:type="pct"/>
          </w:tcPr>
          <w:p w14:paraId="7E921A6D" w14:textId="6818C95E" w:rsidR="00283B59" w:rsidRDefault="00283B59" w:rsidP="00294C0C">
            <w:pPr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S.ID.A.2</w:t>
            </w:r>
          </w:p>
        </w:tc>
        <w:tc>
          <w:tcPr>
            <w:tcW w:w="1363" w:type="pct"/>
          </w:tcPr>
          <w:p w14:paraId="460CB49E" w14:textId="2F4EF585" w:rsidR="00283B59" w:rsidRPr="00600262" w:rsidRDefault="00283B59" w:rsidP="00294C0C">
            <w:pPr>
              <w:rPr>
                <w:rFonts w:ascii="Cambria" w:eastAsia="Times New Roman" w:hAnsi="Cambria"/>
                <w:color w:val="202020"/>
                <w:sz w:val="22"/>
                <w:szCs w:val="22"/>
              </w:rPr>
            </w:pPr>
            <w:r w:rsidRPr="00600262">
              <w:rPr>
                <w:rFonts w:ascii="Cambria" w:hAnsi="Cambria" w:cs="Times New Roman"/>
                <w:sz w:val="22"/>
                <w:szCs w:val="22"/>
              </w:rPr>
              <w:t>Use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statistics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appropriate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shape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distribution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compare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center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(median,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mean)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spread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(interquartile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range,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standard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deviation)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two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more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different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sets</w:t>
            </w:r>
          </w:p>
        </w:tc>
        <w:tc>
          <w:tcPr>
            <w:tcW w:w="1240" w:type="pct"/>
          </w:tcPr>
          <w:p w14:paraId="47C143D0" w14:textId="1C608B02" w:rsidR="00283B59" w:rsidRDefault="00283B59" w:rsidP="00294C0C">
            <w:pPr>
              <w:spacing w:after="2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different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sets.</w:t>
            </w:r>
          </w:p>
          <w:p w14:paraId="7079F653" w14:textId="29DA7509" w:rsidR="00283B59" w:rsidRPr="00960A78" w:rsidRDefault="00283B59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3C746F30" w14:textId="78BC6D8E" w:rsidR="00283B59" w:rsidRDefault="00283B59" w:rsidP="00294C0C">
            <w:pPr>
              <w:spacing w:after="2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sets.</w:t>
            </w:r>
          </w:p>
          <w:p w14:paraId="11EBC1B2" w14:textId="7431129D" w:rsidR="00283B59" w:rsidRDefault="00283B59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283B59" w14:paraId="7EABD2A7" w14:textId="77777777" w:rsidTr="00294C0C">
        <w:trPr>
          <w:cantSplit/>
        </w:trPr>
        <w:tc>
          <w:tcPr>
            <w:tcW w:w="740" w:type="pct"/>
          </w:tcPr>
          <w:p w14:paraId="31D94245" w14:textId="56CBF697" w:rsidR="00283B59" w:rsidRDefault="00283B59" w:rsidP="00294C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Summarize,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represent,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single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count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measurement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variable</w:t>
            </w:r>
          </w:p>
        </w:tc>
        <w:tc>
          <w:tcPr>
            <w:tcW w:w="419" w:type="pct"/>
          </w:tcPr>
          <w:p w14:paraId="76D02150" w14:textId="3A899439" w:rsidR="00283B59" w:rsidRDefault="00283B59" w:rsidP="00294C0C">
            <w:pPr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S.ID.A.3</w:t>
            </w:r>
          </w:p>
        </w:tc>
        <w:tc>
          <w:tcPr>
            <w:tcW w:w="1363" w:type="pct"/>
          </w:tcPr>
          <w:p w14:paraId="299AE882" w14:textId="17624BE6" w:rsidR="00283B59" w:rsidRPr="00600262" w:rsidRDefault="00283B59" w:rsidP="00294C0C">
            <w:pPr>
              <w:autoSpaceDE w:val="0"/>
              <w:autoSpaceDN w:val="0"/>
              <w:adjustRightInd w:val="0"/>
              <w:rPr>
                <w:rFonts w:ascii="Cambria" w:eastAsiaTheme="minorEastAsia" w:hAnsi="Cambria" w:cs="Times New Roman"/>
                <w:sz w:val="22"/>
                <w:szCs w:val="22"/>
              </w:rPr>
            </w:pPr>
            <w:r w:rsidRPr="00600262">
              <w:rPr>
                <w:rFonts w:ascii="Cambria" w:hAnsi="Cambria" w:cs="Times New Roman"/>
                <w:sz w:val="22"/>
                <w:szCs w:val="22"/>
              </w:rPr>
              <w:t>Interpret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differences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shape,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center,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spread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in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context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sets,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accounting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for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possible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effects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of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extreme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points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600262">
              <w:rPr>
                <w:rFonts w:ascii="Cambria" w:hAnsi="Cambria" w:cs="Times New Roman"/>
                <w:sz w:val="22"/>
                <w:szCs w:val="22"/>
              </w:rPr>
              <w:t>(outliers).</w:t>
            </w:r>
          </w:p>
        </w:tc>
        <w:tc>
          <w:tcPr>
            <w:tcW w:w="1240" w:type="pct"/>
          </w:tcPr>
          <w:p w14:paraId="569112D8" w14:textId="7419E213" w:rsidR="00283B59" w:rsidRDefault="00283B59" w:rsidP="00294C0C">
            <w:pPr>
              <w:spacing w:after="2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different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sets.</w:t>
            </w:r>
          </w:p>
          <w:p w14:paraId="36D6932D" w14:textId="7C934B26" w:rsidR="00283B59" w:rsidRPr="00960A78" w:rsidRDefault="00283B59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076C03AC" w14:textId="7F51D000" w:rsidR="00283B59" w:rsidRDefault="00283B59" w:rsidP="00294C0C">
            <w:pPr>
              <w:spacing w:after="24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more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than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sets.</w:t>
            </w:r>
          </w:p>
          <w:p w14:paraId="60D8F7EB" w14:textId="5DA8B3FD" w:rsidR="00283B59" w:rsidRDefault="00283B59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1D15A7" w14:paraId="00C38A99" w14:textId="77777777" w:rsidTr="00294C0C">
        <w:trPr>
          <w:cantSplit/>
        </w:trPr>
        <w:tc>
          <w:tcPr>
            <w:tcW w:w="740" w:type="pct"/>
          </w:tcPr>
          <w:p w14:paraId="198F46AD" w14:textId="4F9C31B8" w:rsidR="001D15A7" w:rsidRDefault="001D15A7" w:rsidP="00294C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t>Summarize,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represent,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single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count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or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measurement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variable</w:t>
            </w:r>
          </w:p>
        </w:tc>
        <w:tc>
          <w:tcPr>
            <w:tcW w:w="419" w:type="pct"/>
          </w:tcPr>
          <w:p w14:paraId="2897191D" w14:textId="512A6653" w:rsidR="001D15A7" w:rsidRDefault="001D15A7" w:rsidP="00294C0C">
            <w:pPr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S.ID.B.</w:t>
            </w:r>
            <w:r>
              <w:rPr>
                <w:rFonts w:ascii="Cambria" w:eastAsia="Times New Roman" w:hAnsi="Cambria"/>
                <w:sz w:val="22"/>
                <w:szCs w:val="22"/>
              </w:rPr>
              <w:t>6a</w:t>
            </w:r>
          </w:p>
        </w:tc>
        <w:tc>
          <w:tcPr>
            <w:tcW w:w="1363" w:type="pct"/>
          </w:tcPr>
          <w:p w14:paraId="1C1E16AE" w14:textId="1A0C39CC" w:rsidR="001D15A7" w:rsidRPr="003D5845" w:rsidRDefault="001D15A7" w:rsidP="00294C0C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3D5845">
              <w:rPr>
                <w:rFonts w:ascii="Cambria" w:hAnsi="Cambria" w:cs="Times New Roman"/>
                <w:sz w:val="22"/>
                <w:szCs w:val="22"/>
              </w:rPr>
              <w:t>Represent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two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quantitative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variables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scatter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plot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describe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how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variables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related.</w:t>
            </w:r>
            <w:r w:rsidR="003C5E5D">
              <w:rPr>
                <w:rFonts w:ascii="Cambria" w:eastAsia="Cambria" w:hAnsi="Cambria" w:cs="Cambria"/>
                <w:noProof/>
                <w:sz w:val="22"/>
                <w:szCs w:val="22"/>
              </w:rPr>
              <w:t xml:space="preserve"> </w:t>
            </w:r>
          </w:p>
          <w:p w14:paraId="47AB4533" w14:textId="14EE6D1F" w:rsidR="001D15A7" w:rsidRPr="004A31F5" w:rsidRDefault="001D15A7" w:rsidP="004A31F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504"/>
              <w:rPr>
                <w:rFonts w:eastAsia="Times New Roman"/>
                <w:color w:val="202020"/>
              </w:rPr>
            </w:pPr>
            <w:r w:rsidRPr="004A31F5">
              <w:rPr>
                <w:rFonts w:cs="Times New Roman"/>
              </w:rPr>
              <w:t>Fit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function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to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data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(including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with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use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of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technology);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use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functions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fitted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to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data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to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solve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problems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in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context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of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data.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Use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given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functions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or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choose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function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suggested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by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context.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Emphasize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linear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and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exponential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models.</w:t>
            </w:r>
          </w:p>
        </w:tc>
        <w:tc>
          <w:tcPr>
            <w:tcW w:w="1240" w:type="pct"/>
          </w:tcPr>
          <w:p w14:paraId="06D70238" w14:textId="27FB76FD" w:rsidR="001D15A7" w:rsidRDefault="001D15A7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083EC448" w14:textId="428425C1" w:rsidR="00777CAF" w:rsidRDefault="00777CAF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included.</w:t>
            </w:r>
          </w:p>
          <w:p w14:paraId="108AA34D" w14:textId="0401295D" w:rsidR="001D15A7" w:rsidRPr="00960A78" w:rsidRDefault="001D15A7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2EE5DBCE" w14:textId="6D2C50CD" w:rsidR="001D15A7" w:rsidRDefault="00777CAF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77CAF">
              <w:rPr>
                <w:rFonts w:ascii="Cambria" w:hAnsi="Cambria"/>
                <w:color w:val="000000" w:themeColor="text1"/>
                <w:sz w:val="22"/>
                <w:szCs w:val="22"/>
              </w:rPr>
              <w:t>E</w:t>
            </w:r>
            <w:r w:rsidR="001D15A7" w:rsidRPr="00777CAF">
              <w:rPr>
                <w:rFonts w:ascii="Cambria" w:hAnsi="Cambria"/>
                <w:color w:val="000000" w:themeColor="text1"/>
                <w:sz w:val="22"/>
                <w:szCs w:val="22"/>
              </w:rPr>
              <w:t>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 w:rsidRPr="00777CAF"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="001D15A7"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31A7786C" w14:textId="174788C1" w:rsidR="001D15A7" w:rsidRDefault="001D15A7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  <w:tr w:rsidR="00777CAF" w14:paraId="33BC3FDB" w14:textId="77777777" w:rsidTr="00294C0C">
        <w:trPr>
          <w:cantSplit/>
        </w:trPr>
        <w:tc>
          <w:tcPr>
            <w:tcW w:w="740" w:type="pct"/>
          </w:tcPr>
          <w:p w14:paraId="40F6F3CA" w14:textId="52ED0184" w:rsidR="00777CAF" w:rsidRDefault="00777CAF" w:rsidP="00294C0C">
            <w:pPr>
              <w:rPr>
                <w:rFonts w:ascii="Cambria" w:hAnsi="Cambria"/>
                <w:sz w:val="22"/>
                <w:szCs w:val="22"/>
              </w:rPr>
            </w:pPr>
            <w:r>
              <w:rPr>
                <w:rFonts w:ascii="Cambria" w:hAnsi="Cambria"/>
                <w:sz w:val="22"/>
                <w:szCs w:val="22"/>
              </w:rPr>
              <w:lastRenderedPageBreak/>
              <w:t>Summarize,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represent,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interpret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data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on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two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categorical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and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quantitative</w:t>
            </w:r>
            <w:r w:rsidR="003C5E5D">
              <w:rPr>
                <w:rFonts w:ascii="Cambria" w:hAnsi="Cambria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sz w:val="22"/>
                <w:szCs w:val="22"/>
              </w:rPr>
              <w:t>variables</w:t>
            </w:r>
          </w:p>
        </w:tc>
        <w:tc>
          <w:tcPr>
            <w:tcW w:w="419" w:type="pct"/>
          </w:tcPr>
          <w:p w14:paraId="5CF3537D" w14:textId="006A6B64" w:rsidR="00777CAF" w:rsidRDefault="00777CAF" w:rsidP="00294C0C">
            <w:pPr>
              <w:rPr>
                <w:rFonts w:ascii="Cambria" w:eastAsia="Times New Roman" w:hAnsi="Cambria"/>
                <w:caps/>
                <w:sz w:val="22"/>
                <w:szCs w:val="22"/>
              </w:rPr>
            </w:pPr>
            <w:r>
              <w:rPr>
                <w:rFonts w:ascii="Cambria" w:eastAsia="Times New Roman" w:hAnsi="Cambria"/>
                <w:caps/>
                <w:sz w:val="22"/>
                <w:szCs w:val="22"/>
              </w:rPr>
              <w:t>S.ID.B.</w:t>
            </w:r>
            <w:r>
              <w:rPr>
                <w:rFonts w:ascii="Cambria" w:eastAsia="Times New Roman" w:hAnsi="Cambria"/>
                <w:sz w:val="22"/>
                <w:szCs w:val="22"/>
              </w:rPr>
              <w:t>6b</w:t>
            </w:r>
          </w:p>
        </w:tc>
        <w:tc>
          <w:tcPr>
            <w:tcW w:w="1363" w:type="pct"/>
          </w:tcPr>
          <w:p w14:paraId="7BC4685A" w14:textId="2B43110D" w:rsidR="00777CAF" w:rsidRPr="003D5845" w:rsidRDefault="00777CAF" w:rsidP="004A31F5">
            <w:pPr>
              <w:autoSpaceDE w:val="0"/>
              <w:autoSpaceDN w:val="0"/>
              <w:adjustRightInd w:val="0"/>
              <w:rPr>
                <w:rFonts w:ascii="Cambria" w:hAnsi="Cambria" w:cs="Times New Roman"/>
                <w:sz w:val="22"/>
                <w:szCs w:val="22"/>
              </w:rPr>
            </w:pPr>
            <w:r w:rsidRPr="003D5845">
              <w:rPr>
                <w:rFonts w:ascii="Cambria" w:hAnsi="Cambria" w:cs="Times New Roman"/>
                <w:sz w:val="22"/>
                <w:szCs w:val="22"/>
              </w:rPr>
              <w:t>Represent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data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two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quantitative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variables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on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scatter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plot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and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describe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how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the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variables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are</w:t>
            </w:r>
            <w:r w:rsidR="003C5E5D">
              <w:rPr>
                <w:rFonts w:ascii="Cambria" w:hAnsi="Cambria" w:cs="Times New Roman"/>
                <w:sz w:val="22"/>
                <w:szCs w:val="22"/>
              </w:rPr>
              <w:t xml:space="preserve"> </w:t>
            </w:r>
            <w:r w:rsidRPr="003D5845">
              <w:rPr>
                <w:rFonts w:ascii="Cambria" w:hAnsi="Cambria" w:cs="Times New Roman"/>
                <w:sz w:val="22"/>
                <w:szCs w:val="22"/>
              </w:rPr>
              <w:t>related.</w:t>
            </w:r>
            <w:r w:rsidR="003C5E5D">
              <w:rPr>
                <w:rFonts w:ascii="Cambria" w:eastAsia="Cambria" w:hAnsi="Cambria" w:cs="Cambria"/>
                <w:noProof/>
                <w:sz w:val="22"/>
                <w:szCs w:val="22"/>
              </w:rPr>
              <w:t xml:space="preserve"> </w:t>
            </w:r>
          </w:p>
          <w:p w14:paraId="7DD6CAB5" w14:textId="03292A78" w:rsidR="00777CAF" w:rsidRPr="004A31F5" w:rsidRDefault="00777CAF" w:rsidP="004A31F5">
            <w:pPr>
              <w:pStyle w:val="ListParagraph"/>
              <w:numPr>
                <w:ilvl w:val="0"/>
                <w:numId w:val="11"/>
              </w:numPr>
              <w:spacing w:line="240" w:lineRule="auto"/>
              <w:ind w:left="850"/>
              <w:rPr>
                <w:rFonts w:cs="Times New Roman"/>
              </w:rPr>
            </w:pPr>
            <w:r w:rsidRPr="004A31F5">
              <w:rPr>
                <w:rFonts w:cs="Times New Roman"/>
              </w:rPr>
              <w:t>Informally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assess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fit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of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function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by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plotting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and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analyzing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residuals,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including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with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the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use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of</w:t>
            </w:r>
            <w:r w:rsidR="003C5E5D" w:rsidRPr="004A31F5">
              <w:rPr>
                <w:rFonts w:cs="Times New Roman"/>
              </w:rPr>
              <w:t xml:space="preserve"> </w:t>
            </w:r>
            <w:r w:rsidRPr="004A31F5">
              <w:rPr>
                <w:rFonts w:cs="Times New Roman"/>
              </w:rPr>
              <w:t>technology.</w:t>
            </w:r>
          </w:p>
        </w:tc>
        <w:tc>
          <w:tcPr>
            <w:tcW w:w="1240" w:type="pct"/>
          </w:tcPr>
          <w:p w14:paraId="291B5AE3" w14:textId="14100DF0" w:rsidR="00777CAF" w:rsidRDefault="00777CAF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limited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to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197A83A5" w14:textId="6EF0E1D4" w:rsidR="00777CAF" w:rsidRDefault="00777CAF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Quadratic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are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included.</w:t>
            </w:r>
          </w:p>
          <w:p w14:paraId="342B7BF7" w14:textId="4BE49487" w:rsidR="00777CAF" w:rsidRPr="00960A78" w:rsidRDefault="00777CAF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  <w:tc>
          <w:tcPr>
            <w:tcW w:w="1238" w:type="pct"/>
          </w:tcPr>
          <w:p w14:paraId="374F8898" w14:textId="447E3A82" w:rsidR="00777CAF" w:rsidRDefault="00777CAF" w:rsidP="00294C0C">
            <w:pPr>
              <w:spacing w:after="220"/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 w:rsidRPr="00777CAF">
              <w:rPr>
                <w:rFonts w:ascii="Cambria" w:hAnsi="Cambria"/>
                <w:color w:val="000000" w:themeColor="text1"/>
                <w:sz w:val="22"/>
                <w:szCs w:val="22"/>
              </w:rPr>
              <w:t>Exponential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 w:rsidRPr="00777CAF">
              <w:rPr>
                <w:rFonts w:ascii="Cambria" w:hAnsi="Cambria"/>
                <w:color w:val="000000" w:themeColor="text1"/>
                <w:sz w:val="22"/>
                <w:szCs w:val="22"/>
              </w:rPr>
              <w:t>functions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include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those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with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domains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not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the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integers.</w:t>
            </w:r>
          </w:p>
          <w:p w14:paraId="033F701A" w14:textId="10849CC0" w:rsidR="00777CAF" w:rsidRDefault="00777CAF" w:rsidP="00294C0C">
            <w:pPr>
              <w:rPr>
                <w:rFonts w:ascii="Cambria" w:hAnsi="Cambria"/>
                <w:color w:val="000000" w:themeColor="text1"/>
                <w:sz w:val="22"/>
                <w:szCs w:val="22"/>
              </w:rPr>
            </w:pP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Tasks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have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a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real-world</w:t>
            </w:r>
            <w:r w:rsidR="003C5E5D">
              <w:rPr>
                <w:rFonts w:ascii="Cambria" w:hAnsi="Cambria"/>
                <w:color w:val="000000" w:themeColor="text1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color w:val="000000" w:themeColor="text1"/>
                <w:sz w:val="22"/>
                <w:szCs w:val="22"/>
              </w:rPr>
              <w:t>context.</w:t>
            </w:r>
          </w:p>
        </w:tc>
      </w:tr>
    </w:tbl>
    <w:p w14:paraId="220ECF2A" w14:textId="77777777" w:rsidR="00960A78" w:rsidRPr="00960A78" w:rsidRDefault="00960A78" w:rsidP="00960A78"/>
    <w:sectPr w:rsidR="00960A78" w:rsidRPr="00960A78" w:rsidSect="004031A1">
      <w:footerReference w:type="even" r:id="rId58"/>
      <w:footerReference w:type="default" r:id="rId59"/>
      <w:pgSz w:w="15840" w:h="12240" w:orient="landscape"/>
      <w:pgMar w:top="720" w:right="720" w:bottom="720" w:left="72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CED6B8" w14:textId="77777777" w:rsidR="004031A1" w:rsidRDefault="004031A1" w:rsidP="00960A78">
      <w:r>
        <w:separator/>
      </w:r>
    </w:p>
  </w:endnote>
  <w:endnote w:type="continuationSeparator" w:id="0">
    <w:p w14:paraId="2981B5EA" w14:textId="77777777" w:rsidR="004031A1" w:rsidRDefault="004031A1" w:rsidP="00960A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1367444319"/>
      <w:docPartObj>
        <w:docPartGallery w:val="Page Numbers (Bottom of Page)"/>
        <w:docPartUnique/>
      </w:docPartObj>
    </w:sdtPr>
    <w:sdtContent>
      <w:p w14:paraId="1BF15A5B" w14:textId="0EE5BBFA" w:rsidR="00960A78" w:rsidRDefault="00960A78" w:rsidP="001F7F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48C3D5E4" w14:textId="77777777" w:rsidR="00960A78" w:rsidRDefault="00960A78" w:rsidP="00960A7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-490024056"/>
      <w:docPartObj>
        <w:docPartGallery w:val="Page Numbers (Bottom of Page)"/>
        <w:docPartUnique/>
      </w:docPartObj>
    </w:sdtPr>
    <w:sdtContent>
      <w:p w14:paraId="155E4A0C" w14:textId="08F22F71" w:rsidR="00960A78" w:rsidRDefault="00960A78" w:rsidP="001F7F3D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1</w:t>
        </w:r>
        <w:r>
          <w:rPr>
            <w:rStyle w:val="PageNumber"/>
          </w:rPr>
          <w:fldChar w:fldCharType="end"/>
        </w:r>
      </w:p>
    </w:sdtContent>
  </w:sdt>
  <w:p w14:paraId="059A8EA0" w14:textId="77777777" w:rsidR="00960A78" w:rsidRDefault="00960A78" w:rsidP="00960A78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C861AB" w14:textId="77777777" w:rsidR="004031A1" w:rsidRDefault="004031A1" w:rsidP="00960A78">
      <w:r>
        <w:separator/>
      </w:r>
    </w:p>
  </w:footnote>
  <w:footnote w:type="continuationSeparator" w:id="0">
    <w:p w14:paraId="3788A7BD" w14:textId="77777777" w:rsidR="004031A1" w:rsidRDefault="004031A1" w:rsidP="00960A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B130A"/>
    <w:multiLevelType w:val="hybridMultilevel"/>
    <w:tmpl w:val="F428676E"/>
    <w:lvl w:ilvl="0" w:tplc="04090019">
      <w:start w:val="1"/>
      <w:numFmt w:val="lowerLetter"/>
      <w:lvlText w:val="%1."/>
      <w:lvlJc w:val="left"/>
      <w:pPr>
        <w:ind w:left="854" w:hanging="360"/>
      </w:p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1" w15:restartNumberingAfterBreak="0">
    <w:nsid w:val="03016CF6"/>
    <w:multiLevelType w:val="hybridMultilevel"/>
    <w:tmpl w:val="827AF3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E8CBFEC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73D44"/>
    <w:multiLevelType w:val="hybridMultilevel"/>
    <w:tmpl w:val="5C74556C"/>
    <w:lvl w:ilvl="0" w:tplc="0409000F">
      <w:start w:val="1"/>
      <w:numFmt w:val="decimal"/>
      <w:lvlText w:val="%1."/>
      <w:lvlJc w:val="left"/>
      <w:pPr>
        <w:ind w:left="907" w:hanging="360"/>
      </w:pPr>
    </w:lvl>
    <w:lvl w:ilvl="1" w:tplc="04090019">
      <w:start w:val="1"/>
      <w:numFmt w:val="lowerLetter"/>
      <w:lvlText w:val="%2."/>
      <w:lvlJc w:val="left"/>
      <w:pPr>
        <w:ind w:left="1627" w:hanging="360"/>
      </w:pPr>
    </w:lvl>
    <w:lvl w:ilvl="2" w:tplc="0409001B" w:tentative="1">
      <w:start w:val="1"/>
      <w:numFmt w:val="lowerRoman"/>
      <w:lvlText w:val="%3."/>
      <w:lvlJc w:val="right"/>
      <w:pPr>
        <w:ind w:left="2347" w:hanging="180"/>
      </w:pPr>
    </w:lvl>
    <w:lvl w:ilvl="3" w:tplc="0409000F" w:tentative="1">
      <w:start w:val="1"/>
      <w:numFmt w:val="decimal"/>
      <w:lvlText w:val="%4."/>
      <w:lvlJc w:val="left"/>
      <w:pPr>
        <w:ind w:left="3067" w:hanging="360"/>
      </w:pPr>
    </w:lvl>
    <w:lvl w:ilvl="4" w:tplc="04090019" w:tentative="1">
      <w:start w:val="1"/>
      <w:numFmt w:val="lowerLetter"/>
      <w:lvlText w:val="%5."/>
      <w:lvlJc w:val="left"/>
      <w:pPr>
        <w:ind w:left="3787" w:hanging="360"/>
      </w:pPr>
    </w:lvl>
    <w:lvl w:ilvl="5" w:tplc="0409001B" w:tentative="1">
      <w:start w:val="1"/>
      <w:numFmt w:val="lowerRoman"/>
      <w:lvlText w:val="%6."/>
      <w:lvlJc w:val="right"/>
      <w:pPr>
        <w:ind w:left="4507" w:hanging="180"/>
      </w:pPr>
    </w:lvl>
    <w:lvl w:ilvl="6" w:tplc="0409000F" w:tentative="1">
      <w:start w:val="1"/>
      <w:numFmt w:val="decimal"/>
      <w:lvlText w:val="%7."/>
      <w:lvlJc w:val="left"/>
      <w:pPr>
        <w:ind w:left="5227" w:hanging="360"/>
      </w:pPr>
    </w:lvl>
    <w:lvl w:ilvl="7" w:tplc="04090019" w:tentative="1">
      <w:start w:val="1"/>
      <w:numFmt w:val="lowerLetter"/>
      <w:lvlText w:val="%8."/>
      <w:lvlJc w:val="left"/>
      <w:pPr>
        <w:ind w:left="5947" w:hanging="360"/>
      </w:pPr>
    </w:lvl>
    <w:lvl w:ilvl="8" w:tplc="0409001B" w:tentative="1">
      <w:start w:val="1"/>
      <w:numFmt w:val="lowerRoman"/>
      <w:lvlText w:val="%9."/>
      <w:lvlJc w:val="right"/>
      <w:pPr>
        <w:ind w:left="6667" w:hanging="180"/>
      </w:pPr>
    </w:lvl>
  </w:abstractNum>
  <w:abstractNum w:abstractNumId="3" w15:restartNumberingAfterBreak="0">
    <w:nsid w:val="1C314C66"/>
    <w:multiLevelType w:val="hybridMultilevel"/>
    <w:tmpl w:val="7BA25C2E"/>
    <w:lvl w:ilvl="0" w:tplc="7A9AFCA8">
      <w:start w:val="3"/>
      <w:numFmt w:val="lowerLetter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 w15:restartNumberingAfterBreak="0">
    <w:nsid w:val="356821A8"/>
    <w:multiLevelType w:val="hybridMultilevel"/>
    <w:tmpl w:val="4BF8FC50"/>
    <w:lvl w:ilvl="0" w:tplc="3B3E16AE">
      <w:start w:val="2"/>
      <w:numFmt w:val="lowerLetter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5" w15:restartNumberingAfterBreak="0">
    <w:nsid w:val="4DD826B3"/>
    <w:multiLevelType w:val="hybridMultilevel"/>
    <w:tmpl w:val="A5229FC6"/>
    <w:lvl w:ilvl="0" w:tplc="04090017">
      <w:start w:val="1"/>
      <w:numFmt w:val="lowerLetter"/>
      <w:lvlText w:val="%1)"/>
      <w:lvlJc w:val="left"/>
      <w:pPr>
        <w:ind w:left="854" w:hanging="360"/>
      </w:p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6" w15:restartNumberingAfterBreak="0">
    <w:nsid w:val="575F1790"/>
    <w:multiLevelType w:val="hybridMultilevel"/>
    <w:tmpl w:val="DEFAE104"/>
    <w:lvl w:ilvl="0" w:tplc="509004C2">
      <w:start w:val="1"/>
      <w:numFmt w:val="decimal"/>
      <w:lvlText w:val="%1."/>
      <w:lvlJc w:val="left"/>
      <w:pPr>
        <w:ind w:left="720" w:hanging="360"/>
      </w:pPr>
      <w:rPr>
        <w:i w:val="0"/>
        <w:iCs w:val="0"/>
      </w:rPr>
    </w:lvl>
    <w:lvl w:ilvl="1" w:tplc="88103176">
      <w:start w:val="1"/>
      <w:numFmt w:val="lowerLetter"/>
      <w:lvlText w:val="%2."/>
      <w:lvlJc w:val="left"/>
      <w:pPr>
        <w:ind w:left="1440" w:hanging="360"/>
      </w:pPr>
      <w:rPr>
        <w:i w:val="0"/>
        <w:iCs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6DF4AB5"/>
    <w:multiLevelType w:val="hybridMultilevel"/>
    <w:tmpl w:val="05B41D66"/>
    <w:lvl w:ilvl="0" w:tplc="FFFFFFFF">
      <w:start w:val="1"/>
      <w:numFmt w:val="lowerLetter"/>
      <w:lvlText w:val="%1."/>
      <w:lvlJc w:val="left"/>
      <w:pPr>
        <w:ind w:left="854" w:hanging="360"/>
      </w:pPr>
    </w:lvl>
    <w:lvl w:ilvl="1" w:tplc="FFFFFFFF" w:tentative="1">
      <w:start w:val="1"/>
      <w:numFmt w:val="lowerLetter"/>
      <w:lvlText w:val="%2."/>
      <w:lvlJc w:val="left"/>
      <w:pPr>
        <w:ind w:left="1574" w:hanging="360"/>
      </w:pPr>
    </w:lvl>
    <w:lvl w:ilvl="2" w:tplc="FFFFFFFF" w:tentative="1">
      <w:start w:val="1"/>
      <w:numFmt w:val="lowerRoman"/>
      <w:lvlText w:val="%3."/>
      <w:lvlJc w:val="right"/>
      <w:pPr>
        <w:ind w:left="2294" w:hanging="180"/>
      </w:pPr>
    </w:lvl>
    <w:lvl w:ilvl="3" w:tplc="FFFFFFFF" w:tentative="1">
      <w:start w:val="1"/>
      <w:numFmt w:val="decimal"/>
      <w:lvlText w:val="%4."/>
      <w:lvlJc w:val="left"/>
      <w:pPr>
        <w:ind w:left="3014" w:hanging="360"/>
      </w:pPr>
    </w:lvl>
    <w:lvl w:ilvl="4" w:tplc="FFFFFFFF" w:tentative="1">
      <w:start w:val="1"/>
      <w:numFmt w:val="lowerLetter"/>
      <w:lvlText w:val="%5."/>
      <w:lvlJc w:val="left"/>
      <w:pPr>
        <w:ind w:left="3734" w:hanging="360"/>
      </w:pPr>
    </w:lvl>
    <w:lvl w:ilvl="5" w:tplc="FFFFFFFF" w:tentative="1">
      <w:start w:val="1"/>
      <w:numFmt w:val="lowerRoman"/>
      <w:lvlText w:val="%6."/>
      <w:lvlJc w:val="right"/>
      <w:pPr>
        <w:ind w:left="4454" w:hanging="180"/>
      </w:pPr>
    </w:lvl>
    <w:lvl w:ilvl="6" w:tplc="FFFFFFFF" w:tentative="1">
      <w:start w:val="1"/>
      <w:numFmt w:val="decimal"/>
      <w:lvlText w:val="%7."/>
      <w:lvlJc w:val="left"/>
      <w:pPr>
        <w:ind w:left="5174" w:hanging="360"/>
      </w:pPr>
    </w:lvl>
    <w:lvl w:ilvl="7" w:tplc="FFFFFFFF" w:tentative="1">
      <w:start w:val="1"/>
      <w:numFmt w:val="lowerLetter"/>
      <w:lvlText w:val="%8."/>
      <w:lvlJc w:val="left"/>
      <w:pPr>
        <w:ind w:left="5894" w:hanging="360"/>
      </w:pPr>
    </w:lvl>
    <w:lvl w:ilvl="8" w:tplc="FFFFFFFF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8" w15:restartNumberingAfterBreak="0">
    <w:nsid w:val="685B304A"/>
    <w:multiLevelType w:val="hybridMultilevel"/>
    <w:tmpl w:val="9AB48346"/>
    <w:lvl w:ilvl="0" w:tplc="962EF798">
      <w:start w:val="5"/>
      <w:numFmt w:val="lowerLetter"/>
      <w:lvlText w:val="%1."/>
      <w:lvlJc w:val="left"/>
      <w:pPr>
        <w:ind w:left="85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4" w:hanging="360"/>
      </w:pPr>
    </w:lvl>
    <w:lvl w:ilvl="2" w:tplc="0409001B" w:tentative="1">
      <w:start w:val="1"/>
      <w:numFmt w:val="lowerRoman"/>
      <w:lvlText w:val="%3."/>
      <w:lvlJc w:val="right"/>
      <w:pPr>
        <w:ind w:left="2294" w:hanging="180"/>
      </w:pPr>
    </w:lvl>
    <w:lvl w:ilvl="3" w:tplc="0409000F" w:tentative="1">
      <w:start w:val="1"/>
      <w:numFmt w:val="decimal"/>
      <w:lvlText w:val="%4."/>
      <w:lvlJc w:val="left"/>
      <w:pPr>
        <w:ind w:left="3014" w:hanging="360"/>
      </w:pPr>
    </w:lvl>
    <w:lvl w:ilvl="4" w:tplc="04090019" w:tentative="1">
      <w:start w:val="1"/>
      <w:numFmt w:val="lowerLetter"/>
      <w:lvlText w:val="%5."/>
      <w:lvlJc w:val="left"/>
      <w:pPr>
        <w:ind w:left="3734" w:hanging="360"/>
      </w:pPr>
    </w:lvl>
    <w:lvl w:ilvl="5" w:tplc="0409001B" w:tentative="1">
      <w:start w:val="1"/>
      <w:numFmt w:val="lowerRoman"/>
      <w:lvlText w:val="%6."/>
      <w:lvlJc w:val="right"/>
      <w:pPr>
        <w:ind w:left="4454" w:hanging="180"/>
      </w:pPr>
    </w:lvl>
    <w:lvl w:ilvl="6" w:tplc="0409000F" w:tentative="1">
      <w:start w:val="1"/>
      <w:numFmt w:val="decimal"/>
      <w:lvlText w:val="%7."/>
      <w:lvlJc w:val="left"/>
      <w:pPr>
        <w:ind w:left="5174" w:hanging="360"/>
      </w:pPr>
    </w:lvl>
    <w:lvl w:ilvl="7" w:tplc="04090019" w:tentative="1">
      <w:start w:val="1"/>
      <w:numFmt w:val="lowerLetter"/>
      <w:lvlText w:val="%8."/>
      <w:lvlJc w:val="left"/>
      <w:pPr>
        <w:ind w:left="5894" w:hanging="360"/>
      </w:pPr>
    </w:lvl>
    <w:lvl w:ilvl="8" w:tplc="0409001B" w:tentative="1">
      <w:start w:val="1"/>
      <w:numFmt w:val="lowerRoman"/>
      <w:lvlText w:val="%9."/>
      <w:lvlJc w:val="right"/>
      <w:pPr>
        <w:ind w:left="6614" w:hanging="180"/>
      </w:pPr>
    </w:lvl>
  </w:abstractNum>
  <w:abstractNum w:abstractNumId="9" w15:restartNumberingAfterBreak="0">
    <w:nsid w:val="700C46C2"/>
    <w:multiLevelType w:val="hybridMultilevel"/>
    <w:tmpl w:val="D3B66F06"/>
    <w:lvl w:ilvl="0" w:tplc="05B4130A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5E62D7"/>
    <w:multiLevelType w:val="hybridMultilevel"/>
    <w:tmpl w:val="1778AB7A"/>
    <w:lvl w:ilvl="0" w:tplc="20BAC326">
      <w:start w:val="2"/>
      <w:numFmt w:val="lowerLetter"/>
      <w:lvlText w:val="%1)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8388742">
    <w:abstractNumId w:val="6"/>
  </w:num>
  <w:num w:numId="2" w16cid:durableId="2084330155">
    <w:abstractNumId w:val="9"/>
  </w:num>
  <w:num w:numId="3" w16cid:durableId="388652717">
    <w:abstractNumId w:val="2"/>
  </w:num>
  <w:num w:numId="4" w16cid:durableId="655569731">
    <w:abstractNumId w:val="1"/>
  </w:num>
  <w:num w:numId="5" w16cid:durableId="91319640">
    <w:abstractNumId w:val="3"/>
  </w:num>
  <w:num w:numId="6" w16cid:durableId="1550343546">
    <w:abstractNumId w:val="5"/>
  </w:num>
  <w:num w:numId="7" w16cid:durableId="465708313">
    <w:abstractNumId w:val="10"/>
  </w:num>
  <w:num w:numId="8" w16cid:durableId="975178776">
    <w:abstractNumId w:val="4"/>
  </w:num>
  <w:num w:numId="9" w16cid:durableId="1770075962">
    <w:abstractNumId w:val="8"/>
  </w:num>
  <w:num w:numId="10" w16cid:durableId="1368675910">
    <w:abstractNumId w:val="0"/>
  </w:num>
  <w:num w:numId="11" w16cid:durableId="13803264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A78"/>
    <w:rsid w:val="00023DDA"/>
    <w:rsid w:val="000B1A89"/>
    <w:rsid w:val="000E2CB7"/>
    <w:rsid w:val="0015136D"/>
    <w:rsid w:val="001D15A7"/>
    <w:rsid w:val="00231C21"/>
    <w:rsid w:val="00245881"/>
    <w:rsid w:val="0028305B"/>
    <w:rsid w:val="00283B59"/>
    <w:rsid w:val="00294C0C"/>
    <w:rsid w:val="00351EDE"/>
    <w:rsid w:val="003C5E5D"/>
    <w:rsid w:val="003D5845"/>
    <w:rsid w:val="004031A1"/>
    <w:rsid w:val="00446008"/>
    <w:rsid w:val="004A31F5"/>
    <w:rsid w:val="00600262"/>
    <w:rsid w:val="00615763"/>
    <w:rsid w:val="00657CC9"/>
    <w:rsid w:val="00755FE6"/>
    <w:rsid w:val="00764293"/>
    <w:rsid w:val="00777CAF"/>
    <w:rsid w:val="007F35D6"/>
    <w:rsid w:val="00836823"/>
    <w:rsid w:val="00944BDE"/>
    <w:rsid w:val="00960A78"/>
    <w:rsid w:val="00A86013"/>
    <w:rsid w:val="00AE6A70"/>
    <w:rsid w:val="00BD00D2"/>
    <w:rsid w:val="00BD6558"/>
    <w:rsid w:val="00BF4C4B"/>
    <w:rsid w:val="00D00A4B"/>
    <w:rsid w:val="00E1787E"/>
    <w:rsid w:val="00EB67AD"/>
    <w:rsid w:val="00EC4A7E"/>
    <w:rsid w:val="00F2072A"/>
    <w:rsid w:val="00F54F03"/>
    <w:rsid w:val="00FA7A2C"/>
    <w:rsid w:val="00FD0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BD705F"/>
  <w15:chartTrackingRefBased/>
  <w15:docId w15:val="{1210B098-7722-354F-9AA1-E3AB38E8C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45881"/>
    <w:pPr>
      <w:spacing w:before="360" w:after="360"/>
      <w:jc w:val="center"/>
      <w:outlineLvl w:val="0"/>
    </w:pPr>
    <w:rPr>
      <w:rFonts w:ascii="Cambria" w:hAnsi="Cambria"/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45881"/>
    <w:rPr>
      <w:rFonts w:ascii="Cambria" w:hAnsi="Cambria"/>
      <w:b/>
      <w:bCs/>
      <w:sz w:val="28"/>
      <w:szCs w:val="28"/>
    </w:rPr>
  </w:style>
  <w:style w:type="table" w:styleId="TableGrid">
    <w:name w:val="Table Grid"/>
    <w:basedOn w:val="TableNormal"/>
    <w:uiPriority w:val="39"/>
    <w:rsid w:val="00960A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60A7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960A7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960A7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60A7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60A78"/>
    <w:rPr>
      <w:b/>
      <w:bCs/>
      <w:sz w:val="20"/>
      <w:szCs w:val="20"/>
    </w:rPr>
  </w:style>
  <w:style w:type="character" w:customStyle="1" w:styleId="apple-converted-space">
    <w:name w:val="apple-converted-space"/>
    <w:basedOn w:val="DefaultParagraphFont"/>
    <w:rsid w:val="00960A78"/>
  </w:style>
  <w:style w:type="paragraph" w:styleId="Footer">
    <w:name w:val="footer"/>
    <w:basedOn w:val="Normal"/>
    <w:link w:val="FooterChar"/>
    <w:uiPriority w:val="99"/>
    <w:unhideWhenUsed/>
    <w:rsid w:val="00960A7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A78"/>
  </w:style>
  <w:style w:type="character" w:styleId="PageNumber">
    <w:name w:val="page number"/>
    <w:basedOn w:val="DefaultParagraphFont"/>
    <w:uiPriority w:val="99"/>
    <w:semiHidden/>
    <w:unhideWhenUsed/>
    <w:rsid w:val="00960A78"/>
  </w:style>
  <w:style w:type="paragraph" w:styleId="Header">
    <w:name w:val="header"/>
    <w:basedOn w:val="Normal"/>
    <w:link w:val="HeaderChar"/>
    <w:uiPriority w:val="99"/>
    <w:unhideWhenUsed/>
    <w:rsid w:val="00960A7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A78"/>
  </w:style>
  <w:style w:type="character" w:customStyle="1" w:styleId="MathExample">
    <w:name w:val="Math Example"/>
    <w:basedOn w:val="DefaultParagraphFont"/>
    <w:uiPriority w:val="1"/>
    <w:qFormat/>
    <w:rsid w:val="00FD01DF"/>
    <w:rPr>
      <w:rFonts w:ascii="Cambria" w:hAnsi="Cambria" w:cs="Times New Roman"/>
      <w:color w:val="0070C0"/>
      <w:sz w:val="22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link w:val="ListParagraphChar"/>
    <w:uiPriority w:val="34"/>
    <w:qFormat/>
    <w:rsid w:val="003D5845"/>
    <w:pPr>
      <w:spacing w:line="360" w:lineRule="auto"/>
      <w:ind w:left="720"/>
      <w:contextualSpacing/>
    </w:pPr>
    <w:rPr>
      <w:rFonts w:ascii="Cambria" w:eastAsiaTheme="minorEastAsia" w:hAnsi="Cambria"/>
      <w:sz w:val="22"/>
      <w:szCs w:val="22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D5845"/>
    <w:rPr>
      <w:rFonts w:ascii="Cambria" w:eastAsiaTheme="minorEastAsia" w:hAnsi="Cambria"/>
      <w:sz w:val="22"/>
      <w:szCs w:val="22"/>
    </w:rPr>
  </w:style>
  <w:style w:type="character" w:customStyle="1" w:styleId="mathEQN">
    <w:name w:val="mathEQN"/>
    <w:basedOn w:val="DefaultParagraphFont"/>
    <w:uiPriority w:val="1"/>
    <w:qFormat/>
    <w:rsid w:val="003D5845"/>
    <w:rPr>
      <w:rFonts w:ascii="Cambria Math" w:hAnsi="Cambria Math" w:cs="Times New Roman"/>
      <w:color w:val="auto"/>
      <w:spacing w:val="20"/>
    </w:rPr>
  </w:style>
  <w:style w:type="character" w:styleId="Strong">
    <w:name w:val="Strong"/>
    <w:basedOn w:val="DefaultParagraphFont"/>
    <w:uiPriority w:val="22"/>
    <w:qFormat/>
    <w:rsid w:val="00D00A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oleObject" Target="embeddings/oleObject2.bin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9.bin"/><Relationship Id="rId39" Type="http://schemas.openxmlformats.org/officeDocument/2006/relationships/image" Target="media/image18.wmf"/><Relationship Id="rId21" Type="http://schemas.openxmlformats.org/officeDocument/2006/relationships/image" Target="media/image9.wmf"/><Relationship Id="rId34" Type="http://schemas.openxmlformats.org/officeDocument/2006/relationships/oleObject" Target="embeddings/oleObject13.bin"/><Relationship Id="rId42" Type="http://schemas.openxmlformats.org/officeDocument/2006/relationships/oleObject" Target="embeddings/oleObject17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5.bin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image" Target="media/image13.wmf"/><Relationship Id="rId11" Type="http://schemas.openxmlformats.org/officeDocument/2006/relationships/oleObject" Target="embeddings/oleObject1.bin"/><Relationship Id="rId24" Type="http://schemas.openxmlformats.org/officeDocument/2006/relationships/oleObject" Target="embeddings/oleObject8.bin"/><Relationship Id="rId32" Type="http://schemas.openxmlformats.org/officeDocument/2006/relationships/oleObject" Target="embeddings/oleObject12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6.bin"/><Relationship Id="rId45" Type="http://schemas.openxmlformats.org/officeDocument/2006/relationships/image" Target="media/image21.wmf"/><Relationship Id="rId53" Type="http://schemas.openxmlformats.org/officeDocument/2006/relationships/oleObject" Target="embeddings/oleObject23.bin"/><Relationship Id="rId58" Type="http://schemas.openxmlformats.org/officeDocument/2006/relationships/footer" Target="footer1.xml"/><Relationship Id="rId5" Type="http://schemas.openxmlformats.org/officeDocument/2006/relationships/footnotes" Target="footnotes.xml"/><Relationship Id="rId61" Type="http://schemas.openxmlformats.org/officeDocument/2006/relationships/theme" Target="theme/theme1.xml"/><Relationship Id="rId19" Type="http://schemas.openxmlformats.org/officeDocument/2006/relationships/image" Target="media/image8.wmf"/><Relationship Id="rId14" Type="http://schemas.openxmlformats.org/officeDocument/2006/relationships/image" Target="media/image6.wmf"/><Relationship Id="rId22" Type="http://schemas.openxmlformats.org/officeDocument/2006/relationships/oleObject" Target="embeddings/oleObject7.bin"/><Relationship Id="rId27" Type="http://schemas.openxmlformats.org/officeDocument/2006/relationships/image" Target="media/image12.wmf"/><Relationship Id="rId30" Type="http://schemas.openxmlformats.org/officeDocument/2006/relationships/oleObject" Target="embeddings/oleObject11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20.bin"/><Relationship Id="rId56" Type="http://schemas.openxmlformats.org/officeDocument/2006/relationships/oleObject" Target="embeddings/oleObject26.bin"/><Relationship Id="rId8" Type="http://schemas.openxmlformats.org/officeDocument/2006/relationships/image" Target="media/image2.png"/><Relationship Id="rId51" Type="http://schemas.openxmlformats.org/officeDocument/2006/relationships/image" Target="media/image24.wmf"/><Relationship Id="rId3" Type="http://schemas.openxmlformats.org/officeDocument/2006/relationships/settings" Target="settings.xml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5.bin"/><Relationship Id="rId46" Type="http://schemas.openxmlformats.org/officeDocument/2006/relationships/oleObject" Target="embeddings/oleObject19.bin"/><Relationship Id="rId59" Type="http://schemas.openxmlformats.org/officeDocument/2006/relationships/footer" Target="footer2.xml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4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oleObject" Target="embeddings/oleObject3.bin"/><Relationship Id="rId23" Type="http://schemas.openxmlformats.org/officeDocument/2006/relationships/image" Target="media/image10.wmf"/><Relationship Id="rId28" Type="http://schemas.openxmlformats.org/officeDocument/2006/relationships/oleObject" Target="embeddings/oleObject10.bin"/><Relationship Id="rId36" Type="http://schemas.openxmlformats.org/officeDocument/2006/relationships/oleObject" Target="embeddings/oleObject14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7.bin"/><Relationship Id="rId10" Type="http://schemas.openxmlformats.org/officeDocument/2006/relationships/image" Target="media/image4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8.bin"/><Relationship Id="rId52" Type="http://schemas.openxmlformats.org/officeDocument/2006/relationships/oleObject" Target="embeddings/oleObject22.bin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1965</Words>
  <Characters>11204</Characters>
  <Application>Microsoft Office Word</Application>
  <DocSecurity>0</DocSecurity>
  <Lines>93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Limits and Clarifications for Multi-Course Standards</vt:lpstr>
    </vt:vector>
  </TitlesOfParts>
  <Company/>
  <LinksUpToDate>false</LinksUpToDate>
  <CharactersWithSpaces>13143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Limits and Clarifications for Multi-Course Standards</dc:title>
  <dc:subject/>
  <dc:creator>New Jersey Department of Education, Office of Standards</dc:creator>
  <cp:keywords/>
  <dc:description/>
  <cp:lastModifiedBy>Thomas, Elizabeth</cp:lastModifiedBy>
  <cp:revision>2</cp:revision>
  <cp:lastPrinted>2024-01-02T16:37:00Z</cp:lastPrinted>
  <dcterms:created xsi:type="dcterms:W3CDTF">2024-01-10T19:46:00Z</dcterms:created>
  <dcterms:modified xsi:type="dcterms:W3CDTF">2024-01-10T19:46:00Z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