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56" w:rsidRPr="00991F59" w:rsidRDefault="00694D80" w:rsidP="0015337A">
      <w:pPr>
        <w:pStyle w:val="Title"/>
        <w:jc w:val="center"/>
        <w:rPr>
          <w:b/>
        </w:rPr>
      </w:pPr>
      <w:r w:rsidRPr="00991F59">
        <w:rPr>
          <w:b/>
          <w:caps w:val="0"/>
        </w:rPr>
        <w:t>New Jersey Department of Education</w:t>
      </w:r>
    </w:p>
    <w:p w:rsidR="0013216F" w:rsidRDefault="0013216F" w:rsidP="0013216F"/>
    <w:p w:rsidR="001C7D0A" w:rsidRPr="00476A74" w:rsidRDefault="00694D80" w:rsidP="0054361C">
      <w:pPr>
        <w:pStyle w:val="Heading1"/>
        <w:jc w:val="center"/>
        <w:rPr>
          <w:rFonts w:asciiTheme="majorHAnsi" w:hAnsiTheme="majorHAnsi" w:cstheme="majorHAnsi"/>
        </w:rPr>
      </w:pPr>
      <w:r w:rsidRPr="00476A74">
        <w:rPr>
          <w:rFonts w:asciiTheme="majorHAnsi" w:hAnsiTheme="majorHAnsi" w:cstheme="majorHAnsi"/>
          <w:i/>
          <w:caps w:val="0"/>
        </w:rPr>
        <w:t xml:space="preserve">Every Student Succeeds Act </w:t>
      </w:r>
      <w:r w:rsidR="00A35251" w:rsidRPr="00476A74">
        <w:rPr>
          <w:rFonts w:asciiTheme="majorHAnsi" w:hAnsiTheme="majorHAnsi" w:cstheme="majorHAnsi"/>
          <w:i/>
          <w:caps w:val="0"/>
        </w:rPr>
        <w:t>(ESSA)</w:t>
      </w:r>
      <w:r w:rsidR="00A35251" w:rsidRPr="00476A74">
        <w:rPr>
          <w:rFonts w:asciiTheme="majorHAnsi" w:hAnsiTheme="majorHAnsi" w:cstheme="majorHAnsi"/>
          <w:caps w:val="0"/>
        </w:rPr>
        <w:t xml:space="preserve"> </w:t>
      </w:r>
      <w:r w:rsidRPr="00476A74">
        <w:rPr>
          <w:rFonts w:asciiTheme="majorHAnsi" w:hAnsiTheme="majorHAnsi" w:cstheme="majorHAnsi"/>
          <w:caps w:val="0"/>
        </w:rPr>
        <w:t xml:space="preserve">Accountability Profiles </w:t>
      </w:r>
    </w:p>
    <w:p w:rsidR="0013216F" w:rsidRPr="00476A74" w:rsidRDefault="00694D80" w:rsidP="0054361C">
      <w:pPr>
        <w:pStyle w:val="Heading1"/>
        <w:jc w:val="center"/>
        <w:rPr>
          <w:rFonts w:asciiTheme="majorHAnsi" w:hAnsiTheme="majorHAnsi" w:cstheme="majorHAnsi"/>
        </w:rPr>
      </w:pPr>
      <w:r w:rsidRPr="00476A74">
        <w:rPr>
          <w:rFonts w:asciiTheme="majorHAnsi" w:hAnsiTheme="majorHAnsi" w:cstheme="majorHAnsi"/>
          <w:caps w:val="0"/>
        </w:rPr>
        <w:t>Companion Guide</w:t>
      </w:r>
    </w:p>
    <w:p w:rsidR="0013216F" w:rsidRPr="0054361C" w:rsidRDefault="0013216F" w:rsidP="0054361C">
      <w:pPr>
        <w:pStyle w:val="Heading1"/>
      </w:pPr>
    </w:p>
    <w:p w:rsidR="0015337A" w:rsidRPr="006C2341" w:rsidRDefault="00581F30" w:rsidP="00DC6B56">
      <w:pPr>
        <w:rPr>
          <w:rFonts w:asciiTheme="majorHAnsi" w:hAnsiTheme="majorHAnsi"/>
        </w:rPr>
      </w:pPr>
      <w:r w:rsidRPr="006C2341">
        <w:rPr>
          <w:rFonts w:asciiTheme="majorHAnsi" w:hAnsiTheme="majorHAnsi"/>
          <w:noProof/>
          <w:sz w:val="23"/>
          <w:szCs w:val="23"/>
        </w:rPr>
        <w:drawing>
          <wp:anchor distT="0" distB="0" distL="114300" distR="114300" simplePos="0" relativeHeight="251658240" behindDoc="0" locked="0" layoutInCell="1" allowOverlap="1" wp14:anchorId="1C5AA34E" wp14:editId="6CFAC962">
            <wp:simplePos x="0" y="0"/>
            <wp:positionH relativeFrom="column">
              <wp:posOffset>1212443</wp:posOffset>
            </wp:positionH>
            <wp:positionV relativeFrom="paragraph">
              <wp:posOffset>242522</wp:posOffset>
            </wp:positionV>
            <wp:extent cx="3505200" cy="3505200"/>
            <wp:effectExtent l="0" t="0" r="0" b="0"/>
            <wp:wrapTopAndBottom/>
            <wp:docPr id="1" name="Picture 1" descr="New Jersey Department of Education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doecom/images/DO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0F7" w:rsidRPr="006C2341">
        <w:rPr>
          <w:rFonts w:asciiTheme="majorHAnsi" w:hAnsiTheme="majorHAnsi"/>
        </w:rPr>
        <w:tab/>
      </w:r>
      <w:r w:rsidR="00B120F7" w:rsidRPr="006C2341">
        <w:rPr>
          <w:rFonts w:asciiTheme="majorHAnsi" w:hAnsiTheme="majorHAnsi"/>
        </w:rPr>
        <w:tab/>
      </w:r>
      <w:r w:rsidR="00B120F7" w:rsidRPr="006C2341">
        <w:rPr>
          <w:rFonts w:asciiTheme="majorHAnsi" w:hAnsiTheme="majorHAnsi"/>
        </w:rPr>
        <w:tab/>
      </w:r>
      <w:r w:rsidR="00B120F7" w:rsidRPr="006C2341">
        <w:rPr>
          <w:rFonts w:asciiTheme="majorHAnsi" w:hAnsiTheme="majorHAnsi"/>
        </w:rPr>
        <w:tab/>
      </w:r>
      <w:r w:rsidR="00B120F7" w:rsidRPr="006C2341">
        <w:rPr>
          <w:rFonts w:asciiTheme="majorHAnsi" w:hAnsiTheme="majorHAnsi"/>
        </w:rPr>
        <w:tab/>
      </w:r>
    </w:p>
    <w:p w:rsidR="0015337A" w:rsidRDefault="0015337A">
      <w:pPr>
        <w:rPr>
          <w:rFonts w:asciiTheme="majorHAnsi" w:hAnsiTheme="majorHAnsi"/>
        </w:rPr>
      </w:pPr>
    </w:p>
    <w:p w:rsidR="00581F30" w:rsidRDefault="00581F30" w:rsidP="00581F30">
      <w:pPr>
        <w:pStyle w:val="Title"/>
        <w:rPr>
          <w:rFonts w:eastAsiaTheme="minorEastAsia" w:cstheme="minorBidi"/>
          <w:caps w:val="0"/>
          <w:color w:val="auto"/>
          <w:spacing w:val="0"/>
          <w:sz w:val="20"/>
          <w:szCs w:val="20"/>
        </w:rPr>
      </w:pPr>
    </w:p>
    <w:p w:rsidR="00581F30" w:rsidRPr="00581F30" w:rsidRDefault="00581F30" w:rsidP="00581F30"/>
    <w:p w:rsidR="00DC2CAD" w:rsidRPr="00B022E2" w:rsidRDefault="00694D80" w:rsidP="00581F30">
      <w:pPr>
        <w:pStyle w:val="Title"/>
        <w:jc w:val="center"/>
        <w:sectPr w:rsidR="00DC2CAD" w:rsidRPr="00B022E2" w:rsidSect="00B120F7">
          <w:pgSz w:w="12240" w:h="15840"/>
          <w:pgMar w:top="1440" w:right="1440" w:bottom="900" w:left="1440" w:header="720" w:footer="720" w:gutter="0"/>
          <w:cols w:space="720"/>
          <w:docGrid w:linePitch="360"/>
        </w:sectPr>
      </w:pPr>
      <w:r w:rsidRPr="00B022E2">
        <w:rPr>
          <w:caps w:val="0"/>
        </w:rPr>
        <w:t>October</w:t>
      </w:r>
      <w:r w:rsidR="00885F8F" w:rsidRPr="00B022E2">
        <w:t xml:space="preserve"> 2018</w:t>
      </w:r>
    </w:p>
    <w:p w:rsidR="0015337A" w:rsidRPr="001F7D6B" w:rsidRDefault="0015337A" w:rsidP="001F7D6B">
      <w:pPr>
        <w:pStyle w:val="Heading2"/>
        <w:rPr>
          <w:caps w:val="0"/>
          <w:sz w:val="24"/>
          <w:szCs w:val="24"/>
        </w:rPr>
      </w:pPr>
      <w:r w:rsidRPr="001F7D6B">
        <w:rPr>
          <w:caps w:val="0"/>
          <w:sz w:val="24"/>
          <w:szCs w:val="24"/>
        </w:rPr>
        <w:t>Introduction</w:t>
      </w:r>
    </w:p>
    <w:p w:rsidR="00DA2E52" w:rsidRDefault="00533A2E" w:rsidP="002354D0">
      <w:pPr>
        <w:rPr>
          <w:rFonts w:cstheme="minorHAnsi"/>
          <w:sz w:val="22"/>
          <w:szCs w:val="22"/>
        </w:rPr>
      </w:pPr>
      <w:r w:rsidRPr="002354D0">
        <w:rPr>
          <w:rFonts w:cstheme="minorHAnsi"/>
          <w:sz w:val="22"/>
          <w:szCs w:val="22"/>
        </w:rPr>
        <w:t xml:space="preserve">The </w:t>
      </w:r>
      <w:r w:rsidRPr="002354D0">
        <w:rPr>
          <w:rFonts w:cstheme="minorHAnsi"/>
          <w:i/>
          <w:iCs/>
          <w:sz w:val="22"/>
          <w:szCs w:val="22"/>
        </w:rPr>
        <w:t xml:space="preserve">Every Student Succeeds Act (ESSA) </w:t>
      </w:r>
      <w:r w:rsidRPr="002354D0">
        <w:rPr>
          <w:rFonts w:cstheme="minorHAnsi"/>
          <w:sz w:val="22"/>
          <w:szCs w:val="22"/>
        </w:rPr>
        <w:t xml:space="preserve">was passed in December 2015 with bipartisan congressional support. It replaced the </w:t>
      </w:r>
      <w:r w:rsidRPr="002354D0">
        <w:rPr>
          <w:rFonts w:cstheme="minorHAnsi"/>
          <w:i/>
          <w:iCs/>
          <w:sz w:val="22"/>
          <w:szCs w:val="22"/>
        </w:rPr>
        <w:t xml:space="preserve">No Child Left Behind Act (NCLB) of 2002 </w:t>
      </w:r>
      <w:r w:rsidRPr="002354D0">
        <w:rPr>
          <w:rFonts w:cstheme="minorHAnsi"/>
          <w:sz w:val="22"/>
          <w:szCs w:val="22"/>
        </w:rPr>
        <w:t xml:space="preserve">and reauthorized the </w:t>
      </w:r>
      <w:r w:rsidRPr="002354D0">
        <w:rPr>
          <w:rFonts w:cstheme="minorHAnsi"/>
          <w:i/>
          <w:iCs/>
          <w:sz w:val="22"/>
          <w:szCs w:val="22"/>
        </w:rPr>
        <w:t>Elementary and Secondary Education Act (ESEA) of 1965</w:t>
      </w:r>
      <w:r w:rsidRPr="002354D0">
        <w:rPr>
          <w:rFonts w:cstheme="minorHAnsi"/>
          <w:sz w:val="22"/>
          <w:szCs w:val="22"/>
        </w:rPr>
        <w:t>. Despite some key changes in the law, the purpose remains the same: to ensure all students have equitable access to high-quality educational resources and opportunities, and to close educational achievement gaps.</w:t>
      </w:r>
    </w:p>
    <w:p w:rsidR="004702E4" w:rsidRDefault="00407632" w:rsidP="002354D0">
      <w:pPr>
        <w:rPr>
          <w:rFonts w:cstheme="minorHAnsi"/>
          <w:sz w:val="22"/>
          <w:szCs w:val="22"/>
        </w:rPr>
      </w:pPr>
      <w:r>
        <w:rPr>
          <w:rFonts w:cstheme="minorHAnsi"/>
          <w:sz w:val="22"/>
          <w:szCs w:val="22"/>
        </w:rPr>
        <w:t xml:space="preserve">Annually, the </w:t>
      </w:r>
      <w:r w:rsidR="00CA030E">
        <w:rPr>
          <w:rFonts w:cstheme="minorHAnsi"/>
          <w:sz w:val="22"/>
          <w:szCs w:val="22"/>
        </w:rPr>
        <w:t>New Jersey Department of Education (</w:t>
      </w:r>
      <w:r>
        <w:rPr>
          <w:rFonts w:cstheme="minorHAnsi"/>
          <w:sz w:val="22"/>
          <w:szCs w:val="22"/>
        </w:rPr>
        <w:t>NJDOE</w:t>
      </w:r>
      <w:r w:rsidR="00CA030E">
        <w:rPr>
          <w:rFonts w:cstheme="minorHAnsi"/>
          <w:sz w:val="22"/>
          <w:szCs w:val="22"/>
        </w:rPr>
        <w:t>)</w:t>
      </w:r>
      <w:r>
        <w:rPr>
          <w:rFonts w:cstheme="minorHAnsi"/>
          <w:sz w:val="22"/>
          <w:szCs w:val="22"/>
        </w:rPr>
        <w:t xml:space="preserve"> issues </w:t>
      </w:r>
      <w:r w:rsidR="004702E4">
        <w:rPr>
          <w:rFonts w:cstheme="minorHAnsi"/>
          <w:sz w:val="22"/>
          <w:szCs w:val="22"/>
        </w:rPr>
        <w:t xml:space="preserve">Accountability Profiles which </w:t>
      </w:r>
      <w:r>
        <w:rPr>
          <w:rFonts w:cstheme="minorHAnsi"/>
          <w:sz w:val="22"/>
          <w:szCs w:val="22"/>
        </w:rPr>
        <w:t xml:space="preserve">enable schools and districts to review their progress toward achieving the intent of the law.  </w:t>
      </w:r>
      <w:r w:rsidR="00100DCD">
        <w:rPr>
          <w:rFonts w:cstheme="minorHAnsi"/>
          <w:sz w:val="22"/>
          <w:szCs w:val="22"/>
        </w:rPr>
        <w:t>School and district d</w:t>
      </w:r>
      <w:r>
        <w:rPr>
          <w:rFonts w:cstheme="minorHAnsi"/>
          <w:sz w:val="22"/>
          <w:szCs w:val="22"/>
        </w:rPr>
        <w:t xml:space="preserve">ata </w:t>
      </w:r>
      <w:r w:rsidR="005846FF">
        <w:rPr>
          <w:rFonts w:cstheme="minorHAnsi"/>
          <w:sz w:val="22"/>
          <w:szCs w:val="22"/>
        </w:rPr>
        <w:t>for</w:t>
      </w:r>
      <w:r>
        <w:rPr>
          <w:rFonts w:cstheme="minorHAnsi"/>
          <w:sz w:val="22"/>
          <w:szCs w:val="22"/>
        </w:rPr>
        <w:t xml:space="preserve"> specific indicators </w:t>
      </w:r>
      <w:r w:rsidR="00100DCD">
        <w:rPr>
          <w:rFonts w:cstheme="minorHAnsi"/>
          <w:sz w:val="22"/>
          <w:szCs w:val="22"/>
        </w:rPr>
        <w:t>are</w:t>
      </w:r>
      <w:r>
        <w:rPr>
          <w:rFonts w:cstheme="minorHAnsi"/>
          <w:sz w:val="22"/>
          <w:szCs w:val="22"/>
        </w:rPr>
        <w:t xml:space="preserve"> compared to annual targets and standards and reported by </w:t>
      </w:r>
      <w:r w:rsidR="005846FF">
        <w:rPr>
          <w:rFonts w:cstheme="minorHAnsi"/>
          <w:sz w:val="22"/>
          <w:szCs w:val="22"/>
        </w:rPr>
        <w:t xml:space="preserve">student </w:t>
      </w:r>
      <w:r>
        <w:rPr>
          <w:rFonts w:cstheme="minorHAnsi"/>
          <w:sz w:val="22"/>
          <w:szCs w:val="22"/>
        </w:rPr>
        <w:t xml:space="preserve">group to identify gaps.  With the implementation of the </w:t>
      </w:r>
      <w:r w:rsidRPr="00737166">
        <w:rPr>
          <w:rFonts w:cstheme="minorHAnsi"/>
          <w:i/>
          <w:sz w:val="22"/>
          <w:szCs w:val="22"/>
        </w:rPr>
        <w:t>ESSA</w:t>
      </w:r>
      <w:r>
        <w:rPr>
          <w:rFonts w:cstheme="minorHAnsi"/>
          <w:sz w:val="22"/>
          <w:szCs w:val="22"/>
        </w:rPr>
        <w:t xml:space="preserve">, these Accountability Profiles have been modified to provide additional data for schools and districts </w:t>
      </w:r>
      <w:r w:rsidR="005846FF">
        <w:rPr>
          <w:rFonts w:cstheme="minorHAnsi"/>
          <w:sz w:val="22"/>
          <w:szCs w:val="22"/>
        </w:rPr>
        <w:t xml:space="preserve">to analyze student performance and progress </w:t>
      </w:r>
      <w:r>
        <w:rPr>
          <w:rFonts w:cstheme="minorHAnsi"/>
          <w:sz w:val="22"/>
          <w:szCs w:val="22"/>
        </w:rPr>
        <w:t xml:space="preserve">and </w:t>
      </w:r>
      <w:r w:rsidR="00A7036B">
        <w:rPr>
          <w:rFonts w:cstheme="minorHAnsi"/>
          <w:sz w:val="22"/>
          <w:szCs w:val="22"/>
        </w:rPr>
        <w:t xml:space="preserve">to </w:t>
      </w:r>
      <w:r>
        <w:rPr>
          <w:rFonts w:cstheme="minorHAnsi"/>
          <w:sz w:val="22"/>
          <w:szCs w:val="22"/>
        </w:rPr>
        <w:t xml:space="preserve">meet </w:t>
      </w:r>
      <w:r w:rsidRPr="00737166">
        <w:rPr>
          <w:rFonts w:cstheme="minorHAnsi"/>
          <w:i/>
          <w:sz w:val="22"/>
          <w:szCs w:val="22"/>
        </w:rPr>
        <w:t>ESSA</w:t>
      </w:r>
      <w:r>
        <w:rPr>
          <w:rFonts w:cstheme="minorHAnsi"/>
          <w:sz w:val="22"/>
          <w:szCs w:val="22"/>
        </w:rPr>
        <w:t xml:space="preserve"> accountability requirements.  The purpose of this document is to describe the accountability requirements and the data included in the </w:t>
      </w:r>
      <w:r w:rsidR="005846FF">
        <w:rPr>
          <w:rFonts w:cstheme="minorHAnsi"/>
          <w:sz w:val="22"/>
          <w:szCs w:val="22"/>
        </w:rPr>
        <w:t>Accountability P</w:t>
      </w:r>
      <w:r>
        <w:rPr>
          <w:rFonts w:cstheme="minorHAnsi"/>
          <w:sz w:val="22"/>
          <w:szCs w:val="22"/>
        </w:rPr>
        <w:t xml:space="preserve">rofiles to </w:t>
      </w:r>
      <w:r w:rsidR="00100DCD">
        <w:rPr>
          <w:rFonts w:cstheme="minorHAnsi"/>
          <w:sz w:val="22"/>
          <w:szCs w:val="22"/>
        </w:rPr>
        <w:t xml:space="preserve">enable schools and districts to: 1) review </w:t>
      </w:r>
      <w:r w:rsidR="0066320F">
        <w:rPr>
          <w:rFonts w:cstheme="minorHAnsi"/>
          <w:sz w:val="22"/>
          <w:szCs w:val="22"/>
        </w:rPr>
        <w:t>the</w:t>
      </w:r>
      <w:r w:rsidR="00D65F57">
        <w:rPr>
          <w:rFonts w:cstheme="minorHAnsi"/>
          <w:sz w:val="22"/>
          <w:szCs w:val="22"/>
        </w:rPr>
        <w:t xml:space="preserve"> </w:t>
      </w:r>
      <w:r w:rsidR="00100DCD">
        <w:rPr>
          <w:rFonts w:cstheme="minorHAnsi"/>
          <w:sz w:val="22"/>
          <w:szCs w:val="22"/>
        </w:rPr>
        <w:t xml:space="preserve">data for accuracy; and 2) begin to identify areas of need for planning.  </w:t>
      </w:r>
      <w:r>
        <w:rPr>
          <w:rFonts w:cstheme="minorHAnsi"/>
          <w:sz w:val="22"/>
          <w:szCs w:val="22"/>
        </w:rPr>
        <w:t xml:space="preserve"> </w:t>
      </w:r>
    </w:p>
    <w:p w:rsidR="006169A8" w:rsidRPr="001F7D6B" w:rsidRDefault="00737166" w:rsidP="00035483">
      <w:pPr>
        <w:pStyle w:val="Heading2"/>
        <w:rPr>
          <w:caps w:val="0"/>
          <w:sz w:val="24"/>
          <w:szCs w:val="24"/>
        </w:rPr>
      </w:pPr>
      <w:r w:rsidRPr="001F7D6B">
        <w:rPr>
          <w:caps w:val="0"/>
          <w:sz w:val="24"/>
          <w:szCs w:val="24"/>
        </w:rPr>
        <w:t xml:space="preserve">New </w:t>
      </w:r>
      <w:r w:rsidR="001F7D6B">
        <w:rPr>
          <w:caps w:val="0"/>
          <w:sz w:val="24"/>
          <w:szCs w:val="24"/>
        </w:rPr>
        <w:t>J</w:t>
      </w:r>
      <w:r w:rsidRPr="001F7D6B">
        <w:rPr>
          <w:caps w:val="0"/>
          <w:sz w:val="24"/>
          <w:szCs w:val="24"/>
        </w:rPr>
        <w:t xml:space="preserve">ersey’s </w:t>
      </w:r>
      <w:r w:rsidR="001F7D6B">
        <w:rPr>
          <w:caps w:val="0"/>
          <w:sz w:val="24"/>
          <w:szCs w:val="24"/>
        </w:rPr>
        <w:t>A</w:t>
      </w:r>
      <w:r w:rsidRPr="001F7D6B">
        <w:rPr>
          <w:caps w:val="0"/>
          <w:sz w:val="24"/>
          <w:szCs w:val="24"/>
        </w:rPr>
        <w:t xml:space="preserve">ccountability </w:t>
      </w:r>
      <w:r w:rsidR="001F7D6B">
        <w:rPr>
          <w:caps w:val="0"/>
          <w:sz w:val="24"/>
          <w:szCs w:val="24"/>
        </w:rPr>
        <w:t>S</w:t>
      </w:r>
      <w:r w:rsidRPr="001F7D6B">
        <w:rPr>
          <w:caps w:val="0"/>
          <w:sz w:val="24"/>
          <w:szCs w:val="24"/>
        </w:rPr>
        <w:t>ystem</w:t>
      </w:r>
    </w:p>
    <w:p w:rsidR="005A043D" w:rsidRPr="007F0E5B" w:rsidRDefault="0038207F" w:rsidP="002354D0">
      <w:pPr>
        <w:pStyle w:val="Heading3"/>
        <w:rPr>
          <w:rFonts w:cstheme="minorHAnsi"/>
          <w:sz w:val="24"/>
          <w:szCs w:val="24"/>
        </w:rPr>
      </w:pPr>
      <w:r w:rsidRPr="007F0E5B">
        <w:rPr>
          <w:rFonts w:cstheme="minorHAnsi"/>
          <w:sz w:val="24"/>
          <w:szCs w:val="24"/>
        </w:rPr>
        <w:t xml:space="preserve">Accountability Requirements under </w:t>
      </w:r>
      <w:r w:rsidRPr="007F0E5B">
        <w:rPr>
          <w:rFonts w:cstheme="minorHAnsi"/>
          <w:i/>
          <w:sz w:val="24"/>
          <w:szCs w:val="24"/>
        </w:rPr>
        <w:t>ESSA</w:t>
      </w:r>
    </w:p>
    <w:p w:rsidR="001012A2" w:rsidRDefault="00CA030E" w:rsidP="00927E8C">
      <w:pPr>
        <w:rPr>
          <w:rFonts w:cstheme="minorHAnsi"/>
          <w:sz w:val="22"/>
          <w:szCs w:val="22"/>
        </w:rPr>
      </w:pPr>
      <w:r>
        <w:rPr>
          <w:rFonts w:cstheme="minorHAnsi"/>
          <w:i/>
          <w:sz w:val="22"/>
          <w:szCs w:val="22"/>
        </w:rPr>
        <w:t>ESSA</w:t>
      </w:r>
      <w:r>
        <w:rPr>
          <w:rFonts w:cstheme="minorHAnsi"/>
          <w:sz w:val="22"/>
          <w:szCs w:val="22"/>
        </w:rPr>
        <w:t xml:space="preserve"> </w:t>
      </w:r>
      <w:r w:rsidR="005A043D">
        <w:rPr>
          <w:rFonts w:cstheme="minorHAnsi"/>
          <w:sz w:val="22"/>
          <w:szCs w:val="22"/>
        </w:rPr>
        <w:t>requires states to</w:t>
      </w:r>
      <w:r w:rsidR="005A043D" w:rsidRPr="005A043D">
        <w:rPr>
          <w:rFonts w:cstheme="minorHAnsi"/>
          <w:sz w:val="22"/>
          <w:szCs w:val="22"/>
        </w:rPr>
        <w:t xml:space="preserve"> use a set of indicators to measure the performance of all schools</w:t>
      </w:r>
      <w:r w:rsidR="005A043D">
        <w:rPr>
          <w:rFonts w:cstheme="minorHAnsi"/>
          <w:sz w:val="22"/>
          <w:szCs w:val="22"/>
        </w:rPr>
        <w:t xml:space="preserve"> for the purposes of identifying </w:t>
      </w:r>
      <w:r w:rsidR="005A043D" w:rsidRPr="005A043D">
        <w:rPr>
          <w:rFonts w:cstheme="minorHAnsi"/>
          <w:sz w:val="22"/>
          <w:szCs w:val="22"/>
        </w:rPr>
        <w:t xml:space="preserve">schools in need of support and improvement. </w:t>
      </w:r>
      <w:r w:rsidR="00100DCD">
        <w:rPr>
          <w:rFonts w:cstheme="minorHAnsi"/>
          <w:sz w:val="22"/>
          <w:szCs w:val="22"/>
        </w:rPr>
        <w:t xml:space="preserve"> These indicators were revised with the implementation of the </w:t>
      </w:r>
      <w:r w:rsidR="00100DCD" w:rsidRPr="00CA030E">
        <w:rPr>
          <w:rFonts w:cstheme="minorHAnsi"/>
          <w:i/>
          <w:sz w:val="22"/>
          <w:szCs w:val="22"/>
        </w:rPr>
        <w:t>ESSA</w:t>
      </w:r>
      <w:r w:rsidR="00100DCD">
        <w:rPr>
          <w:rFonts w:cstheme="minorHAnsi"/>
          <w:sz w:val="22"/>
          <w:szCs w:val="22"/>
        </w:rPr>
        <w:t xml:space="preserve">.  </w:t>
      </w:r>
    </w:p>
    <w:p w:rsidR="005A043D" w:rsidRDefault="005A043D" w:rsidP="00927E8C">
      <w:pPr>
        <w:rPr>
          <w:rFonts w:cstheme="minorHAnsi"/>
          <w:sz w:val="22"/>
          <w:szCs w:val="22"/>
        </w:rPr>
      </w:pPr>
      <w:r>
        <w:rPr>
          <w:rFonts w:cstheme="minorHAnsi"/>
          <w:sz w:val="22"/>
          <w:szCs w:val="22"/>
        </w:rPr>
        <w:t xml:space="preserve">The chart below shows the </w:t>
      </w:r>
      <w:r w:rsidR="001012A2">
        <w:rPr>
          <w:rFonts w:cstheme="minorHAnsi"/>
          <w:sz w:val="22"/>
          <w:szCs w:val="22"/>
        </w:rPr>
        <w:t>indicators required under the</w:t>
      </w:r>
      <w:r w:rsidR="00100DCD">
        <w:rPr>
          <w:rFonts w:cstheme="minorHAnsi"/>
          <w:sz w:val="22"/>
          <w:szCs w:val="22"/>
        </w:rPr>
        <w:t xml:space="preserve"> current </w:t>
      </w:r>
      <w:r w:rsidR="001012A2">
        <w:rPr>
          <w:rFonts w:cstheme="minorHAnsi"/>
          <w:sz w:val="22"/>
          <w:szCs w:val="22"/>
        </w:rPr>
        <w:t>law</w:t>
      </w:r>
      <w:r>
        <w:rPr>
          <w:rFonts w:cstheme="minorHAnsi"/>
          <w:sz w:val="22"/>
          <w:szCs w:val="22"/>
        </w:rPr>
        <w:t>.</w:t>
      </w:r>
    </w:p>
    <w:p w:rsidR="005A043D" w:rsidRDefault="008A46A8" w:rsidP="00927E8C">
      <w:pPr>
        <w:rPr>
          <w:rFonts w:cstheme="minorHAnsi"/>
          <w:sz w:val="22"/>
          <w:szCs w:val="22"/>
        </w:rPr>
      </w:pPr>
      <w:r w:rsidRPr="008A46A8">
        <w:rPr>
          <w:rFonts w:cstheme="minorHAnsi"/>
          <w:noProof/>
          <w:sz w:val="22"/>
          <w:szCs w:val="22"/>
        </w:rPr>
        <w:drawing>
          <wp:inline distT="0" distB="0" distL="0" distR="0" wp14:anchorId="408C710F" wp14:editId="29B44E85">
            <wp:extent cx="5943600" cy="2824480"/>
            <wp:effectExtent l="0" t="0" r="0" b="0"/>
            <wp:docPr id="3" name="Picture 3" descr="Indicators required under the current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24480"/>
                    </a:xfrm>
                    <a:prstGeom prst="rect">
                      <a:avLst/>
                    </a:prstGeom>
                  </pic:spPr>
                </pic:pic>
              </a:graphicData>
            </a:graphic>
          </wp:inline>
        </w:drawing>
      </w:r>
    </w:p>
    <w:p w:rsidR="00D85BE4" w:rsidRDefault="00D85BE4" w:rsidP="00927E8C">
      <w:pPr>
        <w:rPr>
          <w:rFonts w:cstheme="minorHAnsi"/>
          <w:sz w:val="22"/>
          <w:szCs w:val="22"/>
        </w:rPr>
      </w:pPr>
    </w:p>
    <w:p w:rsidR="00DA2E52" w:rsidRPr="007F0E5B" w:rsidRDefault="00DA2E52" w:rsidP="00DA2E52">
      <w:pPr>
        <w:pStyle w:val="Heading3"/>
        <w:rPr>
          <w:rFonts w:cstheme="minorHAnsi"/>
          <w:sz w:val="24"/>
          <w:szCs w:val="24"/>
        </w:rPr>
      </w:pPr>
      <w:r w:rsidRPr="007F0E5B">
        <w:rPr>
          <w:rFonts w:cstheme="minorHAnsi"/>
          <w:sz w:val="24"/>
          <w:szCs w:val="24"/>
        </w:rPr>
        <w:t xml:space="preserve">Uses of </w:t>
      </w:r>
      <w:r w:rsidR="00737166" w:rsidRPr="007F0E5B">
        <w:rPr>
          <w:rFonts w:cstheme="minorHAnsi"/>
          <w:sz w:val="24"/>
          <w:szCs w:val="24"/>
        </w:rPr>
        <w:t xml:space="preserve">ESSA </w:t>
      </w:r>
      <w:r w:rsidRPr="007F0E5B">
        <w:rPr>
          <w:rFonts w:cstheme="minorHAnsi"/>
          <w:sz w:val="24"/>
          <w:szCs w:val="24"/>
        </w:rPr>
        <w:t>Accountability Profiles Data</w:t>
      </w:r>
    </w:p>
    <w:p w:rsidR="00DB3998" w:rsidRDefault="00DD2F40" w:rsidP="00927E8C">
      <w:pPr>
        <w:rPr>
          <w:rFonts w:cstheme="minorHAnsi"/>
          <w:sz w:val="22"/>
          <w:szCs w:val="22"/>
        </w:rPr>
      </w:pPr>
      <w:r w:rsidRPr="002354D0">
        <w:rPr>
          <w:rFonts w:cstheme="minorHAnsi"/>
          <w:sz w:val="22"/>
          <w:szCs w:val="22"/>
        </w:rPr>
        <w:t xml:space="preserve">Under </w:t>
      </w:r>
      <w:r w:rsidR="00737166">
        <w:rPr>
          <w:rFonts w:cstheme="minorHAnsi"/>
          <w:i/>
          <w:sz w:val="22"/>
          <w:szCs w:val="22"/>
        </w:rPr>
        <w:t>ESS</w:t>
      </w:r>
      <w:r w:rsidR="00CE7A2D">
        <w:rPr>
          <w:rFonts w:cstheme="minorHAnsi"/>
          <w:sz w:val="22"/>
          <w:szCs w:val="22"/>
        </w:rPr>
        <w:t>A N</w:t>
      </w:r>
      <w:r w:rsidRPr="002354D0">
        <w:rPr>
          <w:rFonts w:cstheme="minorHAnsi"/>
          <w:sz w:val="22"/>
          <w:szCs w:val="22"/>
        </w:rPr>
        <w:t>ew Jersey is required to use the data contained in the</w:t>
      </w:r>
      <w:r w:rsidR="00CA5B46">
        <w:rPr>
          <w:rFonts w:cstheme="minorHAnsi"/>
          <w:sz w:val="22"/>
          <w:szCs w:val="22"/>
        </w:rPr>
        <w:t xml:space="preserve"> </w:t>
      </w:r>
      <w:r w:rsidR="00CA5B46" w:rsidRPr="002354D0">
        <w:rPr>
          <w:rFonts w:cstheme="minorHAnsi"/>
          <w:sz w:val="22"/>
          <w:szCs w:val="22"/>
        </w:rPr>
        <w:t>Accountabilit</w:t>
      </w:r>
      <w:r w:rsidR="00CA5B46">
        <w:rPr>
          <w:rFonts w:cstheme="minorHAnsi"/>
          <w:i/>
          <w:sz w:val="22"/>
          <w:szCs w:val="22"/>
        </w:rPr>
        <w:t>y</w:t>
      </w:r>
      <w:r w:rsidR="00761C60" w:rsidRPr="002354D0">
        <w:rPr>
          <w:rFonts w:cstheme="minorHAnsi"/>
          <w:sz w:val="22"/>
          <w:szCs w:val="22"/>
        </w:rPr>
        <w:t xml:space="preserve"> </w:t>
      </w:r>
      <w:r w:rsidRPr="002354D0">
        <w:rPr>
          <w:rFonts w:cstheme="minorHAnsi"/>
          <w:sz w:val="22"/>
          <w:szCs w:val="22"/>
        </w:rPr>
        <w:t>Profiles</w:t>
      </w:r>
      <w:r w:rsidR="004A056F">
        <w:rPr>
          <w:rFonts w:cstheme="minorHAnsi"/>
          <w:sz w:val="22"/>
          <w:szCs w:val="22"/>
        </w:rPr>
        <w:t xml:space="preserve"> to identify schools in need </w:t>
      </w:r>
      <w:r w:rsidR="00686E4D">
        <w:rPr>
          <w:rFonts w:cstheme="minorHAnsi"/>
          <w:sz w:val="22"/>
          <w:szCs w:val="22"/>
        </w:rPr>
        <w:t xml:space="preserve">of </w:t>
      </w:r>
      <w:r w:rsidR="004A056F">
        <w:rPr>
          <w:rFonts w:cstheme="minorHAnsi"/>
          <w:sz w:val="22"/>
          <w:szCs w:val="22"/>
        </w:rPr>
        <w:t>support or improvement</w:t>
      </w:r>
      <w:r w:rsidR="00DB3998">
        <w:rPr>
          <w:rFonts w:cstheme="minorHAnsi"/>
          <w:sz w:val="22"/>
          <w:szCs w:val="22"/>
        </w:rPr>
        <w:t>. Categories and associated calculations</w:t>
      </w:r>
      <w:r w:rsidR="009C201F">
        <w:rPr>
          <w:rFonts w:cstheme="minorHAnsi"/>
          <w:sz w:val="22"/>
          <w:szCs w:val="22"/>
        </w:rPr>
        <w:t xml:space="preserve"> and </w:t>
      </w:r>
      <w:r w:rsidR="00DB3998">
        <w:rPr>
          <w:rFonts w:cstheme="minorHAnsi"/>
          <w:sz w:val="22"/>
          <w:szCs w:val="22"/>
        </w:rPr>
        <w:t xml:space="preserve">supports have changed from the prior system under </w:t>
      </w:r>
      <w:r w:rsidR="00DB3998" w:rsidRPr="002354D0">
        <w:rPr>
          <w:rFonts w:cstheme="minorHAnsi"/>
          <w:i/>
          <w:sz w:val="22"/>
          <w:szCs w:val="22"/>
        </w:rPr>
        <w:t>NCLB</w:t>
      </w:r>
      <w:r w:rsidR="00DB3998">
        <w:rPr>
          <w:rFonts w:cstheme="minorHAnsi"/>
          <w:sz w:val="22"/>
          <w:szCs w:val="22"/>
        </w:rPr>
        <w:t xml:space="preserve"> (Priority and Focus Schools) to Schools in Need of Comprehensive Support and Improvement (CSI) and Schools in Need of Targeted Support and Improvement (TSI) as shown below:</w:t>
      </w:r>
    </w:p>
    <w:p w:rsidR="006046B0" w:rsidRPr="002354D0" w:rsidRDefault="007E3FE7" w:rsidP="002354D0">
      <w:pPr>
        <w:rPr>
          <w:rFonts w:cstheme="minorHAnsi"/>
          <w:sz w:val="22"/>
          <w:szCs w:val="22"/>
        </w:rPr>
      </w:pPr>
      <w:r w:rsidRPr="007E3FE7">
        <w:rPr>
          <w:rFonts w:cstheme="minorHAnsi"/>
          <w:noProof/>
          <w:sz w:val="22"/>
          <w:szCs w:val="22"/>
        </w:rPr>
        <w:drawing>
          <wp:inline distT="0" distB="0" distL="0" distR="0" wp14:anchorId="5A135B1E" wp14:editId="4AE4E31E">
            <wp:extent cx="5943600" cy="3639185"/>
            <wp:effectExtent l="0" t="0" r="0" b="0"/>
            <wp:docPr id="2" name="Picture 2" descr="Changed to Comprehensive Support and Improvement (CSI) and Schools in Need of Targeted Support and Improvement (T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639185"/>
                    </a:xfrm>
                    <a:prstGeom prst="rect">
                      <a:avLst/>
                    </a:prstGeom>
                  </pic:spPr>
                </pic:pic>
              </a:graphicData>
            </a:graphic>
          </wp:inline>
        </w:drawing>
      </w:r>
      <w:r w:rsidR="001F47D1">
        <w:rPr>
          <w:rFonts w:cstheme="minorHAnsi"/>
          <w:sz w:val="22"/>
          <w:szCs w:val="22"/>
        </w:rPr>
        <w:t xml:space="preserve">The data provided in the Accountability Profiles will be used to calculate summative scores for each school to identify those school in need of comprehensive or targeted support.  Additional information regarding the calculation of the summative score may be found in the </w:t>
      </w:r>
      <w:r w:rsidR="00D65F57" w:rsidRPr="00D65F57">
        <w:rPr>
          <w:rFonts w:cstheme="minorHAnsi"/>
          <w:sz w:val="22"/>
          <w:szCs w:val="22"/>
        </w:rPr>
        <w:t xml:space="preserve">New Jersey </w:t>
      </w:r>
      <w:r w:rsidR="00D65F57" w:rsidRPr="00D65F57">
        <w:rPr>
          <w:rFonts w:cstheme="minorHAnsi"/>
          <w:i/>
          <w:sz w:val="22"/>
          <w:szCs w:val="22"/>
        </w:rPr>
        <w:t>ESSA</w:t>
      </w:r>
      <w:r w:rsidR="00D65F57" w:rsidRPr="00D65F57">
        <w:rPr>
          <w:rFonts w:cstheme="minorHAnsi"/>
          <w:sz w:val="22"/>
          <w:szCs w:val="22"/>
        </w:rPr>
        <w:t xml:space="preserve"> Plan</w:t>
      </w:r>
      <w:r w:rsidR="00D65F57">
        <w:rPr>
          <w:rFonts w:cstheme="minorHAnsi"/>
          <w:sz w:val="22"/>
          <w:szCs w:val="22"/>
        </w:rPr>
        <w:t>.</w:t>
      </w:r>
    </w:p>
    <w:p w:rsidR="00DA2E52" w:rsidRPr="007F0E5B" w:rsidRDefault="00DA2E52" w:rsidP="00DA2E52">
      <w:pPr>
        <w:pStyle w:val="Heading3"/>
        <w:rPr>
          <w:rFonts w:cstheme="minorHAnsi"/>
          <w:sz w:val="24"/>
          <w:szCs w:val="24"/>
        </w:rPr>
      </w:pPr>
      <w:r w:rsidRPr="007F0E5B">
        <w:rPr>
          <w:rFonts w:cstheme="minorHAnsi"/>
          <w:sz w:val="24"/>
          <w:szCs w:val="24"/>
        </w:rPr>
        <w:t xml:space="preserve">Indicators Included in </w:t>
      </w:r>
      <w:r w:rsidR="004A056F" w:rsidRPr="007F0E5B">
        <w:rPr>
          <w:rFonts w:cstheme="minorHAnsi"/>
          <w:sz w:val="24"/>
          <w:szCs w:val="24"/>
        </w:rPr>
        <w:t>N</w:t>
      </w:r>
      <w:r w:rsidR="0038207F" w:rsidRPr="007F0E5B">
        <w:rPr>
          <w:rFonts w:cstheme="minorHAnsi"/>
          <w:sz w:val="24"/>
          <w:szCs w:val="24"/>
        </w:rPr>
        <w:t>ew</w:t>
      </w:r>
      <w:r w:rsidR="004A056F" w:rsidRPr="007F0E5B">
        <w:rPr>
          <w:rFonts w:cstheme="minorHAnsi"/>
          <w:sz w:val="24"/>
          <w:szCs w:val="24"/>
        </w:rPr>
        <w:t xml:space="preserve"> J</w:t>
      </w:r>
      <w:r w:rsidR="0038207F" w:rsidRPr="007F0E5B">
        <w:rPr>
          <w:rFonts w:cstheme="minorHAnsi"/>
          <w:sz w:val="24"/>
          <w:szCs w:val="24"/>
        </w:rPr>
        <w:t>ersey</w:t>
      </w:r>
      <w:r w:rsidR="004A056F" w:rsidRPr="007F0E5B">
        <w:rPr>
          <w:rFonts w:cstheme="minorHAnsi"/>
          <w:sz w:val="24"/>
          <w:szCs w:val="24"/>
        </w:rPr>
        <w:t xml:space="preserve">’s </w:t>
      </w:r>
      <w:r w:rsidR="002F2EAA" w:rsidRPr="007F0E5B">
        <w:rPr>
          <w:rFonts w:cstheme="minorHAnsi"/>
          <w:i/>
          <w:sz w:val="24"/>
          <w:szCs w:val="24"/>
        </w:rPr>
        <w:t>ESEA</w:t>
      </w:r>
      <w:r w:rsidR="002F2EAA" w:rsidRPr="007F0E5B">
        <w:rPr>
          <w:rFonts w:cstheme="minorHAnsi"/>
          <w:sz w:val="24"/>
          <w:szCs w:val="24"/>
        </w:rPr>
        <w:t xml:space="preserve"> </w:t>
      </w:r>
      <w:r w:rsidRPr="007F0E5B">
        <w:rPr>
          <w:rFonts w:cstheme="minorHAnsi"/>
          <w:sz w:val="24"/>
          <w:szCs w:val="24"/>
        </w:rPr>
        <w:t>Accountability</w:t>
      </w:r>
      <w:r w:rsidR="004A056F" w:rsidRPr="007F0E5B">
        <w:rPr>
          <w:rFonts w:cstheme="minorHAnsi"/>
          <w:sz w:val="24"/>
          <w:szCs w:val="24"/>
        </w:rPr>
        <w:t xml:space="preserve"> S</w:t>
      </w:r>
      <w:r w:rsidR="0038207F" w:rsidRPr="007F0E5B">
        <w:rPr>
          <w:rFonts w:cstheme="minorHAnsi"/>
          <w:sz w:val="24"/>
          <w:szCs w:val="24"/>
        </w:rPr>
        <w:t>ystem</w:t>
      </w:r>
    </w:p>
    <w:p w:rsidR="004A056F" w:rsidRPr="009963D1" w:rsidRDefault="004A056F" w:rsidP="004A056F">
      <w:pPr>
        <w:rPr>
          <w:rFonts w:cstheme="minorHAnsi"/>
          <w:sz w:val="22"/>
          <w:szCs w:val="22"/>
        </w:rPr>
      </w:pPr>
      <w:r w:rsidRPr="009963D1">
        <w:rPr>
          <w:rFonts w:cstheme="minorHAnsi"/>
          <w:sz w:val="22"/>
          <w:szCs w:val="22"/>
        </w:rPr>
        <w:t xml:space="preserve">The following indicators are incorporated into New Jersey’s accountability system under </w:t>
      </w:r>
      <w:r w:rsidR="00761C60" w:rsidRPr="002354D0">
        <w:rPr>
          <w:rFonts w:cstheme="minorHAnsi"/>
          <w:i/>
          <w:sz w:val="22"/>
          <w:szCs w:val="22"/>
        </w:rPr>
        <w:t>ESEA</w:t>
      </w:r>
      <w:r>
        <w:rPr>
          <w:rFonts w:cstheme="minorHAnsi"/>
          <w:sz w:val="22"/>
          <w:szCs w:val="22"/>
        </w:rPr>
        <w:t xml:space="preserve"> </w:t>
      </w:r>
      <w:r w:rsidR="00DB3998">
        <w:rPr>
          <w:rFonts w:cstheme="minorHAnsi"/>
          <w:sz w:val="22"/>
          <w:szCs w:val="22"/>
        </w:rPr>
        <w:t xml:space="preserve">and will be </w:t>
      </w:r>
      <w:r>
        <w:rPr>
          <w:rFonts w:cstheme="minorHAnsi"/>
          <w:sz w:val="22"/>
          <w:szCs w:val="22"/>
        </w:rPr>
        <w:t>used to determine the schools in need of support and improv</w:t>
      </w:r>
      <w:r w:rsidR="00DB3998">
        <w:rPr>
          <w:rFonts w:cstheme="minorHAnsi"/>
          <w:sz w:val="22"/>
          <w:szCs w:val="22"/>
        </w:rPr>
        <w:t>e</w:t>
      </w:r>
      <w:r>
        <w:rPr>
          <w:rFonts w:cstheme="minorHAnsi"/>
          <w:sz w:val="22"/>
          <w:szCs w:val="22"/>
        </w:rPr>
        <w:t>ment</w:t>
      </w:r>
      <w:r w:rsidR="00DB3998">
        <w:rPr>
          <w:rFonts w:cstheme="minorHAnsi"/>
          <w:sz w:val="22"/>
          <w:szCs w:val="22"/>
        </w:rPr>
        <w:t xml:space="preserve"> </w:t>
      </w:r>
      <w:r w:rsidR="00A84793">
        <w:rPr>
          <w:rFonts w:cstheme="minorHAnsi"/>
          <w:sz w:val="22"/>
          <w:szCs w:val="22"/>
        </w:rPr>
        <w:t xml:space="preserve">as </w:t>
      </w:r>
      <w:r w:rsidR="00DB3998">
        <w:rPr>
          <w:rFonts w:cstheme="minorHAnsi"/>
          <w:sz w:val="22"/>
          <w:szCs w:val="22"/>
        </w:rPr>
        <w:t>described above</w:t>
      </w:r>
      <w:r w:rsidRPr="009963D1">
        <w:rPr>
          <w:rFonts w:cstheme="minorHAnsi"/>
          <w:sz w:val="22"/>
          <w:szCs w:val="22"/>
        </w:rPr>
        <w:t>:</w:t>
      </w:r>
    </w:p>
    <w:tbl>
      <w:tblPr>
        <w:tblStyle w:val="TableGrid"/>
        <w:tblW w:w="8640" w:type="dxa"/>
        <w:jc w:val="center"/>
        <w:tblLook w:val="04A0" w:firstRow="1" w:lastRow="0" w:firstColumn="1" w:lastColumn="0" w:noHBand="0" w:noVBand="1"/>
      </w:tblPr>
      <w:tblGrid>
        <w:gridCol w:w="2696"/>
        <w:gridCol w:w="2004"/>
        <w:gridCol w:w="3940"/>
      </w:tblGrid>
      <w:tr w:rsidR="00737166" w:rsidRPr="00B77657" w:rsidTr="001062BB">
        <w:trPr>
          <w:tblHeader/>
          <w:jc w:val="center"/>
        </w:trPr>
        <w:tc>
          <w:tcPr>
            <w:tcW w:w="2340" w:type="dxa"/>
            <w:shd w:val="clear" w:color="auto" w:fill="2E74B5" w:themeFill="accent5" w:themeFillShade="BF"/>
            <w:vAlign w:val="center"/>
          </w:tcPr>
          <w:p w:rsidR="00737166" w:rsidRPr="00A84793" w:rsidRDefault="00737166" w:rsidP="00A84793">
            <w:pPr>
              <w:contextualSpacing/>
              <w:jc w:val="center"/>
              <w:rPr>
                <w:b/>
                <w:color w:val="FFFFFF" w:themeColor="background1"/>
              </w:rPr>
            </w:pPr>
            <w:r w:rsidRPr="00A84793">
              <w:rPr>
                <w:b/>
                <w:color w:val="FFFFFF" w:themeColor="background1"/>
              </w:rPr>
              <w:t>Required Indicator</w:t>
            </w:r>
          </w:p>
        </w:tc>
        <w:tc>
          <w:tcPr>
            <w:tcW w:w="1740" w:type="dxa"/>
            <w:shd w:val="clear" w:color="auto" w:fill="2E74B5" w:themeFill="accent5" w:themeFillShade="BF"/>
            <w:vAlign w:val="center"/>
          </w:tcPr>
          <w:p w:rsidR="00737166" w:rsidRPr="00A84793" w:rsidRDefault="00737166" w:rsidP="00A84793">
            <w:pPr>
              <w:contextualSpacing/>
              <w:jc w:val="center"/>
              <w:rPr>
                <w:b/>
                <w:color w:val="FFFFFF" w:themeColor="background1"/>
              </w:rPr>
            </w:pPr>
            <w:r w:rsidRPr="00A84793">
              <w:rPr>
                <w:b/>
                <w:color w:val="FFFFFF" w:themeColor="background1"/>
              </w:rPr>
              <w:t>New Jersey’s Measure(s)</w:t>
            </w:r>
          </w:p>
        </w:tc>
        <w:tc>
          <w:tcPr>
            <w:tcW w:w="3420" w:type="dxa"/>
            <w:shd w:val="clear" w:color="auto" w:fill="2E74B5" w:themeFill="accent5" w:themeFillShade="BF"/>
            <w:vAlign w:val="center"/>
          </w:tcPr>
          <w:p w:rsidR="00737166" w:rsidRPr="00A84793" w:rsidRDefault="00737166" w:rsidP="00A84793">
            <w:pPr>
              <w:contextualSpacing/>
              <w:jc w:val="center"/>
              <w:rPr>
                <w:b/>
                <w:color w:val="FFFFFF" w:themeColor="background1"/>
              </w:rPr>
            </w:pPr>
            <w:r w:rsidRPr="00A84793">
              <w:rPr>
                <w:b/>
                <w:color w:val="FFFFFF" w:themeColor="background1"/>
              </w:rPr>
              <w:t>Description</w:t>
            </w:r>
          </w:p>
        </w:tc>
      </w:tr>
      <w:tr w:rsidR="00737166" w:rsidRPr="00B77657" w:rsidTr="001062BB">
        <w:trPr>
          <w:trHeight w:val="1465"/>
          <w:jc w:val="center"/>
        </w:trPr>
        <w:tc>
          <w:tcPr>
            <w:tcW w:w="2340" w:type="dxa"/>
            <w:shd w:val="clear" w:color="auto" w:fill="D9D9D9" w:themeFill="background1" w:themeFillShade="D9"/>
            <w:vAlign w:val="center"/>
          </w:tcPr>
          <w:p w:rsidR="00737166" w:rsidRPr="00A84793" w:rsidRDefault="00737166" w:rsidP="00A84793">
            <w:pPr>
              <w:jc w:val="both"/>
              <w:rPr>
                <w:b/>
              </w:rPr>
            </w:pPr>
            <w:r w:rsidRPr="00A84793">
              <w:rPr>
                <w:b/>
              </w:rPr>
              <w:t xml:space="preserve">Academic Achievement </w:t>
            </w:r>
          </w:p>
        </w:tc>
        <w:tc>
          <w:tcPr>
            <w:tcW w:w="1740" w:type="dxa"/>
            <w:vAlign w:val="center"/>
          </w:tcPr>
          <w:p w:rsidR="00737166" w:rsidRPr="00A84793" w:rsidRDefault="00737166" w:rsidP="00A84793">
            <w:pPr>
              <w:contextualSpacing/>
            </w:pPr>
            <w:r w:rsidRPr="00A84793">
              <w:t xml:space="preserve">Proficiency rates on annual statewide assessments </w:t>
            </w:r>
          </w:p>
        </w:tc>
        <w:tc>
          <w:tcPr>
            <w:tcW w:w="3420" w:type="dxa"/>
            <w:vAlign w:val="center"/>
          </w:tcPr>
          <w:p w:rsidR="00737166" w:rsidRPr="00A84793" w:rsidRDefault="00737166" w:rsidP="009A4819">
            <w:pPr>
              <w:contextualSpacing/>
            </w:pPr>
            <w:r w:rsidRPr="00A84793">
              <w:t>Percentage of students in the school who meet grade-level standards on annual statewide assessment in ELA and mathematics (grades 3-10)</w:t>
            </w:r>
          </w:p>
        </w:tc>
      </w:tr>
      <w:tr w:rsidR="00737166" w:rsidRPr="00B77657" w:rsidTr="001062BB">
        <w:trPr>
          <w:jc w:val="center"/>
        </w:trPr>
        <w:tc>
          <w:tcPr>
            <w:tcW w:w="2340" w:type="dxa"/>
            <w:shd w:val="clear" w:color="auto" w:fill="D9D9D9" w:themeFill="background1" w:themeFillShade="D9"/>
            <w:vAlign w:val="center"/>
          </w:tcPr>
          <w:p w:rsidR="00737166" w:rsidRPr="00A84793" w:rsidRDefault="00737166" w:rsidP="00A84793">
            <w:pPr>
              <w:spacing w:before="240"/>
              <w:rPr>
                <w:b/>
              </w:rPr>
            </w:pPr>
            <w:r w:rsidRPr="00A84793">
              <w:rPr>
                <w:b/>
              </w:rPr>
              <w:t xml:space="preserve">Academic Progress </w:t>
            </w:r>
            <w:r w:rsidRPr="00A84793">
              <w:rPr>
                <w:b/>
                <w:i/>
              </w:rPr>
              <w:t>(applicable to elementary and middle schools)</w:t>
            </w:r>
          </w:p>
        </w:tc>
        <w:tc>
          <w:tcPr>
            <w:tcW w:w="1740" w:type="dxa"/>
            <w:tcBorders>
              <w:bottom w:val="single" w:sz="4" w:space="0" w:color="auto"/>
            </w:tcBorders>
            <w:vAlign w:val="center"/>
          </w:tcPr>
          <w:p w:rsidR="00737166" w:rsidRPr="00A84793" w:rsidRDefault="00737166" w:rsidP="00A84793">
            <w:pPr>
              <w:contextualSpacing/>
            </w:pPr>
            <w:r w:rsidRPr="00A84793">
              <w:t xml:space="preserve">Student growth percentile (SGP)  </w:t>
            </w:r>
          </w:p>
        </w:tc>
        <w:tc>
          <w:tcPr>
            <w:tcW w:w="3420" w:type="dxa"/>
            <w:tcBorders>
              <w:bottom w:val="single" w:sz="4" w:space="0" w:color="auto"/>
            </w:tcBorders>
            <w:vAlign w:val="center"/>
          </w:tcPr>
          <w:p w:rsidR="00737166" w:rsidRPr="00A84793" w:rsidRDefault="009A4819" w:rsidP="00A84793">
            <w:pPr>
              <w:contextualSpacing/>
            </w:pPr>
            <w:r>
              <w:t>M</w:t>
            </w:r>
            <w:r w:rsidR="00737166" w:rsidRPr="00A84793">
              <w:t>edian SGP, which shows students</w:t>
            </w:r>
            <w:r>
              <w:t>’</w:t>
            </w:r>
            <w:r w:rsidR="00737166" w:rsidRPr="00A84793">
              <w:t xml:space="preserve"> growth from one year to the next in ELA (grades 4-8) and mathematics (grades 4-7)</w:t>
            </w:r>
          </w:p>
        </w:tc>
      </w:tr>
      <w:tr w:rsidR="00737166" w:rsidRPr="00B77657" w:rsidTr="001062BB">
        <w:trPr>
          <w:trHeight w:val="1367"/>
          <w:jc w:val="center"/>
        </w:trPr>
        <w:tc>
          <w:tcPr>
            <w:tcW w:w="2340" w:type="dxa"/>
            <w:shd w:val="clear" w:color="auto" w:fill="D9D9D9" w:themeFill="background1" w:themeFillShade="D9"/>
            <w:vAlign w:val="center"/>
          </w:tcPr>
          <w:p w:rsidR="00737166" w:rsidRPr="00A84793" w:rsidRDefault="00737166" w:rsidP="00A84793">
            <w:pPr>
              <w:jc w:val="both"/>
              <w:rPr>
                <w:b/>
              </w:rPr>
            </w:pPr>
            <w:r w:rsidRPr="00A84793">
              <w:rPr>
                <w:b/>
              </w:rPr>
              <w:t>Graduation Rate</w:t>
            </w:r>
          </w:p>
          <w:p w:rsidR="00737166" w:rsidRPr="00A84793" w:rsidRDefault="00737166" w:rsidP="00A84793">
            <w:pPr>
              <w:rPr>
                <w:b/>
                <w:i/>
              </w:rPr>
            </w:pPr>
            <w:r w:rsidRPr="00A84793">
              <w:rPr>
                <w:b/>
                <w:i/>
              </w:rPr>
              <w:t>(applicable to high schools)</w:t>
            </w:r>
          </w:p>
        </w:tc>
        <w:tc>
          <w:tcPr>
            <w:tcW w:w="1740" w:type="dxa"/>
            <w:shd w:val="clear" w:color="auto" w:fill="auto"/>
            <w:vAlign w:val="center"/>
          </w:tcPr>
          <w:p w:rsidR="00737166" w:rsidRPr="00A84793" w:rsidRDefault="00737166" w:rsidP="00A84793">
            <w:r w:rsidRPr="00A84793">
              <w:t>Four-year and five-year graduation rates</w:t>
            </w:r>
          </w:p>
        </w:tc>
        <w:tc>
          <w:tcPr>
            <w:tcW w:w="3420" w:type="dxa"/>
            <w:shd w:val="clear" w:color="auto" w:fill="auto"/>
            <w:vAlign w:val="center"/>
          </w:tcPr>
          <w:p w:rsidR="00737166" w:rsidRPr="00A84793" w:rsidRDefault="00737166" w:rsidP="00A84793">
            <w:pPr>
              <w:contextualSpacing/>
            </w:pPr>
            <w:r w:rsidRPr="00A84793">
              <w:t>Using the adjusted cohort methodology, percentage of students who graduate:</w:t>
            </w:r>
          </w:p>
          <w:p w:rsidR="00737166" w:rsidRPr="00A84793" w:rsidRDefault="00737166" w:rsidP="002354D0">
            <w:pPr>
              <w:pStyle w:val="ListParagraph"/>
              <w:numPr>
                <w:ilvl w:val="0"/>
                <w:numId w:val="26"/>
              </w:numPr>
              <w:ind w:left="288" w:hanging="288"/>
            </w:pPr>
            <w:r w:rsidRPr="00A84793">
              <w:t>within four years of entering ninth grade; and</w:t>
            </w:r>
          </w:p>
          <w:p w:rsidR="00737166" w:rsidRPr="00A84793" w:rsidRDefault="00737166" w:rsidP="002354D0">
            <w:pPr>
              <w:pStyle w:val="ListParagraph"/>
              <w:numPr>
                <w:ilvl w:val="0"/>
                <w:numId w:val="26"/>
              </w:numPr>
              <w:ind w:left="288" w:hanging="288"/>
            </w:pPr>
            <w:r w:rsidRPr="00A84793">
              <w:t xml:space="preserve">within five years of entering ninth grade </w:t>
            </w:r>
          </w:p>
          <w:p w:rsidR="00737166" w:rsidRPr="00A84793" w:rsidRDefault="00737166" w:rsidP="00A84793">
            <w:pPr>
              <w:tabs>
                <w:tab w:val="left" w:pos="0"/>
              </w:tabs>
              <w:rPr>
                <w:i/>
              </w:rPr>
            </w:pPr>
          </w:p>
          <w:p w:rsidR="00737166" w:rsidRPr="00A84793" w:rsidRDefault="00737166" w:rsidP="00A84793">
            <w:pPr>
              <w:tabs>
                <w:tab w:val="left" w:pos="0"/>
              </w:tabs>
              <w:rPr>
                <w:i/>
              </w:rPr>
            </w:pPr>
          </w:p>
        </w:tc>
      </w:tr>
      <w:tr w:rsidR="00737166" w:rsidRPr="00B77657" w:rsidTr="001062BB">
        <w:trPr>
          <w:jc w:val="center"/>
        </w:trPr>
        <w:tc>
          <w:tcPr>
            <w:tcW w:w="2340" w:type="dxa"/>
            <w:shd w:val="clear" w:color="auto" w:fill="D9D9D9" w:themeFill="background1" w:themeFillShade="D9"/>
            <w:vAlign w:val="center"/>
          </w:tcPr>
          <w:p w:rsidR="00737166" w:rsidRPr="00A84793" w:rsidRDefault="00737166" w:rsidP="00A84793">
            <w:pPr>
              <w:tabs>
                <w:tab w:val="left" w:pos="-2988"/>
              </w:tabs>
              <w:spacing w:before="240"/>
              <w:rPr>
                <w:b/>
              </w:rPr>
            </w:pPr>
            <w:r w:rsidRPr="00A84793">
              <w:rPr>
                <w:b/>
              </w:rPr>
              <w:t xml:space="preserve">Progress Toward Achieving English Language Proficiency </w:t>
            </w:r>
            <w:r>
              <w:rPr>
                <w:b/>
              </w:rPr>
              <w:t>*</w:t>
            </w:r>
          </w:p>
        </w:tc>
        <w:tc>
          <w:tcPr>
            <w:tcW w:w="1740" w:type="dxa"/>
            <w:vAlign w:val="center"/>
          </w:tcPr>
          <w:p w:rsidR="00737166" w:rsidRPr="00A84793" w:rsidRDefault="0066320F" w:rsidP="00A84793">
            <w:pPr>
              <w:spacing w:before="240"/>
              <w:contextualSpacing/>
            </w:pPr>
            <w:r>
              <w:t>P</w:t>
            </w:r>
            <w:r w:rsidR="00737166" w:rsidRPr="00A84793">
              <w:t>rogress on the ACCESS for ELLs 2.0</w:t>
            </w:r>
          </w:p>
        </w:tc>
        <w:tc>
          <w:tcPr>
            <w:tcW w:w="3420" w:type="dxa"/>
            <w:vAlign w:val="center"/>
          </w:tcPr>
          <w:p w:rsidR="00737166" w:rsidRPr="00A84793" w:rsidRDefault="00737166" w:rsidP="00A84793">
            <w:pPr>
              <w:spacing w:before="240"/>
              <w:contextualSpacing/>
            </w:pPr>
            <w:r w:rsidRPr="00A84793">
              <w:t xml:space="preserve">Percentage of </w:t>
            </w:r>
            <w:r w:rsidR="00476F60">
              <w:t xml:space="preserve">English </w:t>
            </w:r>
            <w:r w:rsidRPr="00A84793">
              <w:t>learner</w:t>
            </w:r>
            <w:r w:rsidR="0066320F">
              <w:t>s</w:t>
            </w:r>
            <w:r w:rsidRPr="00A84793">
              <w:t xml:space="preserve"> making expected progress from one year to the next on the ACCESS for ELLs 2.0 summative assessment (K-12)</w:t>
            </w:r>
          </w:p>
        </w:tc>
      </w:tr>
      <w:tr w:rsidR="00737166" w:rsidRPr="00B77657" w:rsidTr="001062BB">
        <w:trPr>
          <w:jc w:val="center"/>
        </w:trPr>
        <w:tc>
          <w:tcPr>
            <w:tcW w:w="2340" w:type="dxa"/>
            <w:shd w:val="clear" w:color="auto" w:fill="D9D9D9" w:themeFill="background1" w:themeFillShade="D9"/>
            <w:vAlign w:val="center"/>
          </w:tcPr>
          <w:p w:rsidR="00737166" w:rsidRPr="00A84793" w:rsidRDefault="00737166" w:rsidP="00A84793">
            <w:pPr>
              <w:rPr>
                <w:b/>
              </w:rPr>
            </w:pPr>
            <w:r w:rsidRPr="00A84793">
              <w:rPr>
                <w:b/>
              </w:rPr>
              <w:t>School Quality or Student Success</w:t>
            </w:r>
          </w:p>
        </w:tc>
        <w:tc>
          <w:tcPr>
            <w:tcW w:w="1740" w:type="dxa"/>
            <w:vAlign w:val="center"/>
          </w:tcPr>
          <w:p w:rsidR="00737166" w:rsidRPr="00A84793" w:rsidRDefault="00737166" w:rsidP="00A84793">
            <w:pPr>
              <w:contextualSpacing/>
            </w:pPr>
            <w:r w:rsidRPr="00A84793">
              <w:t>Chronic absenteeism</w:t>
            </w:r>
          </w:p>
        </w:tc>
        <w:tc>
          <w:tcPr>
            <w:tcW w:w="3420" w:type="dxa"/>
            <w:vAlign w:val="center"/>
          </w:tcPr>
          <w:p w:rsidR="00737166" w:rsidRPr="00A84793" w:rsidRDefault="00737166" w:rsidP="00A84793">
            <w:pPr>
              <w:contextualSpacing/>
            </w:pPr>
            <w:r w:rsidRPr="00A84793">
              <w:t xml:space="preserve">Percentage of the school’s students who are chronically absent. Chronically absent is defined as not present for 10 percent or more of the days that he or she was “in membership” at a school. </w:t>
            </w:r>
          </w:p>
        </w:tc>
      </w:tr>
    </w:tbl>
    <w:p w:rsidR="001012A2" w:rsidRDefault="0003463C" w:rsidP="00DA2E52">
      <w:pPr>
        <w:rPr>
          <w:rFonts w:cstheme="minorHAnsi"/>
          <w:sz w:val="22"/>
          <w:szCs w:val="22"/>
        </w:rPr>
      </w:pPr>
      <w:r>
        <w:rPr>
          <w:rFonts w:cstheme="minorHAnsi"/>
          <w:sz w:val="22"/>
          <w:szCs w:val="22"/>
        </w:rPr>
        <w:t>*English</w:t>
      </w:r>
      <w:r w:rsidR="00D65F57">
        <w:rPr>
          <w:rFonts w:cstheme="minorHAnsi"/>
          <w:sz w:val="22"/>
          <w:szCs w:val="22"/>
        </w:rPr>
        <w:t xml:space="preserve"> Language </w:t>
      </w:r>
      <w:r w:rsidR="0066320F">
        <w:rPr>
          <w:rFonts w:cstheme="minorHAnsi"/>
          <w:sz w:val="22"/>
          <w:szCs w:val="22"/>
        </w:rPr>
        <w:t>Learner</w:t>
      </w:r>
      <w:r>
        <w:rPr>
          <w:rFonts w:cstheme="minorHAnsi"/>
          <w:sz w:val="22"/>
          <w:szCs w:val="22"/>
        </w:rPr>
        <w:t xml:space="preserve"> progress is a</w:t>
      </w:r>
      <w:r w:rsidR="003C0182">
        <w:rPr>
          <w:rFonts w:cstheme="minorHAnsi"/>
          <w:sz w:val="22"/>
          <w:szCs w:val="22"/>
        </w:rPr>
        <w:t>n</w:t>
      </w:r>
      <w:r>
        <w:rPr>
          <w:rFonts w:cstheme="minorHAnsi"/>
          <w:sz w:val="22"/>
          <w:szCs w:val="22"/>
        </w:rPr>
        <w:t xml:space="preserve"> indicator</w:t>
      </w:r>
      <w:r w:rsidR="003C0182">
        <w:rPr>
          <w:rFonts w:cstheme="minorHAnsi"/>
          <w:sz w:val="22"/>
          <w:szCs w:val="22"/>
        </w:rPr>
        <w:t xml:space="preserve"> now required under ESSA.</w:t>
      </w:r>
      <w:r w:rsidR="00694D80">
        <w:rPr>
          <w:rFonts w:cstheme="minorHAnsi"/>
          <w:sz w:val="22"/>
          <w:szCs w:val="22"/>
        </w:rPr>
        <w:t xml:space="preserve"> </w:t>
      </w:r>
      <w:r>
        <w:rPr>
          <w:rFonts w:cstheme="minorHAnsi"/>
          <w:sz w:val="22"/>
          <w:szCs w:val="22"/>
        </w:rPr>
        <w:t xml:space="preserve">Data </w:t>
      </w:r>
      <w:r w:rsidR="003C0182">
        <w:rPr>
          <w:rFonts w:cstheme="minorHAnsi"/>
          <w:sz w:val="22"/>
          <w:szCs w:val="22"/>
        </w:rPr>
        <w:t xml:space="preserve">are </w:t>
      </w:r>
      <w:r>
        <w:rPr>
          <w:rFonts w:cstheme="minorHAnsi"/>
          <w:sz w:val="22"/>
          <w:szCs w:val="22"/>
        </w:rPr>
        <w:t xml:space="preserve">reflected in the profiles for the first time </w:t>
      </w:r>
      <w:r w:rsidR="00CE6DBD">
        <w:rPr>
          <w:rFonts w:cstheme="minorHAnsi"/>
          <w:sz w:val="22"/>
          <w:szCs w:val="22"/>
        </w:rPr>
        <w:t>this</w:t>
      </w:r>
      <w:r>
        <w:rPr>
          <w:rFonts w:cstheme="minorHAnsi"/>
          <w:sz w:val="22"/>
          <w:szCs w:val="22"/>
        </w:rPr>
        <w:t xml:space="preserve"> year. </w:t>
      </w:r>
    </w:p>
    <w:p w:rsidR="00DC6B56" w:rsidRPr="007F0E5B" w:rsidRDefault="001A38ED" w:rsidP="007F0E5B">
      <w:pPr>
        <w:pStyle w:val="Heading3"/>
        <w:rPr>
          <w:rFonts w:cstheme="minorHAnsi"/>
          <w:sz w:val="24"/>
          <w:szCs w:val="24"/>
        </w:rPr>
      </w:pPr>
      <w:r w:rsidRPr="007F0E5B">
        <w:rPr>
          <w:rFonts w:cstheme="minorHAnsi"/>
          <w:sz w:val="24"/>
          <w:szCs w:val="24"/>
        </w:rPr>
        <w:t>Key Information</w:t>
      </w:r>
      <w:r w:rsidR="00761C60" w:rsidRPr="007F0E5B">
        <w:rPr>
          <w:rFonts w:cstheme="minorHAnsi"/>
          <w:sz w:val="24"/>
          <w:szCs w:val="24"/>
        </w:rPr>
        <w:t xml:space="preserve"> </w:t>
      </w:r>
      <w:r w:rsidR="00686E4D" w:rsidRPr="007F0E5B">
        <w:rPr>
          <w:rFonts w:cstheme="minorHAnsi"/>
          <w:sz w:val="24"/>
          <w:szCs w:val="24"/>
        </w:rPr>
        <w:t xml:space="preserve">for </w:t>
      </w:r>
      <w:r w:rsidRPr="007F0E5B">
        <w:rPr>
          <w:rFonts w:cstheme="minorHAnsi"/>
          <w:sz w:val="24"/>
          <w:szCs w:val="24"/>
        </w:rPr>
        <w:t>A</w:t>
      </w:r>
      <w:r w:rsidR="00686E4D" w:rsidRPr="007F0E5B">
        <w:rPr>
          <w:rFonts w:cstheme="minorHAnsi"/>
          <w:sz w:val="24"/>
          <w:szCs w:val="24"/>
        </w:rPr>
        <w:t xml:space="preserve">ccountability </w:t>
      </w:r>
      <w:r w:rsidRPr="007F0E5B">
        <w:rPr>
          <w:rFonts w:cstheme="minorHAnsi"/>
          <w:sz w:val="24"/>
          <w:szCs w:val="24"/>
        </w:rPr>
        <w:t>P</w:t>
      </w:r>
      <w:r w:rsidR="00686E4D" w:rsidRPr="007F0E5B">
        <w:rPr>
          <w:rFonts w:cstheme="minorHAnsi"/>
          <w:sz w:val="24"/>
          <w:szCs w:val="24"/>
        </w:rPr>
        <w:t xml:space="preserve">rofiles </w:t>
      </w:r>
    </w:p>
    <w:p w:rsidR="00C22A52" w:rsidRPr="00A561A4" w:rsidRDefault="00C22A52" w:rsidP="001F5E1F">
      <w:pPr>
        <w:pStyle w:val="Heading3"/>
        <w:rPr>
          <w:rFonts w:cstheme="minorHAnsi"/>
          <w:sz w:val="24"/>
          <w:szCs w:val="24"/>
        </w:rPr>
      </w:pPr>
      <w:r w:rsidRPr="00A561A4">
        <w:rPr>
          <w:rFonts w:cstheme="minorHAnsi"/>
          <w:sz w:val="24"/>
          <w:szCs w:val="24"/>
        </w:rPr>
        <w:t>Student Subgroups</w:t>
      </w:r>
    </w:p>
    <w:p w:rsidR="00C22A52" w:rsidRPr="00FF0A9D" w:rsidRDefault="00C22A52" w:rsidP="00C22A52">
      <w:pPr>
        <w:jc w:val="both"/>
        <w:rPr>
          <w:sz w:val="22"/>
          <w:szCs w:val="22"/>
        </w:rPr>
      </w:pPr>
      <w:r w:rsidRPr="001F5E1F">
        <w:rPr>
          <w:sz w:val="22"/>
          <w:szCs w:val="22"/>
        </w:rPr>
        <w:t xml:space="preserve">The </w:t>
      </w:r>
      <w:r w:rsidR="00686E4D">
        <w:rPr>
          <w:i/>
          <w:sz w:val="22"/>
          <w:szCs w:val="22"/>
        </w:rPr>
        <w:t>ESSA</w:t>
      </w:r>
      <w:r w:rsidR="00686E4D" w:rsidRPr="000F0544">
        <w:rPr>
          <w:sz w:val="22"/>
          <w:szCs w:val="22"/>
        </w:rPr>
        <w:t xml:space="preserve"> </w:t>
      </w:r>
      <w:r w:rsidRPr="000F0544">
        <w:rPr>
          <w:sz w:val="22"/>
          <w:szCs w:val="22"/>
        </w:rPr>
        <w:t xml:space="preserve">Profiles provide disaggregated accountability data for the following </w:t>
      </w:r>
      <w:r w:rsidRPr="00CA030E">
        <w:rPr>
          <w:b/>
          <w:sz w:val="22"/>
          <w:szCs w:val="22"/>
        </w:rPr>
        <w:t xml:space="preserve">student </w:t>
      </w:r>
      <w:r w:rsidR="00CA5B46" w:rsidRPr="00CA030E">
        <w:rPr>
          <w:b/>
          <w:sz w:val="22"/>
          <w:szCs w:val="22"/>
        </w:rPr>
        <w:t>groups</w:t>
      </w:r>
      <w:r w:rsidRPr="000F0544">
        <w:rPr>
          <w:sz w:val="22"/>
          <w:szCs w:val="22"/>
        </w:rPr>
        <w:t xml:space="preserve">: </w:t>
      </w:r>
    </w:p>
    <w:p w:rsidR="00045F56" w:rsidRPr="00045F56" w:rsidRDefault="00045F56" w:rsidP="00045F56">
      <w:pPr>
        <w:pStyle w:val="ListParagraph"/>
        <w:numPr>
          <w:ilvl w:val="0"/>
          <w:numId w:val="21"/>
        </w:numPr>
        <w:spacing w:after="0" w:line="240" w:lineRule="auto"/>
        <w:jc w:val="both"/>
        <w:rPr>
          <w:sz w:val="22"/>
          <w:szCs w:val="22"/>
        </w:rPr>
      </w:pPr>
      <w:r w:rsidRPr="00045F56">
        <w:rPr>
          <w:sz w:val="22"/>
          <w:szCs w:val="22"/>
        </w:rPr>
        <w:t>All students (referred to as “schoolwide” in the school level profiles)</w:t>
      </w:r>
      <w:r w:rsidR="00B47BBB">
        <w:rPr>
          <w:sz w:val="22"/>
          <w:szCs w:val="22"/>
        </w:rPr>
        <w:t>;</w:t>
      </w:r>
    </w:p>
    <w:p w:rsidR="003F55B5" w:rsidRPr="00045F56" w:rsidRDefault="003F55B5" w:rsidP="003F55B5">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Economically disadvantaged students (i.e. eligible for free or reduced lunch program)</w:t>
      </w:r>
      <w:r w:rsidR="00B47BBB">
        <w:rPr>
          <w:color w:val="000000" w:themeColor="text1"/>
          <w:sz w:val="22"/>
          <w:szCs w:val="22"/>
        </w:rPr>
        <w:t>;</w:t>
      </w:r>
    </w:p>
    <w:p w:rsidR="00045F56" w:rsidRDefault="00045F56" w:rsidP="00045F56">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Students with disabilities (i.e. students currently receiving special education services)</w:t>
      </w:r>
      <w:r w:rsidR="00B47BBB">
        <w:rPr>
          <w:color w:val="000000" w:themeColor="text1"/>
          <w:sz w:val="22"/>
          <w:szCs w:val="22"/>
        </w:rPr>
        <w:t>;</w:t>
      </w:r>
    </w:p>
    <w:p w:rsidR="003F55B5" w:rsidRPr="00045F56" w:rsidRDefault="003F55B5" w:rsidP="006A5BA2">
      <w:pPr>
        <w:pStyle w:val="ListParagraph"/>
        <w:numPr>
          <w:ilvl w:val="0"/>
          <w:numId w:val="21"/>
        </w:numPr>
        <w:spacing w:after="0" w:line="240" w:lineRule="auto"/>
        <w:rPr>
          <w:color w:val="000000" w:themeColor="text1"/>
          <w:sz w:val="22"/>
          <w:szCs w:val="22"/>
        </w:rPr>
      </w:pPr>
      <w:r w:rsidRPr="00045F56">
        <w:rPr>
          <w:color w:val="000000" w:themeColor="text1"/>
          <w:sz w:val="22"/>
          <w:szCs w:val="22"/>
        </w:rPr>
        <w:t>English</w:t>
      </w:r>
      <w:r w:rsidR="006A5BA2">
        <w:rPr>
          <w:color w:val="000000" w:themeColor="text1"/>
          <w:sz w:val="22"/>
          <w:szCs w:val="22"/>
        </w:rPr>
        <w:t xml:space="preserve"> </w:t>
      </w:r>
      <w:r w:rsidR="00D65F57">
        <w:rPr>
          <w:color w:val="000000" w:themeColor="text1"/>
          <w:sz w:val="22"/>
          <w:szCs w:val="22"/>
        </w:rPr>
        <w:t xml:space="preserve">language </w:t>
      </w:r>
      <w:r w:rsidR="001C1B48">
        <w:rPr>
          <w:color w:val="000000" w:themeColor="text1"/>
          <w:sz w:val="22"/>
          <w:szCs w:val="22"/>
        </w:rPr>
        <w:t>l</w:t>
      </w:r>
      <w:r w:rsidR="001C1B48" w:rsidRPr="00045F56">
        <w:rPr>
          <w:color w:val="000000" w:themeColor="text1"/>
          <w:sz w:val="22"/>
          <w:szCs w:val="22"/>
        </w:rPr>
        <w:t>earners</w:t>
      </w:r>
      <w:r w:rsidRPr="00045F56">
        <w:rPr>
          <w:color w:val="000000" w:themeColor="text1"/>
          <w:sz w:val="22"/>
          <w:szCs w:val="22"/>
        </w:rPr>
        <w:t>, including former English</w:t>
      </w:r>
      <w:r w:rsidR="00581407">
        <w:rPr>
          <w:color w:val="000000" w:themeColor="text1"/>
          <w:sz w:val="22"/>
          <w:szCs w:val="22"/>
        </w:rPr>
        <w:t xml:space="preserve"> </w:t>
      </w:r>
      <w:r w:rsidR="001C1B48">
        <w:rPr>
          <w:color w:val="000000" w:themeColor="text1"/>
          <w:sz w:val="22"/>
          <w:szCs w:val="22"/>
        </w:rPr>
        <w:t>l</w:t>
      </w:r>
      <w:r w:rsidR="00247EA6">
        <w:rPr>
          <w:color w:val="000000" w:themeColor="text1"/>
          <w:sz w:val="22"/>
          <w:szCs w:val="22"/>
        </w:rPr>
        <w:t xml:space="preserve">anguage </w:t>
      </w:r>
      <w:r w:rsidR="001C1B48">
        <w:rPr>
          <w:color w:val="000000" w:themeColor="text1"/>
          <w:sz w:val="22"/>
          <w:szCs w:val="22"/>
        </w:rPr>
        <w:t>l</w:t>
      </w:r>
      <w:r w:rsidR="001C1B48" w:rsidRPr="00045F56">
        <w:rPr>
          <w:color w:val="000000" w:themeColor="text1"/>
          <w:sz w:val="22"/>
          <w:szCs w:val="22"/>
        </w:rPr>
        <w:t>earners</w:t>
      </w:r>
      <w:r w:rsidRPr="00045F56">
        <w:rPr>
          <w:color w:val="000000" w:themeColor="text1"/>
          <w:sz w:val="22"/>
          <w:szCs w:val="22"/>
        </w:rPr>
        <w:t xml:space="preserve"> for </w:t>
      </w:r>
      <w:r w:rsidR="00B47BBB">
        <w:rPr>
          <w:color w:val="000000" w:themeColor="text1"/>
          <w:sz w:val="22"/>
          <w:szCs w:val="22"/>
        </w:rPr>
        <w:t>four</w:t>
      </w:r>
      <w:r w:rsidRPr="00045F56">
        <w:rPr>
          <w:color w:val="000000" w:themeColor="text1"/>
          <w:sz w:val="22"/>
          <w:szCs w:val="22"/>
        </w:rPr>
        <w:t xml:space="preserve"> years after </w:t>
      </w:r>
      <w:r w:rsidR="00B47BBB">
        <w:rPr>
          <w:color w:val="000000" w:themeColor="text1"/>
          <w:sz w:val="22"/>
          <w:szCs w:val="22"/>
        </w:rPr>
        <w:t>reclassification;</w:t>
      </w:r>
    </w:p>
    <w:p w:rsidR="003F55B5" w:rsidRPr="00045F56" w:rsidRDefault="003F55B5" w:rsidP="003F55B5">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American Indian or Alaska Native</w:t>
      </w:r>
      <w:r w:rsidRPr="00045F56" w:rsidDel="000F0544">
        <w:rPr>
          <w:color w:val="000000" w:themeColor="text1"/>
          <w:sz w:val="22"/>
          <w:szCs w:val="22"/>
        </w:rPr>
        <w:t xml:space="preserve"> </w:t>
      </w:r>
      <w:r w:rsidRPr="00045F56">
        <w:rPr>
          <w:color w:val="000000" w:themeColor="text1"/>
          <w:sz w:val="22"/>
          <w:szCs w:val="22"/>
        </w:rPr>
        <w:t>students</w:t>
      </w:r>
      <w:r w:rsidR="00B47BBB">
        <w:rPr>
          <w:color w:val="000000" w:themeColor="text1"/>
          <w:sz w:val="22"/>
          <w:szCs w:val="22"/>
        </w:rPr>
        <w:t>;</w:t>
      </w:r>
      <w:r w:rsidRPr="00045F56">
        <w:rPr>
          <w:color w:val="000000" w:themeColor="text1"/>
          <w:sz w:val="22"/>
          <w:szCs w:val="22"/>
        </w:rPr>
        <w:t xml:space="preserve"> </w:t>
      </w:r>
    </w:p>
    <w:p w:rsidR="003F55B5" w:rsidRDefault="003F55B5" w:rsidP="003F55B5">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Asian, Native Hawaiian, or other Pacific Islander</w:t>
      </w:r>
      <w:r w:rsidRPr="00045F56" w:rsidDel="000F0544">
        <w:rPr>
          <w:color w:val="000000" w:themeColor="text1"/>
          <w:sz w:val="22"/>
          <w:szCs w:val="22"/>
        </w:rPr>
        <w:t xml:space="preserve"> </w:t>
      </w:r>
      <w:r w:rsidRPr="00045F56">
        <w:rPr>
          <w:color w:val="000000" w:themeColor="text1"/>
          <w:sz w:val="22"/>
          <w:szCs w:val="22"/>
        </w:rPr>
        <w:t>students</w:t>
      </w:r>
      <w:r w:rsidR="00B47BBB">
        <w:rPr>
          <w:color w:val="000000" w:themeColor="text1"/>
          <w:sz w:val="22"/>
          <w:szCs w:val="22"/>
        </w:rPr>
        <w:t>;</w:t>
      </w:r>
      <w:r w:rsidRPr="00045F56">
        <w:rPr>
          <w:color w:val="000000" w:themeColor="text1"/>
          <w:sz w:val="22"/>
          <w:szCs w:val="22"/>
        </w:rPr>
        <w:t xml:space="preserve"> </w:t>
      </w:r>
    </w:p>
    <w:p w:rsidR="00045F56" w:rsidRPr="00045F56" w:rsidRDefault="00045F56" w:rsidP="00045F56">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Black or African American</w:t>
      </w:r>
      <w:r w:rsidRPr="00045F56" w:rsidDel="000F0544">
        <w:rPr>
          <w:color w:val="000000" w:themeColor="text1"/>
          <w:sz w:val="22"/>
          <w:szCs w:val="22"/>
        </w:rPr>
        <w:t xml:space="preserve"> </w:t>
      </w:r>
      <w:r w:rsidRPr="00045F56">
        <w:rPr>
          <w:color w:val="000000" w:themeColor="text1"/>
          <w:sz w:val="22"/>
          <w:szCs w:val="22"/>
        </w:rPr>
        <w:t>students</w:t>
      </w:r>
      <w:r w:rsidR="00B47BBB">
        <w:rPr>
          <w:color w:val="000000" w:themeColor="text1"/>
          <w:sz w:val="22"/>
          <w:szCs w:val="22"/>
        </w:rPr>
        <w:t>;</w:t>
      </w:r>
      <w:r w:rsidRPr="00045F56">
        <w:rPr>
          <w:color w:val="000000" w:themeColor="text1"/>
          <w:sz w:val="22"/>
          <w:szCs w:val="22"/>
        </w:rPr>
        <w:t xml:space="preserve"> </w:t>
      </w:r>
    </w:p>
    <w:p w:rsidR="00045F56" w:rsidRPr="00045F56" w:rsidRDefault="00045F56" w:rsidP="00045F56">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Hispanic or Latino students (of any race)</w:t>
      </w:r>
      <w:r w:rsidR="00B47BBB">
        <w:rPr>
          <w:color w:val="000000" w:themeColor="text1"/>
          <w:sz w:val="22"/>
          <w:szCs w:val="22"/>
        </w:rPr>
        <w:t>;</w:t>
      </w:r>
      <w:r w:rsidRPr="00045F56" w:rsidDel="000F0544">
        <w:rPr>
          <w:color w:val="000000" w:themeColor="text1"/>
          <w:sz w:val="22"/>
          <w:szCs w:val="22"/>
        </w:rPr>
        <w:t xml:space="preserve"> </w:t>
      </w:r>
    </w:p>
    <w:p w:rsidR="003F55B5" w:rsidRPr="00045F56" w:rsidRDefault="003F55B5" w:rsidP="003F55B5">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White students</w:t>
      </w:r>
      <w:r w:rsidR="00B47BBB">
        <w:rPr>
          <w:color w:val="000000" w:themeColor="text1"/>
          <w:sz w:val="22"/>
          <w:szCs w:val="22"/>
        </w:rPr>
        <w:t>; and</w:t>
      </w:r>
    </w:p>
    <w:p w:rsidR="00045F56" w:rsidRPr="00045F56" w:rsidRDefault="00045F56" w:rsidP="00045F56">
      <w:pPr>
        <w:pStyle w:val="ListParagraph"/>
        <w:numPr>
          <w:ilvl w:val="0"/>
          <w:numId w:val="21"/>
        </w:numPr>
        <w:spacing w:after="0" w:line="240" w:lineRule="auto"/>
        <w:jc w:val="both"/>
        <w:rPr>
          <w:color w:val="000000" w:themeColor="text1"/>
          <w:sz w:val="22"/>
          <w:szCs w:val="22"/>
        </w:rPr>
      </w:pPr>
      <w:r w:rsidRPr="00045F56">
        <w:rPr>
          <w:color w:val="000000" w:themeColor="text1"/>
          <w:sz w:val="22"/>
          <w:szCs w:val="22"/>
        </w:rPr>
        <w:t xml:space="preserve">Two or More Races (also </w:t>
      </w:r>
      <w:r w:rsidR="0073714B">
        <w:rPr>
          <w:color w:val="000000" w:themeColor="text1"/>
          <w:sz w:val="22"/>
          <w:szCs w:val="22"/>
        </w:rPr>
        <w:t xml:space="preserve">includes students whose </w:t>
      </w:r>
      <w:r w:rsidRPr="00045F56">
        <w:rPr>
          <w:color w:val="000000" w:themeColor="text1"/>
          <w:sz w:val="22"/>
          <w:szCs w:val="22"/>
        </w:rPr>
        <w:t>race/ethnicity is not coded)</w:t>
      </w:r>
      <w:r w:rsidR="00B47BBB">
        <w:rPr>
          <w:color w:val="000000" w:themeColor="text1"/>
          <w:sz w:val="22"/>
          <w:szCs w:val="22"/>
        </w:rPr>
        <w:t>.</w:t>
      </w:r>
    </w:p>
    <w:p w:rsidR="00363AF7" w:rsidRDefault="00686E4D" w:rsidP="00363AF7">
      <w:pPr>
        <w:ind w:right="1354"/>
        <w:jc w:val="both"/>
        <w:rPr>
          <w:sz w:val="22"/>
          <w:szCs w:val="22"/>
        </w:rPr>
      </w:pPr>
      <w:r>
        <w:rPr>
          <w:sz w:val="22"/>
          <w:szCs w:val="22"/>
        </w:rPr>
        <w:t>The</w:t>
      </w:r>
      <w:r w:rsidRPr="00363AF7">
        <w:rPr>
          <w:sz w:val="22"/>
          <w:szCs w:val="22"/>
        </w:rPr>
        <w:t xml:space="preserve"> </w:t>
      </w:r>
      <w:r w:rsidR="00363AF7" w:rsidRPr="00363AF7">
        <w:rPr>
          <w:sz w:val="22"/>
          <w:szCs w:val="22"/>
        </w:rPr>
        <w:t xml:space="preserve">racial and ethnic </w:t>
      </w:r>
      <w:r w:rsidR="00CA5B46">
        <w:rPr>
          <w:sz w:val="22"/>
          <w:szCs w:val="22"/>
        </w:rPr>
        <w:t>student groups</w:t>
      </w:r>
      <w:r w:rsidR="00CA5B46" w:rsidRPr="00363AF7">
        <w:rPr>
          <w:sz w:val="22"/>
          <w:szCs w:val="22"/>
        </w:rPr>
        <w:t xml:space="preserve"> </w:t>
      </w:r>
      <w:r w:rsidR="00363AF7" w:rsidRPr="00363AF7">
        <w:rPr>
          <w:sz w:val="22"/>
          <w:szCs w:val="22"/>
        </w:rPr>
        <w:t xml:space="preserve">are consistent with the requirements for federal </w:t>
      </w:r>
      <w:r w:rsidR="00045F56">
        <w:rPr>
          <w:sz w:val="22"/>
          <w:szCs w:val="22"/>
        </w:rPr>
        <w:t>r</w:t>
      </w:r>
      <w:r w:rsidR="00363AF7" w:rsidRPr="00363AF7">
        <w:rPr>
          <w:sz w:val="22"/>
          <w:szCs w:val="22"/>
        </w:rPr>
        <w:t>eporting according to the most recent federal guidance published in the Federal Register (</w:t>
      </w:r>
      <w:hyperlink r:id="rId11" w:history="1">
        <w:r w:rsidR="00363AF7" w:rsidRPr="00686E4D">
          <w:rPr>
            <w:rStyle w:val="Hyperlink"/>
            <w:sz w:val="22"/>
            <w:szCs w:val="22"/>
          </w:rPr>
          <w:t>72 Fed. Reg. 59267</w:t>
        </w:r>
      </w:hyperlink>
      <w:r w:rsidR="00363AF7" w:rsidRPr="00363AF7">
        <w:rPr>
          <w:sz w:val="22"/>
          <w:szCs w:val="22"/>
        </w:rPr>
        <w:t>).</w:t>
      </w:r>
    </w:p>
    <w:p w:rsidR="003E2878" w:rsidRDefault="003E2878" w:rsidP="00363AF7">
      <w:pPr>
        <w:ind w:right="1354"/>
        <w:jc w:val="both"/>
        <w:rPr>
          <w:sz w:val="22"/>
          <w:szCs w:val="22"/>
        </w:rPr>
      </w:pPr>
    </w:p>
    <w:p w:rsidR="00571117" w:rsidRPr="00A561A4" w:rsidRDefault="00571117" w:rsidP="00571117">
      <w:pPr>
        <w:pStyle w:val="Heading3"/>
        <w:rPr>
          <w:rFonts w:cstheme="minorHAnsi"/>
          <w:sz w:val="24"/>
          <w:szCs w:val="24"/>
        </w:rPr>
      </w:pPr>
      <w:r w:rsidRPr="00A561A4">
        <w:rPr>
          <w:rFonts w:cstheme="minorHAnsi"/>
          <w:sz w:val="24"/>
          <w:szCs w:val="24"/>
        </w:rPr>
        <w:t>M</w:t>
      </w:r>
      <w:r w:rsidR="001A38ED" w:rsidRPr="00A561A4">
        <w:rPr>
          <w:rFonts w:cstheme="minorHAnsi"/>
          <w:sz w:val="24"/>
          <w:szCs w:val="24"/>
        </w:rPr>
        <w:t>inimum</w:t>
      </w:r>
      <w:r w:rsidRPr="00A561A4">
        <w:rPr>
          <w:rFonts w:cstheme="minorHAnsi"/>
          <w:sz w:val="24"/>
          <w:szCs w:val="24"/>
        </w:rPr>
        <w:t xml:space="preserve"> N-S</w:t>
      </w:r>
      <w:r w:rsidR="001A38ED" w:rsidRPr="00A561A4">
        <w:rPr>
          <w:rFonts w:cstheme="minorHAnsi"/>
          <w:sz w:val="24"/>
          <w:szCs w:val="24"/>
        </w:rPr>
        <w:t>ize</w:t>
      </w:r>
    </w:p>
    <w:p w:rsidR="00571117" w:rsidRDefault="00571117" w:rsidP="008E0B37">
      <w:pPr>
        <w:rPr>
          <w:sz w:val="22"/>
          <w:szCs w:val="22"/>
        </w:rPr>
      </w:pPr>
      <w:r>
        <w:rPr>
          <w:sz w:val="22"/>
          <w:szCs w:val="22"/>
        </w:rPr>
        <w:t>The m</w:t>
      </w:r>
      <w:r w:rsidRPr="00571117">
        <w:rPr>
          <w:sz w:val="22"/>
          <w:szCs w:val="22"/>
        </w:rPr>
        <w:t xml:space="preserve">inimum </w:t>
      </w:r>
      <w:r w:rsidRPr="008E0B37">
        <w:rPr>
          <w:sz w:val="22"/>
          <w:szCs w:val="22"/>
        </w:rPr>
        <w:t xml:space="preserve">number of students </w:t>
      </w:r>
      <w:r w:rsidR="00247EA6">
        <w:rPr>
          <w:sz w:val="22"/>
          <w:szCs w:val="22"/>
        </w:rPr>
        <w:t xml:space="preserve">(n-size) </w:t>
      </w:r>
      <w:r w:rsidRPr="008E0B37">
        <w:rPr>
          <w:sz w:val="22"/>
          <w:szCs w:val="22"/>
        </w:rPr>
        <w:t>required for calculations</w:t>
      </w:r>
      <w:r w:rsidR="009C201F">
        <w:rPr>
          <w:sz w:val="22"/>
          <w:szCs w:val="22"/>
        </w:rPr>
        <w:t xml:space="preserve"> and accountability purposes</w:t>
      </w:r>
      <w:r w:rsidRPr="008E0B37">
        <w:rPr>
          <w:sz w:val="22"/>
          <w:szCs w:val="22"/>
        </w:rPr>
        <w:t xml:space="preserve"> is twenty (20).  </w:t>
      </w:r>
      <w:r w:rsidR="00247EA6" w:rsidRPr="008E0B37">
        <w:rPr>
          <w:sz w:val="22"/>
          <w:szCs w:val="22"/>
        </w:rPr>
        <w:t>Th</w:t>
      </w:r>
      <w:r w:rsidR="00247EA6">
        <w:rPr>
          <w:sz w:val="22"/>
          <w:szCs w:val="22"/>
        </w:rPr>
        <w:t>is</w:t>
      </w:r>
      <w:r w:rsidR="00247EA6" w:rsidRPr="008E0B37">
        <w:rPr>
          <w:sz w:val="22"/>
          <w:szCs w:val="22"/>
        </w:rPr>
        <w:t xml:space="preserve"> </w:t>
      </w:r>
      <w:r w:rsidRPr="008E0B37">
        <w:rPr>
          <w:sz w:val="22"/>
          <w:szCs w:val="22"/>
        </w:rPr>
        <w:t xml:space="preserve">n-size applies to calculations at district, school, and </w:t>
      </w:r>
      <w:r w:rsidR="005846FF">
        <w:rPr>
          <w:sz w:val="22"/>
          <w:szCs w:val="22"/>
        </w:rPr>
        <w:t xml:space="preserve">student </w:t>
      </w:r>
      <w:r w:rsidRPr="008E0B37">
        <w:rPr>
          <w:sz w:val="22"/>
          <w:szCs w:val="22"/>
        </w:rPr>
        <w:t>group levels</w:t>
      </w:r>
      <w:r w:rsidR="00247EA6">
        <w:rPr>
          <w:sz w:val="22"/>
          <w:szCs w:val="22"/>
        </w:rPr>
        <w:t xml:space="preserve"> for all indicators</w:t>
      </w:r>
      <w:r w:rsidRPr="008E0B37">
        <w:rPr>
          <w:sz w:val="22"/>
          <w:szCs w:val="22"/>
        </w:rPr>
        <w:t xml:space="preserve">.  </w:t>
      </w:r>
      <w:r w:rsidR="00247EA6" w:rsidRPr="001F5E1F">
        <w:rPr>
          <w:sz w:val="22"/>
          <w:szCs w:val="22"/>
        </w:rPr>
        <w:t>A</w:t>
      </w:r>
      <w:r w:rsidR="00E83821">
        <w:rPr>
          <w:sz w:val="22"/>
          <w:szCs w:val="22"/>
        </w:rPr>
        <w:t>n asterisk</w:t>
      </w:r>
      <w:r w:rsidR="00247EA6" w:rsidRPr="001F5E1F">
        <w:rPr>
          <w:sz w:val="22"/>
          <w:szCs w:val="22"/>
        </w:rPr>
        <w:t xml:space="preserve"> (</w:t>
      </w:r>
      <w:r w:rsidR="00E83821">
        <w:rPr>
          <w:sz w:val="22"/>
          <w:szCs w:val="22"/>
        </w:rPr>
        <w:t>*</w:t>
      </w:r>
      <w:r w:rsidR="00247EA6" w:rsidRPr="001F5E1F">
        <w:rPr>
          <w:sz w:val="22"/>
          <w:szCs w:val="22"/>
        </w:rPr>
        <w:t>) appears on the profile if the group size is less than 20.</w:t>
      </w:r>
    </w:p>
    <w:p w:rsidR="00571117" w:rsidRPr="002354D0" w:rsidRDefault="00247EA6" w:rsidP="008E0B37">
      <w:pPr>
        <w:rPr>
          <w:i/>
          <w:sz w:val="22"/>
          <w:szCs w:val="22"/>
        </w:rPr>
      </w:pPr>
      <w:r w:rsidRPr="002354D0">
        <w:rPr>
          <w:i/>
          <w:sz w:val="22"/>
          <w:szCs w:val="22"/>
        </w:rPr>
        <w:t>*Note, that f</w:t>
      </w:r>
      <w:r w:rsidR="00571117" w:rsidRPr="002354D0">
        <w:rPr>
          <w:i/>
          <w:sz w:val="22"/>
          <w:szCs w:val="22"/>
        </w:rPr>
        <w:t xml:space="preserve">or proficiency, the minimum n-size is based on the number of students required to take statewide assessments, not the number of valid test scores.  </w:t>
      </w:r>
    </w:p>
    <w:p w:rsidR="00571117" w:rsidRPr="00A561A4" w:rsidRDefault="00571117" w:rsidP="0003187B">
      <w:pPr>
        <w:pStyle w:val="Heading3"/>
        <w:rPr>
          <w:rFonts w:cstheme="minorHAnsi"/>
          <w:sz w:val="24"/>
          <w:szCs w:val="24"/>
        </w:rPr>
      </w:pPr>
      <w:r w:rsidRPr="00A561A4">
        <w:rPr>
          <w:rFonts w:cstheme="minorHAnsi"/>
          <w:sz w:val="24"/>
          <w:szCs w:val="24"/>
        </w:rPr>
        <w:t>Statewide Assessment</w:t>
      </w:r>
      <w:r w:rsidR="00C04630" w:rsidRPr="00A561A4">
        <w:rPr>
          <w:rFonts w:cstheme="minorHAnsi"/>
          <w:sz w:val="24"/>
          <w:szCs w:val="24"/>
        </w:rPr>
        <w:t xml:space="preserve"> D</w:t>
      </w:r>
      <w:r w:rsidR="001A38ED" w:rsidRPr="00A561A4">
        <w:rPr>
          <w:rFonts w:cstheme="minorHAnsi"/>
          <w:sz w:val="24"/>
          <w:szCs w:val="24"/>
        </w:rPr>
        <w:t xml:space="preserve">ata </w:t>
      </w:r>
      <w:r w:rsidRPr="00A561A4">
        <w:rPr>
          <w:rFonts w:cstheme="minorHAnsi"/>
          <w:sz w:val="24"/>
          <w:szCs w:val="24"/>
        </w:rPr>
        <w:t>I</w:t>
      </w:r>
      <w:r w:rsidR="001A38ED" w:rsidRPr="00A561A4">
        <w:rPr>
          <w:rFonts w:cstheme="minorHAnsi"/>
          <w:sz w:val="24"/>
          <w:szCs w:val="24"/>
        </w:rPr>
        <w:t xml:space="preserve">ncluded in </w:t>
      </w:r>
      <w:r w:rsidRPr="00A561A4">
        <w:rPr>
          <w:rFonts w:cstheme="minorHAnsi"/>
          <w:sz w:val="24"/>
          <w:szCs w:val="24"/>
        </w:rPr>
        <w:t>the Profiles</w:t>
      </w:r>
    </w:p>
    <w:p w:rsidR="00571117" w:rsidRPr="001F5E1F" w:rsidRDefault="00571117" w:rsidP="00571117">
      <w:pPr>
        <w:jc w:val="both"/>
        <w:rPr>
          <w:sz w:val="22"/>
          <w:szCs w:val="22"/>
        </w:rPr>
      </w:pPr>
      <w:r>
        <w:rPr>
          <w:sz w:val="22"/>
          <w:szCs w:val="22"/>
        </w:rPr>
        <w:t>Statewide assessment data for students in grades 3-10 is aggregated to calculate participation and proficiency rates in each content area: English Language Arts</w:t>
      </w:r>
      <w:r w:rsidR="007C3F6A">
        <w:rPr>
          <w:sz w:val="22"/>
          <w:szCs w:val="22"/>
        </w:rPr>
        <w:t>/Literacy</w:t>
      </w:r>
      <w:r>
        <w:rPr>
          <w:sz w:val="22"/>
          <w:szCs w:val="22"/>
        </w:rPr>
        <w:t xml:space="preserve"> (ELA</w:t>
      </w:r>
      <w:r w:rsidR="007C3F6A">
        <w:rPr>
          <w:sz w:val="22"/>
          <w:szCs w:val="22"/>
        </w:rPr>
        <w:t>/L</w:t>
      </w:r>
      <w:r>
        <w:rPr>
          <w:sz w:val="22"/>
          <w:szCs w:val="22"/>
        </w:rPr>
        <w:t xml:space="preserve">) and mathematics.  Rates are calculated for all students in a school or district and for each student </w:t>
      </w:r>
      <w:r w:rsidR="005846FF">
        <w:rPr>
          <w:sz w:val="22"/>
          <w:szCs w:val="22"/>
        </w:rPr>
        <w:t xml:space="preserve">group </w:t>
      </w:r>
      <w:r w:rsidR="00A7036B">
        <w:rPr>
          <w:sz w:val="22"/>
          <w:szCs w:val="22"/>
        </w:rPr>
        <w:t>(meeting the minimum n-size)</w:t>
      </w:r>
      <w:r>
        <w:rPr>
          <w:sz w:val="22"/>
          <w:szCs w:val="22"/>
        </w:rPr>
        <w:t xml:space="preserve"> in a school or district </w:t>
      </w:r>
      <w:r w:rsidRPr="001F5E1F">
        <w:rPr>
          <w:sz w:val="22"/>
          <w:szCs w:val="22"/>
        </w:rPr>
        <w:t>and include students who participated in:</w:t>
      </w:r>
    </w:p>
    <w:p w:rsidR="00571117" w:rsidRPr="001F5E1F" w:rsidRDefault="00571117" w:rsidP="00571117">
      <w:pPr>
        <w:pStyle w:val="ListParagraph"/>
        <w:numPr>
          <w:ilvl w:val="0"/>
          <w:numId w:val="14"/>
        </w:numPr>
        <w:tabs>
          <w:tab w:val="left" w:pos="-90"/>
        </w:tabs>
        <w:spacing w:after="0" w:line="240" w:lineRule="auto"/>
        <w:ind w:left="576" w:hanging="288"/>
        <w:jc w:val="both"/>
        <w:rPr>
          <w:sz w:val="22"/>
          <w:szCs w:val="22"/>
        </w:rPr>
      </w:pPr>
      <w:r w:rsidRPr="001F5E1F">
        <w:rPr>
          <w:sz w:val="22"/>
          <w:szCs w:val="22"/>
        </w:rPr>
        <w:t xml:space="preserve">PARCC </w:t>
      </w:r>
      <w:r>
        <w:rPr>
          <w:sz w:val="22"/>
          <w:szCs w:val="22"/>
        </w:rPr>
        <w:t>ELA</w:t>
      </w:r>
      <w:r w:rsidR="007C3F6A">
        <w:rPr>
          <w:sz w:val="22"/>
          <w:szCs w:val="22"/>
        </w:rPr>
        <w:t>/L</w:t>
      </w:r>
      <w:r w:rsidRPr="001F5E1F">
        <w:rPr>
          <w:sz w:val="22"/>
          <w:szCs w:val="22"/>
        </w:rPr>
        <w:t xml:space="preserve"> grades 3-10</w:t>
      </w:r>
    </w:p>
    <w:p w:rsidR="00571117" w:rsidRPr="001F5E1F" w:rsidRDefault="00571117" w:rsidP="00571117">
      <w:pPr>
        <w:pStyle w:val="ListParagraph"/>
        <w:numPr>
          <w:ilvl w:val="0"/>
          <w:numId w:val="14"/>
        </w:numPr>
        <w:tabs>
          <w:tab w:val="left" w:pos="-90"/>
        </w:tabs>
        <w:spacing w:after="0" w:line="240" w:lineRule="auto"/>
        <w:ind w:left="576" w:hanging="288"/>
        <w:jc w:val="both"/>
        <w:rPr>
          <w:sz w:val="22"/>
          <w:szCs w:val="22"/>
        </w:rPr>
      </w:pPr>
      <w:r w:rsidRPr="001F5E1F">
        <w:rPr>
          <w:sz w:val="22"/>
          <w:szCs w:val="22"/>
        </w:rPr>
        <w:t>PARCC Mathematics grades 3-8 and end-of</w:t>
      </w:r>
      <w:r>
        <w:rPr>
          <w:sz w:val="22"/>
          <w:szCs w:val="22"/>
        </w:rPr>
        <w:t>-</w:t>
      </w:r>
      <w:r w:rsidRPr="001F5E1F">
        <w:rPr>
          <w:sz w:val="22"/>
          <w:szCs w:val="22"/>
        </w:rPr>
        <w:t>course assessments for Algebra I, Algebra II</w:t>
      </w:r>
      <w:r>
        <w:rPr>
          <w:sz w:val="22"/>
          <w:szCs w:val="22"/>
        </w:rPr>
        <w:t>,</w:t>
      </w:r>
      <w:r w:rsidRPr="001F5E1F">
        <w:rPr>
          <w:sz w:val="22"/>
          <w:szCs w:val="22"/>
        </w:rPr>
        <w:t xml:space="preserve"> and Geometry </w:t>
      </w:r>
      <w:r w:rsidR="00DA2E52">
        <w:rPr>
          <w:sz w:val="22"/>
          <w:szCs w:val="22"/>
        </w:rPr>
        <w:t>taken by students in grades 3-10</w:t>
      </w:r>
    </w:p>
    <w:p w:rsidR="00571117" w:rsidRDefault="00571117" w:rsidP="00571117">
      <w:pPr>
        <w:pStyle w:val="ListParagraph"/>
        <w:numPr>
          <w:ilvl w:val="0"/>
          <w:numId w:val="14"/>
        </w:numPr>
        <w:tabs>
          <w:tab w:val="left" w:pos="-90"/>
        </w:tabs>
        <w:spacing w:after="0" w:line="240" w:lineRule="auto"/>
        <w:ind w:left="576" w:hanging="288"/>
        <w:jc w:val="both"/>
        <w:rPr>
          <w:sz w:val="22"/>
          <w:szCs w:val="22"/>
        </w:rPr>
      </w:pPr>
      <w:r w:rsidRPr="001F5E1F">
        <w:rPr>
          <w:sz w:val="22"/>
          <w:szCs w:val="22"/>
        </w:rPr>
        <w:t>Dynamic Learning Maps</w:t>
      </w:r>
      <w:r w:rsidR="0091638E">
        <w:rPr>
          <w:sz w:val="22"/>
          <w:szCs w:val="22"/>
        </w:rPr>
        <w:t xml:space="preserve"> </w:t>
      </w:r>
      <w:r w:rsidR="00A7036B">
        <w:rPr>
          <w:sz w:val="22"/>
          <w:szCs w:val="22"/>
        </w:rPr>
        <w:t>ELA/</w:t>
      </w:r>
      <w:r w:rsidRPr="001F5E1F">
        <w:rPr>
          <w:sz w:val="22"/>
          <w:szCs w:val="22"/>
        </w:rPr>
        <w:t>Mathematics 3-8 and high school</w:t>
      </w:r>
    </w:p>
    <w:p w:rsidR="00CE6DBD" w:rsidRDefault="00CE6DBD" w:rsidP="00571117">
      <w:pPr>
        <w:pStyle w:val="ListParagraph"/>
        <w:numPr>
          <w:ilvl w:val="0"/>
          <w:numId w:val="14"/>
        </w:numPr>
        <w:tabs>
          <w:tab w:val="left" w:pos="-90"/>
        </w:tabs>
        <w:spacing w:after="0" w:line="240" w:lineRule="auto"/>
        <w:ind w:left="576" w:hanging="288"/>
        <w:jc w:val="both"/>
        <w:rPr>
          <w:sz w:val="22"/>
          <w:szCs w:val="22"/>
        </w:rPr>
      </w:pPr>
      <w:r>
        <w:rPr>
          <w:sz w:val="22"/>
          <w:szCs w:val="22"/>
        </w:rPr>
        <w:t xml:space="preserve">ACCESS for ELLs Assessment grades </w:t>
      </w:r>
      <w:r w:rsidR="001C1B48">
        <w:rPr>
          <w:sz w:val="22"/>
          <w:szCs w:val="22"/>
        </w:rPr>
        <w:t>K</w:t>
      </w:r>
      <w:r>
        <w:rPr>
          <w:sz w:val="22"/>
          <w:szCs w:val="22"/>
        </w:rPr>
        <w:t>-12</w:t>
      </w:r>
    </w:p>
    <w:p w:rsidR="00DC6B56" w:rsidRPr="00A561A4" w:rsidRDefault="00B120F7" w:rsidP="0003187B">
      <w:pPr>
        <w:pStyle w:val="Heading3"/>
        <w:rPr>
          <w:rFonts w:cstheme="minorHAnsi"/>
          <w:sz w:val="24"/>
          <w:szCs w:val="24"/>
        </w:rPr>
      </w:pPr>
      <w:r w:rsidRPr="00A561A4">
        <w:rPr>
          <w:rFonts w:cstheme="minorHAnsi"/>
          <w:sz w:val="24"/>
          <w:szCs w:val="24"/>
        </w:rPr>
        <w:t>Participation Rate</w:t>
      </w:r>
      <w:r w:rsidR="0003463C" w:rsidRPr="00A561A4">
        <w:rPr>
          <w:rFonts w:cstheme="minorHAnsi"/>
          <w:sz w:val="24"/>
          <w:szCs w:val="24"/>
        </w:rPr>
        <w:t xml:space="preserve"> </w:t>
      </w:r>
    </w:p>
    <w:p w:rsidR="00E41C5D" w:rsidRDefault="00DB3998" w:rsidP="00E41C5D">
      <w:pPr>
        <w:jc w:val="both"/>
        <w:rPr>
          <w:sz w:val="22"/>
          <w:szCs w:val="22"/>
        </w:rPr>
      </w:pPr>
      <w:r>
        <w:rPr>
          <w:sz w:val="22"/>
          <w:szCs w:val="22"/>
        </w:rPr>
        <w:t xml:space="preserve">Use of participation rates has changed considerably under </w:t>
      </w:r>
      <w:r w:rsidR="00CA5B46">
        <w:rPr>
          <w:sz w:val="22"/>
          <w:szCs w:val="22"/>
        </w:rPr>
        <w:t xml:space="preserve">the reauthorized </w:t>
      </w:r>
      <w:r w:rsidR="00CA5B46" w:rsidRPr="002354D0">
        <w:rPr>
          <w:i/>
          <w:sz w:val="22"/>
          <w:szCs w:val="22"/>
        </w:rPr>
        <w:t>ESEA</w:t>
      </w:r>
      <w:r w:rsidR="00CA5B46">
        <w:rPr>
          <w:sz w:val="22"/>
          <w:szCs w:val="22"/>
        </w:rPr>
        <w:t xml:space="preserve">. </w:t>
      </w:r>
      <w:r>
        <w:rPr>
          <w:sz w:val="22"/>
          <w:szCs w:val="22"/>
        </w:rPr>
        <w:t>The participation rate itself is no longer an indicator itself, but rather the law requires states to factor participation into the measure of Academic Achievement</w:t>
      </w:r>
      <w:r w:rsidR="002B32B4">
        <w:rPr>
          <w:sz w:val="22"/>
          <w:szCs w:val="22"/>
        </w:rPr>
        <w:t xml:space="preserve"> as follows: </w:t>
      </w:r>
    </w:p>
    <w:p w:rsidR="007E3FE7" w:rsidRDefault="002B32B4" w:rsidP="00E41C5D">
      <w:pPr>
        <w:shd w:val="clear" w:color="auto" w:fill="DEEAF6" w:themeFill="accent5" w:themeFillTint="33"/>
        <w:jc w:val="both"/>
      </w:pPr>
      <w:r w:rsidRPr="002B32B4">
        <w:rPr>
          <w:sz w:val="22"/>
          <w:szCs w:val="22"/>
        </w:rPr>
        <w:t xml:space="preserve">Under 1111(c)(4)(E) of </w:t>
      </w:r>
      <w:r w:rsidR="001062BB">
        <w:rPr>
          <w:i/>
          <w:sz w:val="22"/>
          <w:szCs w:val="22"/>
        </w:rPr>
        <w:t>ESSA</w:t>
      </w:r>
      <w:r w:rsidRPr="002B32B4">
        <w:rPr>
          <w:sz w:val="22"/>
          <w:szCs w:val="22"/>
        </w:rPr>
        <w:t>, all states are required annually to measure the achievement of at least 95</w:t>
      </w:r>
      <w:r w:rsidR="008173E3">
        <w:rPr>
          <w:sz w:val="22"/>
          <w:szCs w:val="22"/>
        </w:rPr>
        <w:t>%</w:t>
      </w:r>
      <w:r w:rsidRPr="002B32B4">
        <w:rPr>
          <w:sz w:val="22"/>
          <w:szCs w:val="22"/>
        </w:rPr>
        <w:t xml:space="preserve"> of all students in each student subgroup. When measuring, calculating, and reporting proficiency rates, states are required to include either a denominator equal to 95</w:t>
      </w:r>
      <w:r w:rsidR="008173E3">
        <w:rPr>
          <w:sz w:val="22"/>
          <w:szCs w:val="22"/>
        </w:rPr>
        <w:t>%</w:t>
      </w:r>
      <w:r w:rsidRPr="002B32B4">
        <w:rPr>
          <w:sz w:val="22"/>
          <w:szCs w:val="22"/>
        </w:rPr>
        <w:t xml:space="preserve"> of all students (and of each student subgroup as the case may be) or the number of students participating in the assessments.  For schools that fail to achieve 95</w:t>
      </w:r>
      <w:r w:rsidR="008173E3">
        <w:rPr>
          <w:sz w:val="22"/>
          <w:szCs w:val="22"/>
        </w:rPr>
        <w:t>%</w:t>
      </w:r>
      <w:r w:rsidRPr="002B32B4">
        <w:rPr>
          <w:sz w:val="22"/>
          <w:szCs w:val="22"/>
        </w:rPr>
        <w:t xml:space="preserve"> </w:t>
      </w:r>
      <w:r w:rsidR="00D85BE4" w:rsidRPr="002B32B4">
        <w:rPr>
          <w:sz w:val="22"/>
          <w:szCs w:val="22"/>
        </w:rPr>
        <w:t>participation,</w:t>
      </w:r>
      <w:r w:rsidR="00D85BE4" w:rsidRPr="00985F5F">
        <w:rPr>
          <w:sz w:val="22"/>
        </w:rPr>
        <w:t xml:space="preserve"> </w:t>
      </w:r>
      <w:r w:rsidR="0072335E">
        <w:t>t</w:t>
      </w:r>
      <w:r w:rsidR="00D85BE4" w:rsidRPr="007E3FE7">
        <w:t>he</w:t>
      </w:r>
      <w:r w:rsidR="007E3FE7">
        <w:t xml:space="preserve"> proficiency rate would be adjusted to account for 9</w:t>
      </w:r>
      <w:r w:rsidR="004B52FF">
        <w:t>5</w:t>
      </w:r>
      <w:r w:rsidR="008173E3">
        <w:t xml:space="preserve">% </w:t>
      </w:r>
      <w:r w:rsidR="007E3FE7">
        <w:t>of students as required by 1111</w:t>
      </w:r>
      <w:r w:rsidR="007E3FE7" w:rsidRPr="002B32B4">
        <w:rPr>
          <w:sz w:val="22"/>
          <w:szCs w:val="22"/>
        </w:rPr>
        <w:t xml:space="preserve">(c)(4)(E) of </w:t>
      </w:r>
      <w:r w:rsidR="007E3FE7">
        <w:rPr>
          <w:i/>
          <w:sz w:val="22"/>
          <w:szCs w:val="22"/>
        </w:rPr>
        <w:t>ESSA.</w:t>
      </w:r>
    </w:p>
    <w:p w:rsidR="00D53092" w:rsidRDefault="00686E4D" w:rsidP="000D6B00">
      <w:pPr>
        <w:jc w:val="both"/>
        <w:rPr>
          <w:sz w:val="22"/>
          <w:szCs w:val="22"/>
        </w:rPr>
      </w:pPr>
      <w:r>
        <w:rPr>
          <w:sz w:val="22"/>
          <w:szCs w:val="22"/>
        </w:rPr>
        <w:t xml:space="preserve">The use of student participation in the statewide assessment as a factor in the calculation of a school’s </w:t>
      </w:r>
      <w:r w:rsidR="0073714B">
        <w:rPr>
          <w:sz w:val="22"/>
          <w:szCs w:val="22"/>
        </w:rPr>
        <w:t xml:space="preserve">proficiency </w:t>
      </w:r>
      <w:r>
        <w:rPr>
          <w:sz w:val="22"/>
          <w:szCs w:val="22"/>
        </w:rPr>
        <w:t xml:space="preserve">rate represents a significant shift from </w:t>
      </w:r>
      <w:r w:rsidRPr="004C1B6B">
        <w:rPr>
          <w:i/>
          <w:sz w:val="22"/>
          <w:szCs w:val="22"/>
        </w:rPr>
        <w:t>NCLB</w:t>
      </w:r>
      <w:r>
        <w:rPr>
          <w:sz w:val="22"/>
          <w:szCs w:val="22"/>
        </w:rPr>
        <w:t xml:space="preserve">. </w:t>
      </w:r>
    </w:p>
    <w:p w:rsidR="00D53092" w:rsidRDefault="00D53092">
      <w:pPr>
        <w:rPr>
          <w:sz w:val="22"/>
          <w:szCs w:val="22"/>
        </w:rPr>
      </w:pPr>
      <w:r>
        <w:rPr>
          <w:sz w:val="22"/>
          <w:szCs w:val="22"/>
        </w:rPr>
        <w:br w:type="page"/>
      </w:r>
    </w:p>
    <w:p w:rsidR="00F07704" w:rsidRPr="00AF7B02" w:rsidRDefault="00686E4D" w:rsidP="00035483">
      <w:pPr>
        <w:pStyle w:val="Heading2"/>
        <w:rPr>
          <w:rFonts w:cstheme="minorHAnsi"/>
          <w:caps w:val="0"/>
          <w:sz w:val="24"/>
          <w:szCs w:val="24"/>
        </w:rPr>
      </w:pPr>
      <w:r w:rsidRPr="00AF7B02">
        <w:rPr>
          <w:rFonts w:cstheme="minorHAnsi"/>
          <w:caps w:val="0"/>
          <w:sz w:val="24"/>
          <w:szCs w:val="24"/>
        </w:rPr>
        <w:t xml:space="preserve">ESSA </w:t>
      </w:r>
      <w:r w:rsidR="00F07704" w:rsidRPr="00AF7B02">
        <w:rPr>
          <w:rFonts w:cstheme="minorHAnsi"/>
          <w:caps w:val="0"/>
          <w:sz w:val="24"/>
          <w:szCs w:val="24"/>
        </w:rPr>
        <w:t>Accountability Profile</w:t>
      </w:r>
    </w:p>
    <w:p w:rsidR="00D916E2" w:rsidRDefault="00D916E2" w:rsidP="00D916E2">
      <w:pPr>
        <w:jc w:val="both"/>
        <w:rPr>
          <w:sz w:val="22"/>
          <w:szCs w:val="22"/>
        </w:rPr>
      </w:pPr>
    </w:p>
    <w:p w:rsidR="00D916E2" w:rsidRDefault="00F07704" w:rsidP="00D916E2">
      <w:pPr>
        <w:jc w:val="both"/>
        <w:rPr>
          <w:sz w:val="22"/>
          <w:szCs w:val="22"/>
        </w:rPr>
      </w:pPr>
      <w:r>
        <w:rPr>
          <w:sz w:val="22"/>
          <w:szCs w:val="22"/>
        </w:rPr>
        <w:t>The 20</w:t>
      </w:r>
      <w:r w:rsidR="00750AB7">
        <w:rPr>
          <w:sz w:val="22"/>
          <w:szCs w:val="22"/>
        </w:rPr>
        <w:t xml:space="preserve">18 </w:t>
      </w:r>
      <w:r w:rsidR="001062BB" w:rsidRPr="001062BB">
        <w:rPr>
          <w:i/>
          <w:sz w:val="22"/>
          <w:szCs w:val="22"/>
        </w:rPr>
        <w:t>ESSA</w:t>
      </w:r>
      <w:r w:rsidR="001062BB">
        <w:rPr>
          <w:sz w:val="22"/>
          <w:szCs w:val="22"/>
        </w:rPr>
        <w:t xml:space="preserve"> </w:t>
      </w:r>
      <w:r w:rsidR="005846FF">
        <w:rPr>
          <w:sz w:val="22"/>
          <w:szCs w:val="22"/>
        </w:rPr>
        <w:t xml:space="preserve">Accountability </w:t>
      </w:r>
      <w:r>
        <w:rPr>
          <w:sz w:val="22"/>
          <w:szCs w:val="22"/>
        </w:rPr>
        <w:t xml:space="preserve">Profiles provide a graphic representation of each school’s and each district’s status on the </w:t>
      </w:r>
      <w:r w:rsidR="00D916E2">
        <w:rPr>
          <w:sz w:val="22"/>
          <w:szCs w:val="22"/>
        </w:rPr>
        <w:t>accountability indicators of:</w:t>
      </w:r>
    </w:p>
    <w:p w:rsidR="00D916E2" w:rsidRPr="002354D0" w:rsidRDefault="00D916E2" w:rsidP="002354D0">
      <w:pPr>
        <w:pStyle w:val="ListParagraph"/>
        <w:numPr>
          <w:ilvl w:val="0"/>
          <w:numId w:val="36"/>
        </w:numPr>
        <w:jc w:val="both"/>
        <w:rPr>
          <w:sz w:val="22"/>
          <w:szCs w:val="22"/>
        </w:rPr>
      </w:pPr>
      <w:r w:rsidRPr="002354D0">
        <w:rPr>
          <w:sz w:val="22"/>
          <w:szCs w:val="22"/>
        </w:rPr>
        <w:t>Academic Achievement</w:t>
      </w:r>
      <w:r w:rsidR="00CE6DBD">
        <w:rPr>
          <w:sz w:val="22"/>
          <w:szCs w:val="22"/>
        </w:rPr>
        <w:t>;</w:t>
      </w:r>
      <w:r w:rsidR="005846FF">
        <w:rPr>
          <w:sz w:val="22"/>
          <w:szCs w:val="22"/>
        </w:rPr>
        <w:t xml:space="preserve"> </w:t>
      </w:r>
    </w:p>
    <w:p w:rsidR="00D916E2" w:rsidRPr="002354D0" w:rsidRDefault="00D916E2" w:rsidP="002354D0">
      <w:pPr>
        <w:pStyle w:val="ListParagraph"/>
        <w:numPr>
          <w:ilvl w:val="0"/>
          <w:numId w:val="36"/>
        </w:numPr>
        <w:jc w:val="both"/>
        <w:rPr>
          <w:sz w:val="22"/>
          <w:szCs w:val="22"/>
        </w:rPr>
      </w:pPr>
      <w:r w:rsidRPr="002354D0">
        <w:rPr>
          <w:sz w:val="22"/>
          <w:szCs w:val="22"/>
        </w:rPr>
        <w:t>Academic Progress</w:t>
      </w:r>
      <w:r w:rsidR="00CE6DBD">
        <w:rPr>
          <w:sz w:val="22"/>
          <w:szCs w:val="22"/>
        </w:rPr>
        <w:t>;</w:t>
      </w:r>
    </w:p>
    <w:p w:rsidR="00CE6DBD" w:rsidRDefault="00D916E2" w:rsidP="007A774B">
      <w:pPr>
        <w:pStyle w:val="ListParagraph"/>
        <w:numPr>
          <w:ilvl w:val="0"/>
          <w:numId w:val="36"/>
        </w:numPr>
        <w:jc w:val="both"/>
        <w:rPr>
          <w:sz w:val="22"/>
          <w:szCs w:val="22"/>
        </w:rPr>
      </w:pPr>
      <w:r w:rsidRPr="002354D0">
        <w:rPr>
          <w:sz w:val="22"/>
          <w:szCs w:val="22"/>
        </w:rPr>
        <w:t>Graduation Rate</w:t>
      </w:r>
      <w:r w:rsidR="00CE6DBD">
        <w:rPr>
          <w:sz w:val="22"/>
          <w:szCs w:val="22"/>
        </w:rPr>
        <w:t>;</w:t>
      </w:r>
    </w:p>
    <w:p w:rsidR="00D916E2" w:rsidRDefault="00CE6DBD" w:rsidP="007A774B">
      <w:pPr>
        <w:pStyle w:val="ListParagraph"/>
        <w:numPr>
          <w:ilvl w:val="0"/>
          <w:numId w:val="36"/>
        </w:numPr>
        <w:jc w:val="both"/>
        <w:rPr>
          <w:sz w:val="22"/>
          <w:szCs w:val="22"/>
        </w:rPr>
      </w:pPr>
      <w:r>
        <w:rPr>
          <w:sz w:val="22"/>
          <w:szCs w:val="22"/>
        </w:rPr>
        <w:t xml:space="preserve">English </w:t>
      </w:r>
      <w:r w:rsidR="00D0753C">
        <w:rPr>
          <w:sz w:val="22"/>
          <w:szCs w:val="22"/>
        </w:rPr>
        <w:t>L</w:t>
      </w:r>
      <w:r>
        <w:rPr>
          <w:sz w:val="22"/>
          <w:szCs w:val="22"/>
        </w:rPr>
        <w:t>anguage</w:t>
      </w:r>
      <w:r w:rsidR="00E83821">
        <w:rPr>
          <w:sz w:val="22"/>
          <w:szCs w:val="22"/>
        </w:rPr>
        <w:t xml:space="preserve"> Learner Progress</w:t>
      </w:r>
      <w:r w:rsidR="00D916E2" w:rsidRPr="001062BB">
        <w:rPr>
          <w:sz w:val="22"/>
          <w:szCs w:val="22"/>
        </w:rPr>
        <w:t xml:space="preserve">; and </w:t>
      </w:r>
    </w:p>
    <w:p w:rsidR="00CE6DBD" w:rsidRPr="00985F5F" w:rsidRDefault="00D916E2" w:rsidP="00985F5F">
      <w:pPr>
        <w:pStyle w:val="ListParagraph"/>
        <w:numPr>
          <w:ilvl w:val="0"/>
          <w:numId w:val="36"/>
        </w:numPr>
        <w:jc w:val="both"/>
        <w:rPr>
          <w:sz w:val="22"/>
          <w:szCs w:val="22"/>
        </w:rPr>
      </w:pPr>
      <w:r w:rsidRPr="00985F5F">
        <w:rPr>
          <w:sz w:val="22"/>
          <w:szCs w:val="22"/>
        </w:rPr>
        <w:t>School Quality/Student Success</w:t>
      </w:r>
      <w:r w:rsidR="005846FF" w:rsidRPr="00985F5F">
        <w:rPr>
          <w:sz w:val="22"/>
          <w:szCs w:val="22"/>
        </w:rPr>
        <w:t xml:space="preserve"> (chronic absenteeism)</w:t>
      </w:r>
      <w:r w:rsidR="00CE6DBD" w:rsidRPr="00985F5F">
        <w:rPr>
          <w:sz w:val="22"/>
          <w:szCs w:val="22"/>
        </w:rPr>
        <w:t>.</w:t>
      </w:r>
    </w:p>
    <w:p w:rsidR="00E83821" w:rsidRDefault="0055482A" w:rsidP="00D916E2">
      <w:pPr>
        <w:jc w:val="both"/>
        <w:rPr>
          <w:sz w:val="22"/>
          <w:szCs w:val="22"/>
        </w:rPr>
      </w:pPr>
      <w:r>
        <w:rPr>
          <w:sz w:val="22"/>
          <w:szCs w:val="22"/>
        </w:rPr>
        <w:t>Below is a sample profile followed by a brief description of what is included for each indicator.</w:t>
      </w:r>
    </w:p>
    <w:p w:rsidR="00E83821" w:rsidRDefault="00C82029" w:rsidP="009D3B28">
      <w:pPr>
        <w:jc w:val="center"/>
        <w:rPr>
          <w:sz w:val="22"/>
          <w:szCs w:val="22"/>
        </w:rPr>
      </w:pPr>
      <w:r w:rsidRPr="00C82029">
        <w:rPr>
          <w:noProof/>
          <w:sz w:val="22"/>
          <w:szCs w:val="22"/>
        </w:rPr>
        <w:drawing>
          <wp:inline distT="0" distB="0" distL="0" distR="0" wp14:anchorId="0ACB51AD" wp14:editId="4B5169FF">
            <wp:extent cx="4786689" cy="5514889"/>
            <wp:effectExtent l="0" t="0" r="0" b="0"/>
            <wp:docPr id="4" name="Picture 4" descr="Sample Profile includes actual measures for each indicator under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07573" cy="5538950"/>
                    </a:xfrm>
                    <a:prstGeom prst="rect">
                      <a:avLst/>
                    </a:prstGeom>
                  </pic:spPr>
                </pic:pic>
              </a:graphicData>
            </a:graphic>
          </wp:inline>
        </w:drawing>
      </w:r>
    </w:p>
    <w:p w:rsidR="00D916E2" w:rsidRPr="00D53092" w:rsidRDefault="00D916E2" w:rsidP="00D53092">
      <w:pPr>
        <w:pStyle w:val="Heading3"/>
        <w:rPr>
          <w:sz w:val="24"/>
          <w:szCs w:val="24"/>
        </w:rPr>
      </w:pPr>
      <w:r w:rsidRPr="00D53092">
        <w:rPr>
          <w:sz w:val="24"/>
          <w:szCs w:val="24"/>
        </w:rPr>
        <w:t>Participation Rate</w:t>
      </w:r>
    </w:p>
    <w:p w:rsidR="00D916E2" w:rsidRPr="00D916E2" w:rsidRDefault="00D916E2" w:rsidP="00D916E2">
      <w:pPr>
        <w:numPr>
          <w:ilvl w:val="0"/>
          <w:numId w:val="27"/>
        </w:numPr>
        <w:spacing w:before="120" w:after="120" w:line="240" w:lineRule="auto"/>
        <w:contextualSpacing/>
        <w:rPr>
          <w:sz w:val="22"/>
          <w:szCs w:val="22"/>
        </w:rPr>
      </w:pPr>
      <w:r w:rsidRPr="00D916E2">
        <w:rPr>
          <w:b/>
          <w:i/>
          <w:sz w:val="22"/>
          <w:szCs w:val="22"/>
        </w:rPr>
        <w:t>Students Enrolled:</w:t>
      </w:r>
      <w:r w:rsidRPr="00D916E2">
        <w:rPr>
          <w:sz w:val="22"/>
          <w:szCs w:val="22"/>
        </w:rPr>
        <w:t xml:space="preserve">  The number of students in tested grades </w:t>
      </w:r>
      <w:r w:rsidR="00CA5B46">
        <w:rPr>
          <w:sz w:val="22"/>
          <w:szCs w:val="22"/>
        </w:rPr>
        <w:t xml:space="preserve">in each student group </w:t>
      </w:r>
      <w:r w:rsidRPr="00D916E2">
        <w:rPr>
          <w:sz w:val="22"/>
          <w:szCs w:val="22"/>
        </w:rPr>
        <w:t xml:space="preserve">as reported by the district in the </w:t>
      </w:r>
      <w:r w:rsidR="00B111E1">
        <w:rPr>
          <w:sz w:val="22"/>
          <w:szCs w:val="22"/>
        </w:rPr>
        <w:t xml:space="preserve">final PARCC </w:t>
      </w:r>
      <w:r w:rsidR="00FF6099">
        <w:rPr>
          <w:sz w:val="22"/>
          <w:szCs w:val="22"/>
        </w:rPr>
        <w:t>Fall/</w:t>
      </w:r>
      <w:r w:rsidR="00B111E1">
        <w:rPr>
          <w:sz w:val="22"/>
          <w:szCs w:val="22"/>
        </w:rPr>
        <w:t>Spring</w:t>
      </w:r>
      <w:r w:rsidR="009D54BC">
        <w:rPr>
          <w:sz w:val="22"/>
          <w:szCs w:val="22"/>
        </w:rPr>
        <w:t xml:space="preserve"> and DLM summative files.</w:t>
      </w:r>
    </w:p>
    <w:p w:rsidR="00D916E2" w:rsidRPr="00D916E2" w:rsidRDefault="00D916E2" w:rsidP="00D916E2">
      <w:pPr>
        <w:spacing w:before="120" w:after="120" w:line="240" w:lineRule="auto"/>
        <w:contextualSpacing/>
      </w:pPr>
    </w:p>
    <w:p w:rsidR="00D916E2" w:rsidRPr="00D916E2" w:rsidRDefault="00D916E2" w:rsidP="00D916E2">
      <w:pPr>
        <w:numPr>
          <w:ilvl w:val="0"/>
          <w:numId w:val="27"/>
        </w:numPr>
        <w:spacing w:before="120" w:after="120" w:line="240" w:lineRule="auto"/>
        <w:contextualSpacing/>
        <w:rPr>
          <w:sz w:val="22"/>
          <w:szCs w:val="22"/>
        </w:rPr>
      </w:pPr>
      <w:r w:rsidRPr="00D916E2">
        <w:rPr>
          <w:b/>
          <w:i/>
          <w:sz w:val="22"/>
          <w:szCs w:val="22"/>
        </w:rPr>
        <w:t>Non-tested rate:</w:t>
      </w:r>
      <w:r w:rsidRPr="00D916E2">
        <w:rPr>
          <w:sz w:val="22"/>
          <w:szCs w:val="22"/>
        </w:rPr>
        <w:t xml:space="preserve"> The percent of students in tested grades</w:t>
      </w:r>
      <w:r w:rsidR="00CA5B46">
        <w:rPr>
          <w:sz w:val="22"/>
          <w:szCs w:val="22"/>
        </w:rPr>
        <w:t>,</w:t>
      </w:r>
      <w:r w:rsidRPr="00D916E2">
        <w:rPr>
          <w:sz w:val="22"/>
          <w:szCs w:val="22"/>
        </w:rPr>
        <w:t xml:space="preserve"> as reported by the district in the </w:t>
      </w:r>
      <w:r w:rsidR="00FF6099">
        <w:rPr>
          <w:sz w:val="22"/>
          <w:szCs w:val="22"/>
        </w:rPr>
        <w:t xml:space="preserve">final PARCC Fall/Spring and DLM summative files </w:t>
      </w:r>
      <w:r w:rsidR="0003463C">
        <w:rPr>
          <w:sz w:val="22"/>
          <w:szCs w:val="22"/>
        </w:rPr>
        <w:t>that</w:t>
      </w:r>
      <w:r w:rsidRPr="00D916E2">
        <w:rPr>
          <w:sz w:val="22"/>
          <w:szCs w:val="22"/>
        </w:rPr>
        <w:t xml:space="preserve"> did not participate in the state assessment.</w:t>
      </w:r>
    </w:p>
    <w:p w:rsidR="00D916E2" w:rsidRPr="00D916E2" w:rsidRDefault="00D916E2" w:rsidP="00D916E2">
      <w:pPr>
        <w:spacing w:before="120" w:after="120" w:line="240" w:lineRule="auto"/>
        <w:ind w:left="720"/>
        <w:contextualSpacing/>
        <w:rPr>
          <w:sz w:val="22"/>
          <w:szCs w:val="22"/>
        </w:rPr>
      </w:pPr>
    </w:p>
    <w:p w:rsidR="00D916E2" w:rsidRPr="00D14196" w:rsidRDefault="00D916E2" w:rsidP="00D916E2">
      <w:pPr>
        <w:numPr>
          <w:ilvl w:val="0"/>
          <w:numId w:val="27"/>
        </w:numPr>
        <w:spacing w:before="120" w:after="120" w:line="240" w:lineRule="auto"/>
        <w:contextualSpacing/>
        <w:rPr>
          <w:sz w:val="22"/>
          <w:szCs w:val="22"/>
        </w:rPr>
      </w:pPr>
      <w:r w:rsidRPr="00D14196">
        <w:rPr>
          <w:b/>
          <w:i/>
          <w:sz w:val="22"/>
          <w:szCs w:val="22"/>
        </w:rPr>
        <w:t>Time In School&lt;Year Enrolled</w:t>
      </w:r>
      <w:r w:rsidRPr="00D14196">
        <w:rPr>
          <w:sz w:val="22"/>
          <w:szCs w:val="22"/>
        </w:rPr>
        <w:t xml:space="preserve">: The number of students in tested grades </w:t>
      </w:r>
      <w:r w:rsidR="002106D3" w:rsidRPr="00D14196">
        <w:rPr>
          <w:sz w:val="22"/>
          <w:szCs w:val="22"/>
        </w:rPr>
        <w:t>who have not attended the same school for at least half a year. The date of December 1</w:t>
      </w:r>
      <w:r w:rsidR="002106D3" w:rsidRPr="00D14196">
        <w:rPr>
          <w:sz w:val="22"/>
          <w:szCs w:val="22"/>
          <w:vertAlign w:val="superscript"/>
        </w:rPr>
        <w:t>st</w:t>
      </w:r>
      <w:r w:rsidR="002106D3" w:rsidRPr="00D14196">
        <w:rPr>
          <w:sz w:val="22"/>
          <w:szCs w:val="22"/>
        </w:rPr>
        <w:t xml:space="preserve"> was set for determining partial attendance.</w:t>
      </w:r>
    </w:p>
    <w:p w:rsidR="00D916E2" w:rsidRPr="00D14196" w:rsidRDefault="00D916E2" w:rsidP="00D916E2">
      <w:pPr>
        <w:spacing w:before="120" w:after="120"/>
        <w:ind w:left="720"/>
        <w:contextualSpacing/>
        <w:rPr>
          <w:sz w:val="22"/>
          <w:szCs w:val="22"/>
          <w:highlight w:val="yellow"/>
        </w:rPr>
      </w:pPr>
    </w:p>
    <w:p w:rsidR="00D916E2" w:rsidRPr="00D85BE4" w:rsidRDefault="00D916E2" w:rsidP="00D916E2">
      <w:pPr>
        <w:numPr>
          <w:ilvl w:val="0"/>
          <w:numId w:val="27"/>
        </w:numPr>
        <w:spacing w:before="120" w:after="120" w:line="240" w:lineRule="auto"/>
        <w:contextualSpacing/>
        <w:rPr>
          <w:sz w:val="22"/>
          <w:szCs w:val="22"/>
        </w:rPr>
      </w:pPr>
      <w:r w:rsidRPr="00D14196">
        <w:rPr>
          <w:b/>
          <w:i/>
          <w:sz w:val="22"/>
          <w:szCs w:val="22"/>
        </w:rPr>
        <w:t>Met 95</w:t>
      </w:r>
      <w:r w:rsidR="008173E3">
        <w:rPr>
          <w:b/>
          <w:i/>
          <w:sz w:val="22"/>
          <w:szCs w:val="22"/>
        </w:rPr>
        <w:t>%</w:t>
      </w:r>
      <w:r w:rsidRPr="00D14196">
        <w:rPr>
          <w:b/>
          <w:i/>
          <w:sz w:val="22"/>
          <w:szCs w:val="22"/>
        </w:rPr>
        <w:t xml:space="preserve"> Standard</w:t>
      </w:r>
      <w:r w:rsidRPr="00D14196">
        <w:rPr>
          <w:sz w:val="22"/>
          <w:szCs w:val="22"/>
        </w:rPr>
        <w:t xml:space="preserve">: Indicates </w:t>
      </w:r>
      <w:r w:rsidR="0073714B" w:rsidRPr="00D14196">
        <w:rPr>
          <w:sz w:val="22"/>
          <w:szCs w:val="22"/>
        </w:rPr>
        <w:t xml:space="preserve">whether </w:t>
      </w:r>
      <w:r w:rsidRPr="00D14196">
        <w:rPr>
          <w:sz w:val="22"/>
          <w:szCs w:val="22"/>
        </w:rPr>
        <w:t xml:space="preserve">at least 95% of students </w:t>
      </w:r>
      <w:r w:rsidR="00CA5B46" w:rsidRPr="00D14196">
        <w:rPr>
          <w:sz w:val="22"/>
          <w:szCs w:val="22"/>
        </w:rPr>
        <w:t xml:space="preserve">in the student group that are </w:t>
      </w:r>
      <w:r w:rsidRPr="00D14196">
        <w:rPr>
          <w:sz w:val="22"/>
          <w:szCs w:val="22"/>
        </w:rPr>
        <w:t>enrolled in tested grades</w:t>
      </w:r>
      <w:r w:rsidR="002106D3" w:rsidRPr="00D14196">
        <w:rPr>
          <w:sz w:val="22"/>
          <w:szCs w:val="22"/>
        </w:rPr>
        <w:t xml:space="preserve"> as</w:t>
      </w:r>
      <w:r w:rsidR="00CA5B46" w:rsidRPr="00D14196">
        <w:rPr>
          <w:sz w:val="22"/>
          <w:szCs w:val="22"/>
        </w:rPr>
        <w:t xml:space="preserve"> </w:t>
      </w:r>
      <w:r w:rsidRPr="00D14196">
        <w:rPr>
          <w:sz w:val="22"/>
          <w:szCs w:val="22"/>
        </w:rPr>
        <w:t xml:space="preserve">reported by the district in </w:t>
      </w:r>
      <w:r w:rsidR="00FF6099">
        <w:rPr>
          <w:sz w:val="22"/>
          <w:szCs w:val="22"/>
        </w:rPr>
        <w:t>final PARCC Fall/Spring and DLM summative files</w:t>
      </w:r>
      <w:r w:rsidR="00FF6099" w:rsidRPr="00D85BE4">
        <w:rPr>
          <w:sz w:val="22"/>
          <w:szCs w:val="22"/>
        </w:rPr>
        <w:t xml:space="preserve"> </w:t>
      </w:r>
      <w:r w:rsidR="002106D3" w:rsidRPr="00D85BE4">
        <w:rPr>
          <w:sz w:val="22"/>
          <w:szCs w:val="22"/>
        </w:rPr>
        <w:t xml:space="preserve">and </w:t>
      </w:r>
      <w:r w:rsidRPr="000C0582">
        <w:rPr>
          <w:sz w:val="22"/>
        </w:rPr>
        <w:t xml:space="preserve">being enrolled prior to </w:t>
      </w:r>
      <w:r w:rsidR="002106D3" w:rsidRPr="000C0582">
        <w:rPr>
          <w:sz w:val="22"/>
        </w:rPr>
        <w:t>December 1</w:t>
      </w:r>
      <w:r w:rsidR="00D0753C" w:rsidRPr="00D0753C">
        <w:rPr>
          <w:sz w:val="22"/>
          <w:vertAlign w:val="superscript"/>
        </w:rPr>
        <w:t>st</w:t>
      </w:r>
      <w:r w:rsidR="00D0753C">
        <w:rPr>
          <w:sz w:val="22"/>
        </w:rPr>
        <w:t xml:space="preserve"> </w:t>
      </w:r>
      <w:r w:rsidR="00FC7E44">
        <w:rPr>
          <w:sz w:val="22"/>
        </w:rPr>
        <w:t>who</w:t>
      </w:r>
      <w:r w:rsidR="002106D3" w:rsidRPr="000C0582">
        <w:rPr>
          <w:sz w:val="22"/>
        </w:rPr>
        <w:t xml:space="preserve"> </w:t>
      </w:r>
      <w:r w:rsidRPr="000C0582">
        <w:rPr>
          <w:sz w:val="22"/>
        </w:rPr>
        <w:t>participated in the statewide assessment</w:t>
      </w:r>
      <w:r w:rsidRPr="00D85BE4">
        <w:rPr>
          <w:sz w:val="22"/>
          <w:szCs w:val="22"/>
        </w:rPr>
        <w:t>.</w:t>
      </w:r>
    </w:p>
    <w:p w:rsidR="00D916E2" w:rsidRPr="00D916E2" w:rsidRDefault="00D916E2" w:rsidP="00D916E2"/>
    <w:p w:rsidR="00D916E2" w:rsidRPr="00D53092" w:rsidRDefault="00D916E2" w:rsidP="00D53092">
      <w:pPr>
        <w:pStyle w:val="Heading3"/>
        <w:rPr>
          <w:caps/>
          <w:color w:val="1F3864" w:themeColor="accent1" w:themeShade="80"/>
          <w:sz w:val="24"/>
          <w:szCs w:val="24"/>
          <w:vertAlign w:val="subscript"/>
        </w:rPr>
      </w:pPr>
      <w:bookmarkStart w:id="0" w:name="_Hlk522885042"/>
      <w:r w:rsidRPr="00D53092">
        <w:rPr>
          <w:sz w:val="24"/>
          <w:szCs w:val="24"/>
        </w:rPr>
        <w:t>Academic Achievement (PARCC/DLM</w:t>
      </w:r>
      <w:r w:rsidRPr="00D53092">
        <w:rPr>
          <w:caps/>
          <w:sz w:val="24"/>
          <w:szCs w:val="24"/>
        </w:rPr>
        <w:t>)</w:t>
      </w:r>
    </w:p>
    <w:bookmarkEnd w:id="0"/>
    <w:p w:rsidR="00D916E2" w:rsidRPr="00686E4D" w:rsidRDefault="00D916E2" w:rsidP="00D916E2">
      <w:pPr>
        <w:numPr>
          <w:ilvl w:val="0"/>
          <w:numId w:val="28"/>
        </w:numPr>
        <w:spacing w:before="120" w:after="120" w:line="240" w:lineRule="auto"/>
        <w:ind w:left="576" w:hanging="288"/>
        <w:contextualSpacing/>
        <w:rPr>
          <w:b/>
          <w:bCs/>
          <w:i/>
          <w:sz w:val="22"/>
          <w:szCs w:val="22"/>
        </w:rPr>
      </w:pPr>
      <w:r w:rsidRPr="00686E4D">
        <w:rPr>
          <w:b/>
          <w:bCs/>
          <w:i/>
          <w:sz w:val="22"/>
          <w:szCs w:val="22"/>
        </w:rPr>
        <w:t>Denominator (at least 95</w:t>
      </w:r>
      <w:r w:rsidR="008173E3">
        <w:rPr>
          <w:b/>
          <w:bCs/>
          <w:i/>
          <w:sz w:val="22"/>
          <w:szCs w:val="22"/>
        </w:rPr>
        <w:t xml:space="preserve"> percent </w:t>
      </w:r>
      <w:r w:rsidRPr="00686E4D">
        <w:rPr>
          <w:b/>
          <w:bCs/>
          <w:i/>
          <w:sz w:val="22"/>
          <w:szCs w:val="22"/>
        </w:rPr>
        <w:t xml:space="preserve">of full-year enrollment) </w:t>
      </w:r>
    </w:p>
    <w:p w:rsidR="00D916E2" w:rsidRPr="00D14196" w:rsidRDefault="00D916E2" w:rsidP="00D916E2">
      <w:pPr>
        <w:numPr>
          <w:ilvl w:val="1"/>
          <w:numId w:val="28"/>
        </w:numPr>
        <w:spacing w:before="120" w:after="120" w:line="240" w:lineRule="auto"/>
        <w:ind w:left="864" w:hanging="288"/>
        <w:contextualSpacing/>
        <w:rPr>
          <w:bCs/>
          <w:sz w:val="22"/>
          <w:szCs w:val="22"/>
        </w:rPr>
      </w:pPr>
      <w:r w:rsidRPr="00D14196">
        <w:rPr>
          <w:bCs/>
          <w:sz w:val="22"/>
          <w:szCs w:val="22"/>
        </w:rPr>
        <w:t xml:space="preserve">If </w:t>
      </w:r>
      <w:r w:rsidR="00CA5B46" w:rsidRPr="00D14196">
        <w:rPr>
          <w:bCs/>
          <w:sz w:val="22"/>
          <w:szCs w:val="22"/>
        </w:rPr>
        <w:t xml:space="preserve">the </w:t>
      </w:r>
      <w:r w:rsidRPr="00D14196">
        <w:rPr>
          <w:bCs/>
          <w:sz w:val="22"/>
          <w:szCs w:val="22"/>
        </w:rPr>
        <w:t xml:space="preserve">school </w:t>
      </w:r>
      <w:r w:rsidRPr="00D14196">
        <w:rPr>
          <w:bCs/>
          <w:i/>
          <w:sz w:val="22"/>
          <w:szCs w:val="22"/>
        </w:rPr>
        <w:t xml:space="preserve">met </w:t>
      </w:r>
      <w:r w:rsidRPr="00D14196">
        <w:rPr>
          <w:bCs/>
          <w:sz w:val="22"/>
          <w:szCs w:val="22"/>
        </w:rPr>
        <w:t xml:space="preserve">the 95% standard, this </w:t>
      </w:r>
      <w:r w:rsidR="00FC7E44">
        <w:rPr>
          <w:bCs/>
          <w:sz w:val="22"/>
          <w:szCs w:val="22"/>
        </w:rPr>
        <w:t xml:space="preserve">denominator </w:t>
      </w:r>
      <w:r w:rsidRPr="00D14196">
        <w:rPr>
          <w:bCs/>
          <w:sz w:val="22"/>
          <w:szCs w:val="22"/>
        </w:rPr>
        <w:t>reflects the number of students in the group enrolled in tested grades less the number of students in the group designated as Time In School &lt; Year.</w:t>
      </w:r>
    </w:p>
    <w:p w:rsidR="00D916E2" w:rsidRPr="00D14196" w:rsidRDefault="00D916E2" w:rsidP="00D916E2">
      <w:pPr>
        <w:numPr>
          <w:ilvl w:val="1"/>
          <w:numId w:val="28"/>
        </w:numPr>
        <w:spacing w:before="120" w:after="120" w:line="240" w:lineRule="auto"/>
        <w:ind w:left="864" w:hanging="288"/>
        <w:contextualSpacing/>
        <w:rPr>
          <w:bCs/>
          <w:sz w:val="22"/>
          <w:szCs w:val="22"/>
        </w:rPr>
      </w:pPr>
      <w:r w:rsidRPr="00D14196">
        <w:rPr>
          <w:bCs/>
          <w:sz w:val="22"/>
          <w:szCs w:val="22"/>
        </w:rPr>
        <w:t xml:space="preserve">If </w:t>
      </w:r>
      <w:r w:rsidR="00CA5B46" w:rsidRPr="00D14196">
        <w:rPr>
          <w:bCs/>
          <w:sz w:val="22"/>
          <w:szCs w:val="22"/>
        </w:rPr>
        <w:t xml:space="preserve">the </w:t>
      </w:r>
      <w:r w:rsidRPr="00D14196">
        <w:rPr>
          <w:bCs/>
          <w:sz w:val="22"/>
          <w:szCs w:val="22"/>
        </w:rPr>
        <w:t xml:space="preserve">school </w:t>
      </w:r>
      <w:r w:rsidRPr="00D14196">
        <w:rPr>
          <w:bCs/>
          <w:i/>
          <w:sz w:val="22"/>
          <w:szCs w:val="22"/>
        </w:rPr>
        <w:t>did not meet</w:t>
      </w:r>
      <w:r w:rsidRPr="00D14196">
        <w:rPr>
          <w:bCs/>
          <w:sz w:val="22"/>
          <w:szCs w:val="22"/>
        </w:rPr>
        <w:t xml:space="preserve"> </w:t>
      </w:r>
      <w:r w:rsidR="005520B6">
        <w:rPr>
          <w:bCs/>
          <w:sz w:val="22"/>
          <w:szCs w:val="22"/>
        </w:rPr>
        <w:t xml:space="preserve">the </w:t>
      </w:r>
      <w:r w:rsidRPr="00D14196">
        <w:rPr>
          <w:bCs/>
          <w:sz w:val="22"/>
          <w:szCs w:val="22"/>
        </w:rPr>
        <w:t xml:space="preserve">95% standard, this number reflects 95% of students in the group enrolled in tested grades less the number of students in the group designated as Time In School &lt; Year. </w:t>
      </w:r>
    </w:p>
    <w:p w:rsidR="00D916E2" w:rsidRPr="00D916E2" w:rsidRDefault="00D916E2" w:rsidP="00D916E2">
      <w:pPr>
        <w:spacing w:before="120" w:after="120" w:line="240" w:lineRule="auto"/>
        <w:ind w:left="864"/>
        <w:contextualSpacing/>
        <w:rPr>
          <w:bCs/>
          <w:sz w:val="22"/>
          <w:szCs w:val="22"/>
        </w:rPr>
      </w:pPr>
    </w:p>
    <w:p w:rsidR="00D916E2" w:rsidRPr="00D916E2" w:rsidRDefault="00D916E2" w:rsidP="00D916E2">
      <w:pPr>
        <w:numPr>
          <w:ilvl w:val="0"/>
          <w:numId w:val="28"/>
        </w:numPr>
        <w:spacing w:before="120" w:after="120" w:line="240" w:lineRule="auto"/>
        <w:contextualSpacing/>
        <w:rPr>
          <w:bCs/>
          <w:sz w:val="22"/>
          <w:szCs w:val="22"/>
        </w:rPr>
      </w:pPr>
      <w:r w:rsidRPr="00D916E2">
        <w:rPr>
          <w:b/>
          <w:bCs/>
          <w:i/>
          <w:sz w:val="22"/>
          <w:szCs w:val="22"/>
        </w:rPr>
        <w:t xml:space="preserve">Proficient Full-Year </w:t>
      </w:r>
      <w:r w:rsidR="005520B6">
        <w:rPr>
          <w:b/>
          <w:bCs/>
          <w:i/>
          <w:sz w:val="22"/>
          <w:szCs w:val="22"/>
        </w:rPr>
        <w:t>S</w:t>
      </w:r>
      <w:r w:rsidRPr="00D916E2">
        <w:rPr>
          <w:b/>
          <w:bCs/>
          <w:i/>
          <w:sz w:val="22"/>
          <w:szCs w:val="22"/>
        </w:rPr>
        <w:t>tudents only:</w:t>
      </w:r>
      <w:r w:rsidRPr="00D916E2">
        <w:rPr>
          <w:bCs/>
          <w:sz w:val="22"/>
          <w:szCs w:val="22"/>
        </w:rPr>
        <w:t xml:space="preserve"> The percent of the student group enrolled in tested grades prior to </w:t>
      </w:r>
      <w:r w:rsidR="007C0455">
        <w:rPr>
          <w:bCs/>
          <w:sz w:val="22"/>
          <w:szCs w:val="22"/>
        </w:rPr>
        <w:t>December 1st</w:t>
      </w:r>
      <w:r w:rsidRPr="00D916E2">
        <w:rPr>
          <w:bCs/>
          <w:sz w:val="22"/>
          <w:szCs w:val="22"/>
        </w:rPr>
        <w:t xml:space="preserve"> that scored at either Level 4 or 5 on the PARCC assessment or Level 3 or 4 on the DLM.</w:t>
      </w:r>
    </w:p>
    <w:p w:rsidR="00D916E2" w:rsidRPr="00D916E2" w:rsidRDefault="00D916E2" w:rsidP="00D916E2">
      <w:pPr>
        <w:spacing w:before="120" w:after="120" w:line="240" w:lineRule="auto"/>
        <w:rPr>
          <w:bCs/>
          <w:sz w:val="22"/>
          <w:szCs w:val="22"/>
        </w:rPr>
      </w:pPr>
    </w:p>
    <w:p w:rsidR="00D916E2" w:rsidRPr="00D916E2" w:rsidRDefault="00D916E2" w:rsidP="002354D0">
      <w:pPr>
        <w:numPr>
          <w:ilvl w:val="0"/>
          <w:numId w:val="28"/>
        </w:numPr>
        <w:spacing w:before="120" w:after="120" w:line="240" w:lineRule="auto"/>
        <w:contextualSpacing/>
        <w:rPr>
          <w:bCs/>
          <w:sz w:val="22"/>
          <w:szCs w:val="22"/>
        </w:rPr>
      </w:pPr>
      <w:r w:rsidRPr="00D916E2">
        <w:rPr>
          <w:b/>
          <w:bCs/>
          <w:i/>
          <w:sz w:val="22"/>
          <w:szCs w:val="22"/>
        </w:rPr>
        <w:t>Annual Target:</w:t>
      </w:r>
      <w:r w:rsidRPr="00D916E2">
        <w:rPr>
          <w:bCs/>
          <w:sz w:val="22"/>
          <w:szCs w:val="22"/>
        </w:rPr>
        <w:t xml:space="preserve"> The percent of the student group that is expected to score at either Level 4 or 5 on the PARCC assessment or Level 3 or 4 on the DLM to ensure the school meets the long-term academic achievement goal of 80%. </w:t>
      </w:r>
    </w:p>
    <w:p w:rsidR="00D916E2" w:rsidRPr="00D916E2" w:rsidRDefault="00D916E2" w:rsidP="00D916E2">
      <w:pPr>
        <w:ind w:left="720"/>
        <w:contextualSpacing/>
        <w:rPr>
          <w:bCs/>
          <w:sz w:val="22"/>
          <w:szCs w:val="22"/>
        </w:rPr>
      </w:pPr>
    </w:p>
    <w:p w:rsidR="00D916E2" w:rsidRDefault="00D916E2" w:rsidP="002354D0">
      <w:pPr>
        <w:numPr>
          <w:ilvl w:val="0"/>
          <w:numId w:val="28"/>
        </w:numPr>
        <w:spacing w:before="120" w:after="120"/>
        <w:contextualSpacing/>
        <w:rPr>
          <w:bCs/>
          <w:sz w:val="22"/>
          <w:szCs w:val="22"/>
        </w:rPr>
      </w:pPr>
      <w:r w:rsidRPr="00D916E2">
        <w:rPr>
          <w:b/>
          <w:bCs/>
          <w:i/>
          <w:sz w:val="22"/>
          <w:szCs w:val="22"/>
        </w:rPr>
        <w:t>Met Target</w:t>
      </w:r>
      <w:r w:rsidRPr="00D916E2">
        <w:rPr>
          <w:bCs/>
          <w:sz w:val="22"/>
          <w:szCs w:val="22"/>
        </w:rPr>
        <w:t xml:space="preserve">: Indicates </w:t>
      </w:r>
      <w:r w:rsidR="0073714B">
        <w:rPr>
          <w:bCs/>
          <w:sz w:val="22"/>
          <w:szCs w:val="22"/>
        </w:rPr>
        <w:t>whether</w:t>
      </w:r>
      <w:r w:rsidR="0073714B" w:rsidRPr="00D916E2">
        <w:rPr>
          <w:bCs/>
          <w:sz w:val="22"/>
          <w:szCs w:val="22"/>
        </w:rPr>
        <w:t xml:space="preserve"> </w:t>
      </w:r>
      <w:r w:rsidRPr="00D916E2">
        <w:rPr>
          <w:bCs/>
          <w:sz w:val="22"/>
          <w:szCs w:val="22"/>
        </w:rPr>
        <w:t xml:space="preserve">the percent of students in the </w:t>
      </w:r>
      <w:r w:rsidR="009A4819">
        <w:rPr>
          <w:bCs/>
          <w:sz w:val="22"/>
          <w:szCs w:val="22"/>
        </w:rPr>
        <w:t>student group</w:t>
      </w:r>
      <w:r w:rsidR="009A4819" w:rsidRPr="00D916E2">
        <w:rPr>
          <w:bCs/>
          <w:sz w:val="22"/>
          <w:szCs w:val="22"/>
        </w:rPr>
        <w:t xml:space="preserve"> </w:t>
      </w:r>
      <w:r w:rsidRPr="00D916E2">
        <w:rPr>
          <w:bCs/>
          <w:sz w:val="22"/>
          <w:szCs w:val="22"/>
        </w:rPr>
        <w:t xml:space="preserve">who scored at either Level 4 or 5 on the PARCC assessment or Level 3 or 4 </w:t>
      </w:r>
      <w:r w:rsidR="0021797B">
        <w:rPr>
          <w:bCs/>
          <w:sz w:val="22"/>
          <w:szCs w:val="22"/>
        </w:rPr>
        <w:t xml:space="preserve">on the DLM </w:t>
      </w:r>
      <w:r w:rsidRPr="00D916E2">
        <w:rPr>
          <w:bCs/>
          <w:sz w:val="22"/>
          <w:szCs w:val="22"/>
        </w:rPr>
        <w:t xml:space="preserve">meets the annual target. </w:t>
      </w:r>
    </w:p>
    <w:p w:rsidR="00D916E2" w:rsidRPr="00D916E2" w:rsidRDefault="00D916E2" w:rsidP="002354D0">
      <w:pPr>
        <w:contextualSpacing/>
        <w:rPr>
          <w:bCs/>
          <w:sz w:val="22"/>
          <w:szCs w:val="22"/>
        </w:rPr>
      </w:pPr>
    </w:p>
    <w:p w:rsidR="00D916E2" w:rsidRPr="00D53092" w:rsidRDefault="00D916E2" w:rsidP="00D53092">
      <w:pPr>
        <w:pStyle w:val="Heading3"/>
        <w:rPr>
          <w:sz w:val="24"/>
          <w:szCs w:val="24"/>
        </w:rPr>
      </w:pPr>
      <w:bookmarkStart w:id="1" w:name="_Hlk522885032"/>
      <w:r w:rsidRPr="00D53092">
        <w:rPr>
          <w:sz w:val="24"/>
          <w:szCs w:val="24"/>
        </w:rPr>
        <w:t xml:space="preserve">Academic Progress </w:t>
      </w:r>
    </w:p>
    <w:bookmarkEnd w:id="1"/>
    <w:p w:rsidR="00D916E2" w:rsidRDefault="00D916E2" w:rsidP="00D916E2">
      <w:pPr>
        <w:numPr>
          <w:ilvl w:val="0"/>
          <w:numId w:val="34"/>
        </w:numPr>
        <w:spacing w:before="120" w:after="120" w:line="240" w:lineRule="auto"/>
        <w:contextualSpacing/>
        <w:rPr>
          <w:sz w:val="22"/>
          <w:szCs w:val="22"/>
        </w:rPr>
      </w:pPr>
      <w:r w:rsidRPr="002354D0">
        <w:rPr>
          <w:b/>
          <w:i/>
          <w:sz w:val="22"/>
          <w:szCs w:val="22"/>
        </w:rPr>
        <w:t>Median SGP:</w:t>
      </w:r>
      <w:r w:rsidRPr="00D916E2">
        <w:rPr>
          <w:sz w:val="22"/>
          <w:szCs w:val="22"/>
        </w:rPr>
        <w:t xml:space="preserve">  The median Student Growth Percentile of students in the group on the statewide assessment.</w:t>
      </w:r>
    </w:p>
    <w:p w:rsidR="00D916E2" w:rsidRPr="00D916E2" w:rsidRDefault="00D916E2" w:rsidP="002354D0">
      <w:pPr>
        <w:spacing w:before="120" w:after="120" w:line="240" w:lineRule="auto"/>
        <w:ind w:left="720"/>
        <w:contextualSpacing/>
        <w:rPr>
          <w:sz w:val="22"/>
          <w:szCs w:val="22"/>
        </w:rPr>
      </w:pPr>
    </w:p>
    <w:p w:rsidR="00D916E2" w:rsidRPr="00D916E2" w:rsidRDefault="00D916E2" w:rsidP="00D916E2">
      <w:pPr>
        <w:numPr>
          <w:ilvl w:val="0"/>
          <w:numId w:val="34"/>
        </w:numPr>
        <w:spacing w:before="120" w:after="120" w:line="240" w:lineRule="auto"/>
        <w:contextualSpacing/>
        <w:rPr>
          <w:sz w:val="22"/>
          <w:szCs w:val="22"/>
        </w:rPr>
      </w:pPr>
      <w:r w:rsidRPr="002354D0">
        <w:rPr>
          <w:b/>
          <w:i/>
          <w:sz w:val="22"/>
          <w:szCs w:val="22"/>
        </w:rPr>
        <w:t>Met Standard (40-59.5) Exceeds (60):</w:t>
      </w:r>
      <w:r w:rsidRPr="00D916E2">
        <w:rPr>
          <w:sz w:val="22"/>
          <w:szCs w:val="22"/>
        </w:rPr>
        <w:t xml:space="preserve">  Indicates </w:t>
      </w:r>
      <w:r w:rsidR="00EB571E">
        <w:rPr>
          <w:sz w:val="22"/>
          <w:szCs w:val="22"/>
        </w:rPr>
        <w:t>whether</w:t>
      </w:r>
      <w:r w:rsidR="00EB571E" w:rsidRPr="00D916E2">
        <w:rPr>
          <w:sz w:val="22"/>
          <w:szCs w:val="22"/>
        </w:rPr>
        <w:t xml:space="preserve"> </w:t>
      </w:r>
      <w:r w:rsidRPr="00D916E2">
        <w:rPr>
          <w:sz w:val="22"/>
          <w:szCs w:val="22"/>
        </w:rPr>
        <w:t xml:space="preserve">the student group met the </w:t>
      </w:r>
      <w:r w:rsidR="000756F3" w:rsidRPr="00D916E2">
        <w:rPr>
          <w:sz w:val="22"/>
          <w:szCs w:val="22"/>
        </w:rPr>
        <w:t>standard (</w:t>
      </w:r>
      <w:r w:rsidR="000C4B48">
        <w:rPr>
          <w:sz w:val="22"/>
          <w:szCs w:val="22"/>
        </w:rPr>
        <w:t>median S</w:t>
      </w:r>
      <w:r w:rsidRPr="00D916E2">
        <w:rPr>
          <w:sz w:val="22"/>
          <w:szCs w:val="22"/>
        </w:rPr>
        <w:t>GP</w:t>
      </w:r>
      <w:r w:rsidR="000C4B48">
        <w:rPr>
          <w:sz w:val="22"/>
          <w:szCs w:val="22"/>
        </w:rPr>
        <w:t xml:space="preserve"> </w:t>
      </w:r>
      <w:r w:rsidR="000756F3">
        <w:rPr>
          <w:sz w:val="22"/>
          <w:szCs w:val="22"/>
        </w:rPr>
        <w:t>&gt;=</w:t>
      </w:r>
      <w:r w:rsidR="000C4B48">
        <w:rPr>
          <w:sz w:val="22"/>
          <w:szCs w:val="22"/>
        </w:rPr>
        <w:t xml:space="preserve"> </w:t>
      </w:r>
      <w:r w:rsidRPr="00D916E2">
        <w:rPr>
          <w:sz w:val="22"/>
          <w:szCs w:val="22"/>
        </w:rPr>
        <w:t>40</w:t>
      </w:r>
      <w:r w:rsidR="000756F3">
        <w:rPr>
          <w:sz w:val="22"/>
          <w:szCs w:val="22"/>
        </w:rPr>
        <w:t xml:space="preserve"> and &lt;60</w:t>
      </w:r>
      <w:r w:rsidR="005520B6">
        <w:rPr>
          <w:sz w:val="22"/>
          <w:szCs w:val="22"/>
        </w:rPr>
        <w:t xml:space="preserve">) </w:t>
      </w:r>
      <w:r w:rsidRPr="00D916E2">
        <w:rPr>
          <w:sz w:val="22"/>
          <w:szCs w:val="22"/>
        </w:rPr>
        <w:t xml:space="preserve"> or exceeded the standard</w:t>
      </w:r>
      <w:r w:rsidR="005520B6">
        <w:rPr>
          <w:sz w:val="22"/>
          <w:szCs w:val="22"/>
        </w:rPr>
        <w:t xml:space="preserve"> (</w:t>
      </w:r>
      <w:r w:rsidR="000C4B48">
        <w:rPr>
          <w:sz w:val="22"/>
          <w:szCs w:val="22"/>
        </w:rPr>
        <w:t>median S</w:t>
      </w:r>
      <w:r w:rsidRPr="00D916E2">
        <w:rPr>
          <w:sz w:val="22"/>
          <w:szCs w:val="22"/>
        </w:rPr>
        <w:t xml:space="preserve">GP </w:t>
      </w:r>
      <w:r w:rsidR="00686E4D">
        <w:rPr>
          <w:sz w:val="22"/>
          <w:szCs w:val="22"/>
        </w:rPr>
        <w:t xml:space="preserve">≥ </w:t>
      </w:r>
      <w:r w:rsidRPr="00D916E2">
        <w:rPr>
          <w:sz w:val="22"/>
          <w:szCs w:val="22"/>
        </w:rPr>
        <w:t>60</w:t>
      </w:r>
      <w:r w:rsidR="005520B6">
        <w:rPr>
          <w:sz w:val="22"/>
          <w:szCs w:val="22"/>
        </w:rPr>
        <w:t>)</w:t>
      </w:r>
      <w:r w:rsidRPr="00D916E2">
        <w:rPr>
          <w:sz w:val="22"/>
          <w:szCs w:val="22"/>
        </w:rPr>
        <w:t>.</w:t>
      </w:r>
    </w:p>
    <w:p w:rsidR="00D916E2" w:rsidRPr="00D53092" w:rsidRDefault="00D916E2" w:rsidP="00D53092">
      <w:pPr>
        <w:pStyle w:val="Heading3"/>
        <w:rPr>
          <w:sz w:val="24"/>
          <w:szCs w:val="24"/>
        </w:rPr>
      </w:pPr>
      <w:bookmarkStart w:id="2" w:name="_Hlk522885023"/>
      <w:r w:rsidRPr="00D53092">
        <w:rPr>
          <w:sz w:val="24"/>
          <w:szCs w:val="24"/>
        </w:rPr>
        <w:t xml:space="preserve">Graduation Rate </w:t>
      </w:r>
    </w:p>
    <w:bookmarkEnd w:id="2"/>
    <w:p w:rsidR="00D916E2" w:rsidRDefault="00D916E2" w:rsidP="00E7720A">
      <w:pPr>
        <w:pStyle w:val="ListParagraph"/>
        <w:numPr>
          <w:ilvl w:val="0"/>
          <w:numId w:val="47"/>
        </w:numPr>
        <w:rPr>
          <w:b/>
          <w:sz w:val="22"/>
          <w:szCs w:val="22"/>
        </w:rPr>
      </w:pPr>
      <w:r w:rsidRPr="00E7720A">
        <w:rPr>
          <w:b/>
          <w:sz w:val="22"/>
          <w:szCs w:val="22"/>
        </w:rPr>
        <w:t>Four-Year Graduation Rate</w:t>
      </w:r>
      <w:r w:rsidR="008B2280" w:rsidRPr="00E7720A">
        <w:rPr>
          <w:b/>
          <w:sz w:val="22"/>
          <w:szCs w:val="22"/>
        </w:rPr>
        <w:t xml:space="preserve"> </w:t>
      </w:r>
    </w:p>
    <w:p w:rsidR="00D916E2" w:rsidRDefault="008B2280" w:rsidP="00E7720A">
      <w:pPr>
        <w:pStyle w:val="ListParagraph"/>
        <w:numPr>
          <w:ilvl w:val="0"/>
          <w:numId w:val="48"/>
        </w:numPr>
        <w:spacing w:before="240" w:after="240" w:line="240" w:lineRule="auto"/>
        <w:rPr>
          <w:sz w:val="22"/>
          <w:szCs w:val="22"/>
        </w:rPr>
      </w:pPr>
      <w:r w:rsidRPr="00E7720A">
        <w:rPr>
          <w:sz w:val="22"/>
          <w:szCs w:val="22"/>
        </w:rPr>
        <w:t xml:space="preserve">The percentage of Class of 2017 students in the group who entered ninth grade in the 2013-14 school year (with adjustments to the cohort) that graduated within four years, or by the end of the 2016-17 school year. </w:t>
      </w:r>
      <w:r w:rsidR="00D916E2" w:rsidRPr="00E7720A">
        <w:rPr>
          <w:sz w:val="22"/>
          <w:szCs w:val="22"/>
        </w:rPr>
        <w:t xml:space="preserve"> </w:t>
      </w:r>
    </w:p>
    <w:p w:rsidR="00E7720A" w:rsidRDefault="00E7720A" w:rsidP="00E7720A">
      <w:pPr>
        <w:pStyle w:val="ListParagraph"/>
        <w:spacing w:before="240" w:after="240" w:line="240" w:lineRule="auto"/>
        <w:ind w:left="1080"/>
        <w:rPr>
          <w:sz w:val="22"/>
          <w:szCs w:val="22"/>
        </w:rPr>
      </w:pPr>
    </w:p>
    <w:p w:rsidR="00E7720A" w:rsidRPr="00750AB7" w:rsidRDefault="00D916E2" w:rsidP="00E7720A">
      <w:pPr>
        <w:pStyle w:val="ListParagraph"/>
        <w:numPr>
          <w:ilvl w:val="0"/>
          <w:numId w:val="48"/>
        </w:numPr>
        <w:spacing w:before="240" w:after="240" w:line="240" w:lineRule="auto"/>
        <w:rPr>
          <w:sz w:val="22"/>
        </w:rPr>
      </w:pPr>
      <w:r w:rsidRPr="00750AB7">
        <w:rPr>
          <w:b/>
          <w:sz w:val="22"/>
        </w:rPr>
        <w:t>Annual Target</w:t>
      </w:r>
      <w:r w:rsidRPr="00750AB7">
        <w:rPr>
          <w:sz w:val="22"/>
        </w:rPr>
        <w:t xml:space="preserve">: </w:t>
      </w:r>
      <w:r w:rsidR="008B2280" w:rsidRPr="00750AB7">
        <w:rPr>
          <w:sz w:val="22"/>
        </w:rPr>
        <w:t>The percentage of Class of 2017 students in the group who were expected to graduate within four years in order to meet the long-term four-year graduation rate goal of 95%</w:t>
      </w:r>
      <w:r w:rsidRPr="00750AB7">
        <w:rPr>
          <w:sz w:val="22"/>
        </w:rPr>
        <w:t>.</w:t>
      </w:r>
    </w:p>
    <w:p w:rsidR="00E7720A" w:rsidRPr="00E7720A" w:rsidRDefault="00E7720A" w:rsidP="00E7720A">
      <w:pPr>
        <w:pStyle w:val="ListParagraph"/>
        <w:rPr>
          <w:szCs w:val="22"/>
        </w:rPr>
      </w:pPr>
    </w:p>
    <w:p w:rsidR="00EB571E" w:rsidRPr="00E7720A" w:rsidRDefault="00D916E2" w:rsidP="00E7720A">
      <w:pPr>
        <w:pStyle w:val="ListParagraph"/>
        <w:numPr>
          <w:ilvl w:val="0"/>
          <w:numId w:val="48"/>
        </w:numPr>
        <w:spacing w:before="240" w:after="240" w:line="240" w:lineRule="auto"/>
        <w:rPr>
          <w:sz w:val="22"/>
        </w:rPr>
      </w:pPr>
      <w:r w:rsidRPr="00013317">
        <w:rPr>
          <w:b/>
          <w:sz w:val="22"/>
        </w:rPr>
        <w:t>Met target</w:t>
      </w:r>
      <w:r w:rsidRPr="00E7720A">
        <w:rPr>
          <w:sz w:val="22"/>
        </w:rPr>
        <w:t xml:space="preserve">: </w:t>
      </w:r>
      <w:r w:rsidR="008B2280" w:rsidRPr="00E7720A">
        <w:rPr>
          <w:sz w:val="22"/>
        </w:rPr>
        <w:t>Indicates whether the percentage of Class of 2017 students in the group who graduated within four years met the annual target</w:t>
      </w:r>
      <w:r w:rsidRPr="00E7720A">
        <w:rPr>
          <w:sz w:val="22"/>
        </w:rPr>
        <w:t xml:space="preserve">. </w:t>
      </w:r>
    </w:p>
    <w:p w:rsidR="00013317" w:rsidRDefault="00013317" w:rsidP="00013317">
      <w:pPr>
        <w:pStyle w:val="ListParagraph"/>
        <w:spacing w:before="240" w:after="240" w:line="240" w:lineRule="auto"/>
        <w:rPr>
          <w:b/>
          <w:sz w:val="22"/>
          <w:szCs w:val="22"/>
        </w:rPr>
      </w:pPr>
    </w:p>
    <w:p w:rsidR="00E7720A" w:rsidRDefault="00D916E2" w:rsidP="00E7720A">
      <w:pPr>
        <w:pStyle w:val="ListParagraph"/>
        <w:numPr>
          <w:ilvl w:val="0"/>
          <w:numId w:val="47"/>
        </w:numPr>
        <w:spacing w:before="240" w:after="240" w:line="240" w:lineRule="auto"/>
        <w:rPr>
          <w:b/>
          <w:sz w:val="22"/>
          <w:szCs w:val="22"/>
        </w:rPr>
      </w:pPr>
      <w:r w:rsidRPr="00E7720A">
        <w:rPr>
          <w:b/>
          <w:sz w:val="22"/>
          <w:szCs w:val="22"/>
        </w:rPr>
        <w:t>Five-Year Graduation Rate</w:t>
      </w:r>
    </w:p>
    <w:p w:rsidR="001F71AD" w:rsidRPr="00C344DD" w:rsidRDefault="008B2280" w:rsidP="00291981">
      <w:pPr>
        <w:pStyle w:val="ListParagraph"/>
        <w:numPr>
          <w:ilvl w:val="0"/>
          <w:numId w:val="48"/>
        </w:numPr>
        <w:spacing w:before="240" w:after="240" w:line="240" w:lineRule="auto"/>
        <w:rPr>
          <w:sz w:val="22"/>
          <w:szCs w:val="22"/>
        </w:rPr>
      </w:pPr>
      <w:r w:rsidRPr="00C344DD">
        <w:rPr>
          <w:sz w:val="22"/>
          <w:szCs w:val="22"/>
        </w:rPr>
        <w:t>T</w:t>
      </w:r>
      <w:r w:rsidR="001F71AD" w:rsidRPr="00FE36E7">
        <w:rPr>
          <w:sz w:val="22"/>
          <w:szCs w:val="22"/>
        </w:rPr>
        <w:t>he percentage of Class of 2016 students in the group who entered ninth grade in the 2012-13 school year (with adjustments to the cohort) that graduated within five years or by the end of the 2016-17 school year.</w:t>
      </w:r>
    </w:p>
    <w:p w:rsidR="00966D5E" w:rsidRPr="00291981" w:rsidRDefault="00966D5E" w:rsidP="00291981">
      <w:pPr>
        <w:pStyle w:val="ListParagraph"/>
        <w:spacing w:before="240" w:after="240" w:line="240" w:lineRule="auto"/>
        <w:ind w:left="1080"/>
        <w:rPr>
          <w:sz w:val="22"/>
          <w:szCs w:val="22"/>
        </w:rPr>
      </w:pPr>
    </w:p>
    <w:p w:rsidR="00D916E2" w:rsidRPr="00C344DD" w:rsidRDefault="00D916E2" w:rsidP="00291981">
      <w:pPr>
        <w:pStyle w:val="ListParagraph"/>
        <w:numPr>
          <w:ilvl w:val="0"/>
          <w:numId w:val="48"/>
        </w:numPr>
        <w:spacing w:before="240" w:after="240" w:line="240" w:lineRule="auto"/>
        <w:rPr>
          <w:sz w:val="22"/>
          <w:szCs w:val="22"/>
        </w:rPr>
      </w:pPr>
      <w:r w:rsidRPr="00013317">
        <w:rPr>
          <w:b/>
          <w:sz w:val="22"/>
          <w:szCs w:val="22"/>
        </w:rPr>
        <w:t>Annual Target</w:t>
      </w:r>
      <w:r w:rsidRPr="00291981">
        <w:rPr>
          <w:sz w:val="22"/>
          <w:szCs w:val="22"/>
        </w:rPr>
        <w:t xml:space="preserve">: </w:t>
      </w:r>
      <w:r w:rsidR="008B2280" w:rsidRPr="00C344DD">
        <w:rPr>
          <w:sz w:val="22"/>
          <w:szCs w:val="22"/>
        </w:rPr>
        <w:t>The percentage of Class of 2016 students in the group who were expected to graduate within five years in order to meet the long-term five-year graduation rate goal of 96%.</w:t>
      </w:r>
    </w:p>
    <w:p w:rsidR="00D916E2" w:rsidRPr="00291981" w:rsidRDefault="00D916E2" w:rsidP="00291981">
      <w:pPr>
        <w:pStyle w:val="ListParagraph"/>
        <w:spacing w:before="240" w:after="240" w:line="240" w:lineRule="auto"/>
        <w:ind w:left="1080"/>
        <w:rPr>
          <w:sz w:val="22"/>
          <w:szCs w:val="22"/>
        </w:rPr>
      </w:pPr>
    </w:p>
    <w:p w:rsidR="00D916E2" w:rsidRPr="00C344DD" w:rsidRDefault="00D916E2" w:rsidP="00291981">
      <w:pPr>
        <w:pStyle w:val="ListParagraph"/>
        <w:numPr>
          <w:ilvl w:val="0"/>
          <w:numId w:val="48"/>
        </w:numPr>
        <w:spacing w:before="240" w:after="240" w:line="240" w:lineRule="auto"/>
        <w:rPr>
          <w:sz w:val="22"/>
          <w:szCs w:val="22"/>
        </w:rPr>
      </w:pPr>
      <w:r w:rsidRPr="00013317">
        <w:rPr>
          <w:b/>
          <w:sz w:val="22"/>
          <w:szCs w:val="22"/>
        </w:rPr>
        <w:t>Met target</w:t>
      </w:r>
      <w:r w:rsidRPr="00291981">
        <w:rPr>
          <w:sz w:val="22"/>
          <w:szCs w:val="22"/>
        </w:rPr>
        <w:t xml:space="preserve">: </w:t>
      </w:r>
      <w:r w:rsidR="00C344DD" w:rsidRPr="00FE36E7">
        <w:rPr>
          <w:sz w:val="22"/>
          <w:szCs w:val="22"/>
        </w:rPr>
        <w:t>Indicates whether the percentage of Class of 2016 students in the group who graduated within five years met the annual target.</w:t>
      </w:r>
    </w:p>
    <w:p w:rsidR="00966D5E" w:rsidRPr="00966D5E" w:rsidRDefault="00966D5E" w:rsidP="00FE36E7">
      <w:pPr>
        <w:ind w:left="720"/>
        <w:contextualSpacing/>
        <w:rPr>
          <w:sz w:val="22"/>
        </w:rPr>
      </w:pPr>
    </w:p>
    <w:p w:rsidR="0019636D" w:rsidRPr="00D53092" w:rsidRDefault="0055482A" w:rsidP="00D53092">
      <w:pPr>
        <w:pStyle w:val="Heading3"/>
        <w:rPr>
          <w:sz w:val="24"/>
          <w:szCs w:val="24"/>
        </w:rPr>
      </w:pPr>
      <w:bookmarkStart w:id="3" w:name="_Hlk522885014"/>
      <w:r w:rsidRPr="00D53092">
        <w:rPr>
          <w:sz w:val="24"/>
          <w:szCs w:val="24"/>
        </w:rPr>
        <w:t>E</w:t>
      </w:r>
      <w:r w:rsidR="0040652B" w:rsidRPr="00D53092">
        <w:rPr>
          <w:sz w:val="24"/>
          <w:szCs w:val="24"/>
        </w:rPr>
        <w:t>nglish Language P</w:t>
      </w:r>
      <w:r w:rsidRPr="00D53092">
        <w:rPr>
          <w:sz w:val="24"/>
          <w:szCs w:val="24"/>
        </w:rPr>
        <w:t>rogress</w:t>
      </w:r>
      <w:bookmarkEnd w:id="3"/>
      <w:r w:rsidR="00EA6F60" w:rsidRPr="00D53092">
        <w:rPr>
          <w:sz w:val="24"/>
          <w:szCs w:val="24"/>
        </w:rPr>
        <w:t xml:space="preserve"> </w:t>
      </w:r>
      <w:r w:rsidR="0040652B" w:rsidRPr="00D53092">
        <w:rPr>
          <w:sz w:val="24"/>
          <w:szCs w:val="24"/>
        </w:rPr>
        <w:t>to</w:t>
      </w:r>
      <w:r w:rsidR="00EA6F60" w:rsidRPr="00D53092">
        <w:rPr>
          <w:sz w:val="24"/>
          <w:szCs w:val="24"/>
        </w:rPr>
        <w:t xml:space="preserve"> P</w:t>
      </w:r>
      <w:r w:rsidR="0040652B" w:rsidRPr="00D53092">
        <w:rPr>
          <w:sz w:val="24"/>
          <w:szCs w:val="24"/>
        </w:rPr>
        <w:t>roficiency</w:t>
      </w:r>
    </w:p>
    <w:p w:rsidR="00EA6F60" w:rsidRDefault="008E78D2" w:rsidP="00EA6F60">
      <w:pPr>
        <w:pStyle w:val="ListParagraph"/>
        <w:numPr>
          <w:ilvl w:val="0"/>
          <w:numId w:val="47"/>
        </w:numPr>
        <w:spacing w:before="240" w:after="240" w:line="240" w:lineRule="auto"/>
        <w:rPr>
          <w:sz w:val="22"/>
          <w:szCs w:val="22"/>
        </w:rPr>
      </w:pPr>
      <w:r w:rsidRPr="00744FAD">
        <w:rPr>
          <w:b/>
          <w:sz w:val="22"/>
          <w:szCs w:val="22"/>
        </w:rPr>
        <w:t xml:space="preserve">Progress Toward English Language Proficiency: </w:t>
      </w:r>
      <w:r w:rsidR="00EA6F60" w:rsidRPr="00EA6F60">
        <w:rPr>
          <w:rFonts w:cs="Arial"/>
          <w:sz w:val="22"/>
          <w:szCs w:val="22"/>
        </w:rPr>
        <w:t>The percent of English language learners in</w:t>
      </w:r>
      <w:r w:rsidR="00EA6F60" w:rsidRPr="00DE3F14">
        <w:rPr>
          <w:rFonts w:cs="Arial"/>
          <w:sz w:val="22"/>
          <w:szCs w:val="22"/>
        </w:rPr>
        <w:t xml:space="preserve"> the school that demonstrated the expected amount of growth on the ACCESS for ELLs assessment.  Students</w:t>
      </w:r>
      <w:r w:rsidR="00EA6F60" w:rsidRPr="00744FAD">
        <w:rPr>
          <w:sz w:val="22"/>
          <w:szCs w:val="22"/>
        </w:rPr>
        <w:t xml:space="preserve"> included are English language learners who have scored proficient in the first year of test administration or students who have two or more consecutive ACCESS for ELLs scores in their accountable district.</w:t>
      </w:r>
    </w:p>
    <w:p w:rsidR="00EA6F60" w:rsidRPr="00744FAD" w:rsidRDefault="00EA6F60" w:rsidP="00EA6F60">
      <w:pPr>
        <w:pStyle w:val="ListParagraph"/>
        <w:spacing w:before="240" w:after="240" w:line="240" w:lineRule="auto"/>
        <w:rPr>
          <w:sz w:val="22"/>
          <w:szCs w:val="22"/>
        </w:rPr>
      </w:pPr>
    </w:p>
    <w:p w:rsidR="00EA6F60" w:rsidRDefault="00EA6F60" w:rsidP="00EA6F60">
      <w:pPr>
        <w:pStyle w:val="ListParagraph"/>
        <w:numPr>
          <w:ilvl w:val="0"/>
          <w:numId w:val="47"/>
        </w:numPr>
        <w:spacing w:before="240" w:after="240" w:line="240" w:lineRule="auto"/>
        <w:rPr>
          <w:sz w:val="22"/>
          <w:szCs w:val="22"/>
        </w:rPr>
      </w:pPr>
      <w:r w:rsidRPr="00162EB0">
        <w:rPr>
          <w:b/>
          <w:sz w:val="22"/>
          <w:szCs w:val="22"/>
        </w:rPr>
        <w:t>Annual Targets</w:t>
      </w:r>
      <w:r w:rsidRPr="00162EB0">
        <w:rPr>
          <w:sz w:val="22"/>
          <w:szCs w:val="22"/>
        </w:rPr>
        <w:t xml:space="preserve">:   </w:t>
      </w:r>
      <w:r>
        <w:rPr>
          <w:sz w:val="22"/>
          <w:szCs w:val="22"/>
        </w:rPr>
        <w:t>In year 1 of the ELP measure, this is t</w:t>
      </w:r>
      <w:r w:rsidRPr="005575FB">
        <w:rPr>
          <w:sz w:val="22"/>
          <w:szCs w:val="22"/>
        </w:rPr>
        <w:t xml:space="preserve">he percent of English language learners </w:t>
      </w:r>
      <w:r w:rsidRPr="00FE36E7">
        <w:rPr>
          <w:rFonts w:cs="Arial"/>
          <w:sz w:val="22"/>
          <w:szCs w:val="22"/>
        </w:rPr>
        <w:t xml:space="preserve">in grades </w:t>
      </w:r>
      <w:r>
        <w:rPr>
          <w:rFonts w:cs="Arial"/>
          <w:sz w:val="22"/>
          <w:szCs w:val="22"/>
        </w:rPr>
        <w:t>K</w:t>
      </w:r>
      <w:r w:rsidRPr="00FE36E7">
        <w:rPr>
          <w:rFonts w:cs="Arial"/>
          <w:sz w:val="22"/>
          <w:szCs w:val="22"/>
        </w:rPr>
        <w:t xml:space="preserve">-12 who have </w:t>
      </w:r>
      <w:r>
        <w:rPr>
          <w:rFonts w:cs="Arial"/>
          <w:sz w:val="22"/>
          <w:szCs w:val="22"/>
        </w:rPr>
        <w:t xml:space="preserve">scored proficient in the first year of test administration, and </w:t>
      </w:r>
      <w:r w:rsidRPr="00DE63C5">
        <w:rPr>
          <w:rFonts w:cs="Arial"/>
          <w:sz w:val="22"/>
          <w:szCs w:val="22"/>
        </w:rPr>
        <w:t xml:space="preserve">the percent of ELL students in grades 1-12 who have two or more consecutive ACCESS for ELLs scores in their accountable district </w:t>
      </w:r>
      <w:r>
        <w:rPr>
          <w:rFonts w:cs="Arial"/>
          <w:sz w:val="22"/>
          <w:szCs w:val="22"/>
        </w:rPr>
        <w:t>that</w:t>
      </w:r>
      <w:r w:rsidRPr="00DE63C5">
        <w:rPr>
          <w:rFonts w:cs="Arial"/>
          <w:sz w:val="22"/>
          <w:szCs w:val="22"/>
        </w:rPr>
        <w:t xml:space="preserve"> have demonstrated the expected amount of growth on the ACCESS for ELL assessment</w:t>
      </w:r>
      <w:r w:rsidRPr="00DE63C5">
        <w:rPr>
          <w:sz w:val="22"/>
          <w:szCs w:val="22"/>
        </w:rPr>
        <w:t xml:space="preserve">. </w:t>
      </w:r>
      <w:r>
        <w:rPr>
          <w:sz w:val="22"/>
          <w:szCs w:val="22"/>
        </w:rPr>
        <w:t xml:space="preserve"> </w:t>
      </w:r>
    </w:p>
    <w:p w:rsidR="00EA6F60" w:rsidRPr="00EA6F60" w:rsidRDefault="00EA6F60" w:rsidP="00EA6F60">
      <w:pPr>
        <w:pStyle w:val="ListParagraph"/>
        <w:rPr>
          <w:sz w:val="22"/>
          <w:szCs w:val="22"/>
        </w:rPr>
      </w:pPr>
    </w:p>
    <w:p w:rsidR="00EA6F60" w:rsidRPr="00D475CA" w:rsidRDefault="00EA6F60" w:rsidP="00EA6F60">
      <w:pPr>
        <w:pStyle w:val="ListParagraph"/>
        <w:numPr>
          <w:ilvl w:val="1"/>
          <w:numId w:val="47"/>
        </w:numPr>
        <w:spacing w:before="240" w:after="240" w:line="240" w:lineRule="auto"/>
        <w:rPr>
          <w:rFonts w:cs="Arial"/>
          <w:sz w:val="22"/>
          <w:szCs w:val="22"/>
        </w:rPr>
      </w:pPr>
      <w:r w:rsidRPr="00DE63C5">
        <w:rPr>
          <w:rFonts w:cs="Arial"/>
          <w:sz w:val="22"/>
          <w:szCs w:val="22"/>
        </w:rPr>
        <w:t xml:space="preserve">Separate annual targets are derived for two groups of schools – those that </w:t>
      </w:r>
      <w:r>
        <w:rPr>
          <w:rFonts w:cs="Arial"/>
          <w:sz w:val="22"/>
          <w:szCs w:val="22"/>
        </w:rPr>
        <w:t>contain grades 5</w:t>
      </w:r>
      <w:r w:rsidRPr="00D475CA">
        <w:rPr>
          <w:rFonts w:cs="Arial"/>
          <w:sz w:val="22"/>
          <w:szCs w:val="22"/>
        </w:rPr>
        <w:t>th</w:t>
      </w:r>
      <w:r>
        <w:rPr>
          <w:rFonts w:cs="Arial"/>
          <w:sz w:val="22"/>
          <w:szCs w:val="22"/>
        </w:rPr>
        <w:t xml:space="preserve"> of lower </w:t>
      </w:r>
      <w:r w:rsidRPr="00DE63C5">
        <w:rPr>
          <w:rFonts w:cs="Arial"/>
          <w:sz w:val="22"/>
          <w:szCs w:val="22"/>
        </w:rPr>
        <w:t>and all other schools.  In subsequent years for the ELP measure, the annual targe</w:t>
      </w:r>
      <w:r>
        <w:rPr>
          <w:rFonts w:cs="Arial"/>
          <w:sz w:val="22"/>
          <w:szCs w:val="22"/>
        </w:rPr>
        <w:t xml:space="preserve">t will increase </w:t>
      </w:r>
      <w:r w:rsidRPr="00DE63C5">
        <w:rPr>
          <w:rFonts w:cs="Arial"/>
          <w:sz w:val="22"/>
          <w:szCs w:val="22"/>
        </w:rPr>
        <w:t>1</w:t>
      </w:r>
      <w:r>
        <w:rPr>
          <w:rFonts w:cs="Arial"/>
          <w:sz w:val="22"/>
          <w:szCs w:val="22"/>
        </w:rPr>
        <w:t>% a year to establish the long-term goal</w:t>
      </w:r>
      <w:r w:rsidRPr="00DE63C5">
        <w:rPr>
          <w:rFonts w:cs="Arial"/>
          <w:sz w:val="22"/>
          <w:szCs w:val="22"/>
        </w:rPr>
        <w:t>.</w:t>
      </w:r>
    </w:p>
    <w:p w:rsidR="00EA6F60" w:rsidRDefault="00EA6F60" w:rsidP="00EA6F60">
      <w:pPr>
        <w:pStyle w:val="ListParagraph"/>
        <w:spacing w:before="240" w:after="240" w:line="240" w:lineRule="auto"/>
        <w:ind w:left="1440"/>
        <w:rPr>
          <w:sz w:val="22"/>
          <w:szCs w:val="22"/>
        </w:rPr>
      </w:pPr>
    </w:p>
    <w:p w:rsidR="00EA6F60" w:rsidRDefault="00EA6F60" w:rsidP="00EA6F60">
      <w:pPr>
        <w:pStyle w:val="ListParagraph"/>
        <w:numPr>
          <w:ilvl w:val="0"/>
          <w:numId w:val="47"/>
        </w:numPr>
        <w:spacing w:before="240" w:after="240" w:line="240" w:lineRule="auto"/>
        <w:rPr>
          <w:sz w:val="22"/>
          <w:szCs w:val="22"/>
        </w:rPr>
      </w:pPr>
      <w:r w:rsidRPr="000756F3">
        <w:rPr>
          <w:b/>
          <w:i/>
          <w:sz w:val="22"/>
          <w:szCs w:val="22"/>
        </w:rPr>
        <w:t>Met</w:t>
      </w:r>
      <w:r>
        <w:rPr>
          <w:b/>
          <w:i/>
          <w:sz w:val="22"/>
          <w:szCs w:val="22"/>
        </w:rPr>
        <w:t xml:space="preserve"> </w:t>
      </w:r>
      <w:r w:rsidRPr="000756F3">
        <w:rPr>
          <w:b/>
          <w:i/>
          <w:sz w:val="22"/>
          <w:szCs w:val="22"/>
        </w:rPr>
        <w:t>target</w:t>
      </w:r>
      <w:r w:rsidRPr="0035702D">
        <w:rPr>
          <w:sz w:val="22"/>
          <w:szCs w:val="22"/>
        </w:rPr>
        <w:t xml:space="preserve">: Indicates whether the percent of English language learners in grades K-12 </w:t>
      </w:r>
      <w:r>
        <w:rPr>
          <w:sz w:val="22"/>
          <w:szCs w:val="22"/>
        </w:rPr>
        <w:t xml:space="preserve">that demonstrated the expected amount of growth on the </w:t>
      </w:r>
      <w:r w:rsidRPr="008B6A42">
        <w:rPr>
          <w:sz w:val="22"/>
          <w:szCs w:val="22"/>
        </w:rPr>
        <w:t xml:space="preserve">ACCESS for ELLs </w:t>
      </w:r>
      <w:r>
        <w:rPr>
          <w:sz w:val="22"/>
          <w:szCs w:val="22"/>
        </w:rPr>
        <w:t>meets or exceeds the annual</w:t>
      </w:r>
      <w:r w:rsidRPr="0035702D">
        <w:rPr>
          <w:sz w:val="22"/>
          <w:szCs w:val="22"/>
        </w:rPr>
        <w:t xml:space="preserve"> target.</w:t>
      </w:r>
    </w:p>
    <w:p w:rsidR="00EA6F60" w:rsidRPr="006024CB" w:rsidRDefault="00EA6F60" w:rsidP="00EA6F60">
      <w:pPr>
        <w:pStyle w:val="ListParagraph"/>
        <w:spacing w:before="240" w:after="240" w:line="240" w:lineRule="auto"/>
        <w:rPr>
          <w:sz w:val="22"/>
          <w:szCs w:val="22"/>
        </w:rPr>
      </w:pPr>
    </w:p>
    <w:p w:rsidR="00EA6F60" w:rsidRDefault="00EA6F60" w:rsidP="00EA6F60">
      <w:pPr>
        <w:pStyle w:val="ListParagraph"/>
        <w:numPr>
          <w:ilvl w:val="0"/>
          <w:numId w:val="47"/>
        </w:numPr>
        <w:spacing w:before="240" w:after="240" w:line="240" w:lineRule="auto"/>
        <w:rPr>
          <w:sz w:val="22"/>
          <w:szCs w:val="22"/>
        </w:rPr>
      </w:pPr>
      <w:r w:rsidRPr="00DE63C5">
        <w:rPr>
          <w:b/>
          <w:i/>
          <w:sz w:val="22"/>
          <w:szCs w:val="22"/>
        </w:rPr>
        <w:t>Exceeds Target</w:t>
      </w:r>
      <w:r w:rsidRPr="00DE63C5">
        <w:rPr>
          <w:sz w:val="22"/>
          <w:szCs w:val="22"/>
        </w:rPr>
        <w:t xml:space="preserve">: Indicates whether the percent of English language learners in grades K-12 that demonstrated the expected amount of growth on the ACCESS </w:t>
      </w:r>
      <w:r w:rsidRPr="008B6A42">
        <w:rPr>
          <w:sz w:val="22"/>
          <w:szCs w:val="22"/>
        </w:rPr>
        <w:t xml:space="preserve">for ELLs </w:t>
      </w:r>
      <w:r w:rsidRPr="00DE63C5">
        <w:rPr>
          <w:sz w:val="22"/>
          <w:szCs w:val="22"/>
        </w:rPr>
        <w:t xml:space="preserve">exceeds the annual target by more than one standard deviation. </w:t>
      </w:r>
    </w:p>
    <w:p w:rsidR="00EA6F60" w:rsidRPr="00DE63C5" w:rsidRDefault="00EA6F60" w:rsidP="00EA6F60">
      <w:pPr>
        <w:pStyle w:val="ListParagraph"/>
        <w:rPr>
          <w:sz w:val="22"/>
          <w:szCs w:val="22"/>
        </w:rPr>
      </w:pPr>
    </w:p>
    <w:p w:rsidR="00D916E2" w:rsidRPr="00D53092" w:rsidRDefault="00D916E2" w:rsidP="00D53092">
      <w:pPr>
        <w:pStyle w:val="Heading3"/>
        <w:rPr>
          <w:sz w:val="24"/>
          <w:szCs w:val="24"/>
        </w:rPr>
      </w:pPr>
      <w:bookmarkStart w:id="4" w:name="_Hlk522885005"/>
      <w:r w:rsidRPr="00D53092">
        <w:rPr>
          <w:sz w:val="24"/>
          <w:szCs w:val="24"/>
        </w:rPr>
        <w:t>School Quality/Student Success: Chronic Absenteeism</w:t>
      </w:r>
    </w:p>
    <w:p w:rsidR="00D916E2" w:rsidRDefault="00D916E2" w:rsidP="002354D0">
      <w:pPr>
        <w:spacing w:before="0" w:after="0" w:line="240" w:lineRule="auto"/>
        <w:rPr>
          <w:sz w:val="22"/>
          <w:szCs w:val="22"/>
        </w:rPr>
      </w:pPr>
    </w:p>
    <w:bookmarkEnd w:id="4"/>
    <w:p w:rsidR="00D916E2" w:rsidRPr="00013317" w:rsidRDefault="00D916E2" w:rsidP="0035702D">
      <w:pPr>
        <w:numPr>
          <w:ilvl w:val="0"/>
          <w:numId w:val="29"/>
        </w:numPr>
        <w:spacing w:before="0" w:after="0" w:line="240" w:lineRule="auto"/>
        <w:contextualSpacing/>
        <w:rPr>
          <w:b/>
          <w:sz w:val="22"/>
          <w:szCs w:val="22"/>
        </w:rPr>
      </w:pPr>
      <w:r w:rsidRPr="00013317">
        <w:rPr>
          <w:b/>
          <w:sz w:val="22"/>
          <w:szCs w:val="22"/>
        </w:rPr>
        <w:t>Chronic Absenteeism</w:t>
      </w:r>
    </w:p>
    <w:p w:rsidR="0035702D" w:rsidRPr="002354D0" w:rsidRDefault="0035702D" w:rsidP="0035702D">
      <w:pPr>
        <w:pStyle w:val="ListParagraph"/>
        <w:spacing w:before="0" w:after="0" w:line="240" w:lineRule="auto"/>
        <w:ind w:left="360"/>
        <w:rPr>
          <w:b/>
          <w:i/>
          <w:sz w:val="22"/>
          <w:szCs w:val="22"/>
        </w:rPr>
      </w:pPr>
    </w:p>
    <w:p w:rsidR="00D916E2" w:rsidRPr="0035702D" w:rsidRDefault="00D916E2" w:rsidP="00013317">
      <w:pPr>
        <w:pStyle w:val="ListParagraph"/>
        <w:numPr>
          <w:ilvl w:val="0"/>
          <w:numId w:val="48"/>
        </w:numPr>
        <w:spacing w:before="240" w:after="240" w:line="240" w:lineRule="auto"/>
        <w:rPr>
          <w:sz w:val="22"/>
          <w:szCs w:val="22"/>
        </w:rPr>
      </w:pPr>
      <w:r w:rsidRPr="00013317">
        <w:rPr>
          <w:b/>
          <w:sz w:val="22"/>
          <w:szCs w:val="22"/>
        </w:rPr>
        <w:t>Chronically absent</w:t>
      </w:r>
      <w:r w:rsidRPr="00013317">
        <w:rPr>
          <w:sz w:val="22"/>
          <w:szCs w:val="22"/>
        </w:rPr>
        <w:t xml:space="preserve">: </w:t>
      </w:r>
      <w:r w:rsidRPr="0035702D">
        <w:rPr>
          <w:sz w:val="22"/>
          <w:szCs w:val="22"/>
        </w:rPr>
        <w:t xml:space="preserve">The percent of students who were absent for </w:t>
      </w:r>
      <w:r w:rsidR="00BA462C" w:rsidRPr="0035702D">
        <w:rPr>
          <w:sz w:val="22"/>
          <w:szCs w:val="22"/>
        </w:rPr>
        <w:t>10</w:t>
      </w:r>
      <w:r w:rsidR="00D57BAA">
        <w:rPr>
          <w:sz w:val="22"/>
          <w:szCs w:val="22"/>
        </w:rPr>
        <w:t>%</w:t>
      </w:r>
      <w:r w:rsidR="00BA462C" w:rsidRPr="0035702D">
        <w:rPr>
          <w:sz w:val="22"/>
          <w:szCs w:val="22"/>
        </w:rPr>
        <w:t xml:space="preserve"> or </w:t>
      </w:r>
      <w:r w:rsidRPr="0035702D">
        <w:rPr>
          <w:sz w:val="22"/>
          <w:szCs w:val="22"/>
        </w:rPr>
        <w:t>more of the days for which they were enrolled in the school</w:t>
      </w:r>
      <w:r w:rsidR="005078F9" w:rsidRPr="0035702D">
        <w:rPr>
          <w:sz w:val="22"/>
          <w:szCs w:val="22"/>
        </w:rPr>
        <w:t xml:space="preserve"> (based on students enrolled at the end of the school year with at least 45 days in membership).</w:t>
      </w:r>
    </w:p>
    <w:p w:rsidR="00D916E2" w:rsidRPr="0035702D" w:rsidRDefault="00D916E2" w:rsidP="00013317">
      <w:pPr>
        <w:pStyle w:val="ListParagraph"/>
        <w:spacing w:before="240" w:after="240" w:line="240" w:lineRule="auto"/>
        <w:ind w:left="1080"/>
        <w:rPr>
          <w:sz w:val="22"/>
          <w:szCs w:val="22"/>
        </w:rPr>
      </w:pPr>
    </w:p>
    <w:p w:rsidR="00D916E2" w:rsidRPr="0035702D" w:rsidRDefault="00D916E2" w:rsidP="00013317">
      <w:pPr>
        <w:pStyle w:val="ListParagraph"/>
        <w:numPr>
          <w:ilvl w:val="0"/>
          <w:numId w:val="48"/>
        </w:numPr>
        <w:spacing w:before="240" w:after="240" w:line="240" w:lineRule="auto"/>
        <w:rPr>
          <w:sz w:val="22"/>
          <w:szCs w:val="22"/>
        </w:rPr>
      </w:pPr>
      <w:r w:rsidRPr="00013317">
        <w:rPr>
          <w:b/>
          <w:sz w:val="22"/>
          <w:szCs w:val="22"/>
        </w:rPr>
        <w:t>State Average</w:t>
      </w:r>
      <w:r w:rsidRPr="00013317">
        <w:rPr>
          <w:sz w:val="22"/>
          <w:szCs w:val="22"/>
        </w:rPr>
        <w:t xml:space="preserve">: </w:t>
      </w:r>
      <w:r w:rsidRPr="0035702D">
        <w:rPr>
          <w:sz w:val="22"/>
          <w:szCs w:val="22"/>
        </w:rPr>
        <w:t xml:space="preserve">The statewide average of students enrolled in the grades represented in the school that were absent for </w:t>
      </w:r>
      <w:r w:rsidR="00BA462C" w:rsidRPr="0035702D">
        <w:rPr>
          <w:sz w:val="22"/>
          <w:szCs w:val="22"/>
        </w:rPr>
        <w:t xml:space="preserve">10% or </w:t>
      </w:r>
      <w:r w:rsidRPr="0035702D">
        <w:rPr>
          <w:sz w:val="22"/>
          <w:szCs w:val="22"/>
        </w:rPr>
        <w:t>more of the days for which they were enrolled.</w:t>
      </w:r>
    </w:p>
    <w:p w:rsidR="00D916E2" w:rsidRPr="00013317" w:rsidRDefault="00D916E2" w:rsidP="00013317">
      <w:pPr>
        <w:pStyle w:val="ListParagraph"/>
        <w:spacing w:before="240" w:after="240" w:line="240" w:lineRule="auto"/>
        <w:ind w:left="1080"/>
        <w:rPr>
          <w:sz w:val="22"/>
          <w:szCs w:val="22"/>
        </w:rPr>
      </w:pPr>
    </w:p>
    <w:p w:rsidR="00D916E2" w:rsidRPr="0035702D" w:rsidRDefault="00D916E2" w:rsidP="00013317">
      <w:pPr>
        <w:pStyle w:val="ListParagraph"/>
        <w:numPr>
          <w:ilvl w:val="0"/>
          <w:numId w:val="48"/>
        </w:numPr>
        <w:spacing w:before="240" w:after="240" w:line="240" w:lineRule="auto"/>
        <w:rPr>
          <w:i/>
          <w:sz w:val="22"/>
          <w:szCs w:val="22"/>
        </w:rPr>
      </w:pPr>
      <w:r w:rsidRPr="00013317">
        <w:rPr>
          <w:b/>
          <w:sz w:val="22"/>
          <w:szCs w:val="22"/>
        </w:rPr>
        <w:t>Met State Average</w:t>
      </w:r>
      <w:r w:rsidRPr="00013317">
        <w:rPr>
          <w:sz w:val="22"/>
          <w:szCs w:val="22"/>
        </w:rPr>
        <w:t xml:space="preserve">: </w:t>
      </w:r>
      <w:r w:rsidRPr="0035702D">
        <w:rPr>
          <w:sz w:val="22"/>
          <w:szCs w:val="22"/>
        </w:rPr>
        <w:t>Indicates whether the student group’s rate of chronic absenteeism was below or above the state average</w:t>
      </w:r>
      <w:r w:rsidR="00FB072B" w:rsidRPr="0035702D">
        <w:rPr>
          <w:sz w:val="22"/>
          <w:szCs w:val="22"/>
        </w:rPr>
        <w:t xml:space="preserve"> for schools with the same grade configuration (e.g., for a school with grades 9 through 12, the chronic absenteeism rate would be compared to the average rate of </w:t>
      </w:r>
      <w:r w:rsidR="00EB571E" w:rsidRPr="0035702D">
        <w:rPr>
          <w:sz w:val="22"/>
          <w:szCs w:val="22"/>
        </w:rPr>
        <w:t xml:space="preserve">all students </w:t>
      </w:r>
      <w:r w:rsidR="00E72E94" w:rsidRPr="0035702D">
        <w:rPr>
          <w:sz w:val="22"/>
          <w:szCs w:val="22"/>
        </w:rPr>
        <w:t xml:space="preserve">across the state </w:t>
      </w:r>
      <w:r w:rsidR="00EB571E" w:rsidRPr="0035702D">
        <w:rPr>
          <w:sz w:val="22"/>
          <w:szCs w:val="22"/>
        </w:rPr>
        <w:t>in</w:t>
      </w:r>
      <w:r w:rsidR="00FB072B" w:rsidRPr="0035702D">
        <w:rPr>
          <w:sz w:val="22"/>
          <w:szCs w:val="22"/>
        </w:rPr>
        <w:t xml:space="preserve"> grades 9 through 12</w:t>
      </w:r>
      <w:r w:rsidR="00E72E94" w:rsidRPr="0035702D">
        <w:rPr>
          <w:sz w:val="22"/>
          <w:szCs w:val="22"/>
        </w:rPr>
        <w:t>)</w:t>
      </w:r>
      <w:r w:rsidRPr="0035702D">
        <w:rPr>
          <w:sz w:val="22"/>
          <w:szCs w:val="22"/>
        </w:rPr>
        <w:t xml:space="preserve">.  The designation of “N” indicates the </w:t>
      </w:r>
      <w:r w:rsidR="00CA5B46" w:rsidRPr="0035702D">
        <w:rPr>
          <w:sz w:val="22"/>
          <w:szCs w:val="22"/>
        </w:rPr>
        <w:t>student group’s</w:t>
      </w:r>
      <w:r w:rsidRPr="0035702D">
        <w:rPr>
          <w:sz w:val="22"/>
          <w:szCs w:val="22"/>
        </w:rPr>
        <w:t xml:space="preserve"> rate was above the state average. A designation of “Y” indicates the </w:t>
      </w:r>
      <w:r w:rsidR="00CA5B46" w:rsidRPr="0035702D">
        <w:rPr>
          <w:sz w:val="22"/>
          <w:szCs w:val="22"/>
        </w:rPr>
        <w:t>student group’s</w:t>
      </w:r>
      <w:r w:rsidRPr="0035702D">
        <w:rPr>
          <w:sz w:val="22"/>
          <w:szCs w:val="22"/>
        </w:rPr>
        <w:t xml:space="preserve"> rate was </w:t>
      </w:r>
      <w:r w:rsidR="00686E4D" w:rsidRPr="0035702D">
        <w:rPr>
          <w:sz w:val="22"/>
          <w:szCs w:val="22"/>
        </w:rPr>
        <w:t xml:space="preserve">at or </w:t>
      </w:r>
      <w:r w:rsidRPr="0035702D">
        <w:rPr>
          <w:sz w:val="22"/>
          <w:szCs w:val="22"/>
        </w:rPr>
        <w:t>below the state average.</w:t>
      </w:r>
      <w:r w:rsidRPr="0035702D">
        <w:rPr>
          <w:i/>
          <w:sz w:val="22"/>
          <w:szCs w:val="22"/>
        </w:rPr>
        <w:t xml:space="preserve"> </w:t>
      </w:r>
    </w:p>
    <w:p w:rsidR="00D916E2" w:rsidRDefault="00D916E2" w:rsidP="002354D0">
      <w:pPr>
        <w:spacing w:before="0" w:after="0" w:line="240" w:lineRule="auto"/>
      </w:pPr>
    </w:p>
    <w:p w:rsidR="00B47BBB" w:rsidRDefault="00B47BBB">
      <w:r>
        <w:br w:type="page"/>
      </w:r>
    </w:p>
    <w:p w:rsidR="0032337D" w:rsidRDefault="00686E4D" w:rsidP="00035483">
      <w:pPr>
        <w:pStyle w:val="Heading2"/>
        <w:rPr>
          <w:rFonts w:cstheme="minorHAnsi"/>
          <w:caps w:val="0"/>
          <w:sz w:val="24"/>
          <w:szCs w:val="24"/>
        </w:rPr>
      </w:pPr>
      <w:bookmarkStart w:id="5" w:name="_Hlk522885846"/>
      <w:r w:rsidRPr="00AF7B02">
        <w:rPr>
          <w:rFonts w:cstheme="minorHAnsi"/>
          <w:caps w:val="0"/>
          <w:sz w:val="24"/>
          <w:szCs w:val="24"/>
        </w:rPr>
        <w:t xml:space="preserve">Understanding </w:t>
      </w:r>
      <w:r w:rsidR="001A38ED" w:rsidRPr="00AF7B02">
        <w:rPr>
          <w:rFonts w:cstheme="minorHAnsi"/>
          <w:caps w:val="0"/>
          <w:sz w:val="24"/>
          <w:szCs w:val="24"/>
        </w:rPr>
        <w:t>E</w:t>
      </w:r>
      <w:r w:rsidRPr="00AF7B02">
        <w:rPr>
          <w:rFonts w:cstheme="minorHAnsi"/>
          <w:caps w:val="0"/>
          <w:sz w:val="24"/>
          <w:szCs w:val="24"/>
        </w:rPr>
        <w:t xml:space="preserve">ach of the Accountability </w:t>
      </w:r>
      <w:r w:rsidR="001A38ED" w:rsidRPr="00AF7B02">
        <w:rPr>
          <w:rFonts w:cstheme="minorHAnsi"/>
          <w:caps w:val="0"/>
          <w:sz w:val="24"/>
          <w:szCs w:val="24"/>
        </w:rPr>
        <w:t>I</w:t>
      </w:r>
      <w:r w:rsidR="00B546FB" w:rsidRPr="00AF7B02">
        <w:rPr>
          <w:rFonts w:cstheme="minorHAnsi"/>
          <w:caps w:val="0"/>
          <w:sz w:val="24"/>
          <w:szCs w:val="24"/>
        </w:rPr>
        <w:t>ndicators</w:t>
      </w:r>
    </w:p>
    <w:p w:rsidR="00B546FB" w:rsidRPr="001F7D6B" w:rsidRDefault="001A38ED" w:rsidP="00F717E3">
      <w:pPr>
        <w:pStyle w:val="Heading2"/>
        <w:spacing w:before="0"/>
        <w:rPr>
          <w:caps w:val="0"/>
        </w:rPr>
      </w:pPr>
      <w:bookmarkStart w:id="6" w:name="_Hlk522886631"/>
      <w:bookmarkStart w:id="7" w:name="_Hlk522886618"/>
      <w:bookmarkEnd w:id="5"/>
      <w:r w:rsidRPr="00AF7B02">
        <w:rPr>
          <w:rFonts w:cstheme="minorHAnsi"/>
          <w:caps w:val="0"/>
          <w:sz w:val="24"/>
          <w:szCs w:val="24"/>
        </w:rPr>
        <w:t>A</w:t>
      </w:r>
      <w:r w:rsidR="00B546FB" w:rsidRPr="00AF7B02">
        <w:rPr>
          <w:rFonts w:cstheme="minorHAnsi"/>
          <w:caps w:val="0"/>
          <w:sz w:val="24"/>
          <w:szCs w:val="24"/>
        </w:rPr>
        <w:t xml:space="preserve">cademic </w:t>
      </w:r>
      <w:r w:rsidRPr="00AF7B02">
        <w:rPr>
          <w:rFonts w:cstheme="minorHAnsi"/>
          <w:caps w:val="0"/>
          <w:sz w:val="24"/>
          <w:szCs w:val="24"/>
        </w:rPr>
        <w:t>A</w:t>
      </w:r>
      <w:r w:rsidR="00B546FB" w:rsidRPr="00AF7B02">
        <w:rPr>
          <w:rFonts w:cstheme="minorHAnsi"/>
          <w:caps w:val="0"/>
          <w:sz w:val="24"/>
          <w:szCs w:val="24"/>
        </w:rPr>
        <w:t>chievement</w:t>
      </w:r>
      <w:bookmarkEnd w:id="6"/>
    </w:p>
    <w:bookmarkEnd w:id="7"/>
    <w:p w:rsidR="00DD0DEA" w:rsidRPr="00347076" w:rsidRDefault="004B48B5" w:rsidP="004B48B5">
      <w:pPr>
        <w:pStyle w:val="Heading3"/>
        <w:rPr>
          <w:sz w:val="24"/>
          <w:szCs w:val="24"/>
        </w:rPr>
      </w:pPr>
      <w:r w:rsidRPr="00347076">
        <w:rPr>
          <w:sz w:val="24"/>
          <w:szCs w:val="24"/>
        </w:rPr>
        <w:t>D</w:t>
      </w:r>
      <w:r w:rsidR="001A38ED" w:rsidRPr="00347076">
        <w:rPr>
          <w:sz w:val="24"/>
          <w:szCs w:val="24"/>
        </w:rPr>
        <w:t>efinition</w:t>
      </w:r>
    </w:p>
    <w:p w:rsidR="002B4BB0" w:rsidRPr="004B48B5" w:rsidRDefault="00D25D08" w:rsidP="002354D0">
      <w:pPr>
        <w:contextualSpacing/>
        <w:rPr>
          <w:rFonts w:cstheme="minorHAnsi"/>
          <w:sz w:val="22"/>
          <w:szCs w:val="22"/>
        </w:rPr>
      </w:pPr>
      <w:r w:rsidRPr="004B48B5">
        <w:rPr>
          <w:rFonts w:cstheme="minorHAnsi"/>
          <w:sz w:val="22"/>
          <w:szCs w:val="22"/>
        </w:rPr>
        <w:t xml:space="preserve">Pursuant to Section 1111(c)(4)(B)(i)(I) of </w:t>
      </w:r>
      <w:r w:rsidR="001062BB">
        <w:rPr>
          <w:rFonts w:cstheme="minorHAnsi"/>
          <w:i/>
          <w:iCs/>
          <w:sz w:val="22"/>
          <w:szCs w:val="22"/>
        </w:rPr>
        <w:t>ESSA</w:t>
      </w:r>
      <w:r w:rsidRPr="004B48B5">
        <w:rPr>
          <w:rFonts w:cstheme="minorHAnsi"/>
          <w:sz w:val="22"/>
          <w:szCs w:val="22"/>
        </w:rPr>
        <w:t xml:space="preserve">, the academic achievement indicator must reflect schools’ grade-level academic </w:t>
      </w:r>
      <w:r w:rsidR="00FC6F47">
        <w:rPr>
          <w:rFonts w:cstheme="minorHAnsi"/>
          <w:sz w:val="22"/>
          <w:szCs w:val="22"/>
        </w:rPr>
        <w:t>proficiency</w:t>
      </w:r>
      <w:r w:rsidR="00FC6F47" w:rsidRPr="004B48B5">
        <w:rPr>
          <w:rFonts w:cstheme="minorHAnsi"/>
          <w:sz w:val="22"/>
          <w:szCs w:val="22"/>
        </w:rPr>
        <w:t xml:space="preserve"> </w:t>
      </w:r>
      <w:r w:rsidRPr="004B48B5">
        <w:rPr>
          <w:rFonts w:cstheme="minorHAnsi"/>
          <w:sz w:val="22"/>
          <w:szCs w:val="22"/>
        </w:rPr>
        <w:t xml:space="preserve">rates on statewide </w:t>
      </w:r>
      <w:r w:rsidR="004B48B5">
        <w:rPr>
          <w:rFonts w:cstheme="minorHAnsi"/>
          <w:sz w:val="22"/>
          <w:szCs w:val="22"/>
        </w:rPr>
        <w:t>English Language Art/Literacy (ELA/L) and M</w:t>
      </w:r>
      <w:r w:rsidRPr="004B48B5">
        <w:rPr>
          <w:rFonts w:cstheme="minorHAnsi"/>
          <w:sz w:val="22"/>
          <w:szCs w:val="22"/>
        </w:rPr>
        <w:t>athematics assessments. In New Jersey’s school accountability system</w:t>
      </w:r>
      <w:r w:rsidR="001062BB">
        <w:rPr>
          <w:rFonts w:cstheme="minorHAnsi"/>
          <w:sz w:val="22"/>
          <w:szCs w:val="22"/>
        </w:rPr>
        <w:t xml:space="preserve"> </w:t>
      </w:r>
      <w:r w:rsidR="00FC6F47">
        <w:rPr>
          <w:rFonts w:cstheme="minorHAnsi"/>
          <w:sz w:val="22"/>
          <w:szCs w:val="22"/>
        </w:rPr>
        <w:t>proficiency</w:t>
      </w:r>
      <w:r w:rsidR="00B47BBB" w:rsidRPr="004B48B5">
        <w:rPr>
          <w:rFonts w:cstheme="minorHAnsi"/>
          <w:sz w:val="22"/>
          <w:szCs w:val="22"/>
        </w:rPr>
        <w:t xml:space="preserve"> </w:t>
      </w:r>
      <w:r w:rsidRPr="004B48B5">
        <w:rPr>
          <w:rFonts w:cstheme="minorHAnsi"/>
          <w:sz w:val="22"/>
          <w:szCs w:val="22"/>
        </w:rPr>
        <w:t>rates are calculated as the percentage of students meeting or exceeding grade-level standards on statewide assessments, including alterna</w:t>
      </w:r>
      <w:r w:rsidR="008233FA">
        <w:rPr>
          <w:rFonts w:cstheme="minorHAnsi"/>
          <w:sz w:val="22"/>
          <w:szCs w:val="22"/>
        </w:rPr>
        <w:t>te</w:t>
      </w:r>
      <w:r w:rsidRPr="004B48B5">
        <w:rPr>
          <w:rFonts w:cstheme="minorHAnsi"/>
          <w:sz w:val="22"/>
          <w:szCs w:val="22"/>
        </w:rPr>
        <w:t xml:space="preserve"> assessments for students with </w:t>
      </w:r>
      <w:r w:rsidR="006F0F55">
        <w:rPr>
          <w:rFonts w:cstheme="minorHAnsi"/>
          <w:sz w:val="22"/>
          <w:szCs w:val="22"/>
        </w:rPr>
        <w:t xml:space="preserve">the most significant intellectual </w:t>
      </w:r>
      <w:r w:rsidRPr="004B48B5">
        <w:rPr>
          <w:rFonts w:cstheme="minorHAnsi"/>
          <w:sz w:val="22"/>
          <w:szCs w:val="22"/>
        </w:rPr>
        <w:t xml:space="preserve">disabilities, adjusted for participation pursuant to Section 1111(c)(4)(E) of </w:t>
      </w:r>
      <w:r w:rsidR="001062BB">
        <w:rPr>
          <w:rFonts w:cstheme="minorHAnsi"/>
          <w:i/>
          <w:sz w:val="22"/>
          <w:szCs w:val="22"/>
        </w:rPr>
        <w:t>ESSA</w:t>
      </w:r>
      <w:r w:rsidR="001062BB" w:rsidRPr="004B48B5">
        <w:rPr>
          <w:rFonts w:cstheme="minorHAnsi"/>
          <w:sz w:val="22"/>
          <w:szCs w:val="22"/>
        </w:rPr>
        <w:t xml:space="preserve"> </w:t>
      </w:r>
      <w:r w:rsidRPr="004B48B5">
        <w:rPr>
          <w:rFonts w:cstheme="minorHAnsi"/>
          <w:sz w:val="22"/>
          <w:szCs w:val="22"/>
        </w:rPr>
        <w:t>(i.e.</w:t>
      </w:r>
      <w:r w:rsidR="00CA5B46">
        <w:rPr>
          <w:rFonts w:cstheme="minorHAnsi"/>
          <w:sz w:val="22"/>
          <w:szCs w:val="22"/>
        </w:rPr>
        <w:t>,</w:t>
      </w:r>
      <w:r w:rsidRPr="004B48B5">
        <w:rPr>
          <w:rFonts w:cstheme="minorHAnsi"/>
          <w:sz w:val="22"/>
          <w:szCs w:val="22"/>
        </w:rPr>
        <w:t xml:space="preserve"> proficiency rates).  </w:t>
      </w:r>
      <w:r w:rsidR="00FC6F47">
        <w:rPr>
          <w:rFonts w:cstheme="minorHAnsi"/>
          <w:sz w:val="22"/>
          <w:szCs w:val="22"/>
        </w:rPr>
        <w:t>Proficiency</w:t>
      </w:r>
      <w:r w:rsidR="00B47BBB" w:rsidRPr="004B48B5">
        <w:rPr>
          <w:rFonts w:cstheme="minorHAnsi"/>
          <w:sz w:val="22"/>
          <w:szCs w:val="22"/>
        </w:rPr>
        <w:t xml:space="preserve"> </w:t>
      </w:r>
      <w:r w:rsidRPr="004B48B5">
        <w:rPr>
          <w:rFonts w:cstheme="minorHAnsi"/>
          <w:sz w:val="22"/>
          <w:szCs w:val="22"/>
        </w:rPr>
        <w:t xml:space="preserve">rates are calculated based on the assessment results of all students in grades three through 10 and the performance of all student subgroups.  Students </w:t>
      </w:r>
      <w:r w:rsidR="00FC6F47">
        <w:rPr>
          <w:rFonts w:cstheme="minorHAnsi"/>
          <w:sz w:val="22"/>
          <w:szCs w:val="22"/>
        </w:rPr>
        <w:t>‘</w:t>
      </w:r>
      <w:r w:rsidR="006F0F55">
        <w:rPr>
          <w:rFonts w:cstheme="minorHAnsi"/>
          <w:sz w:val="22"/>
          <w:szCs w:val="22"/>
        </w:rPr>
        <w:t>meet</w:t>
      </w:r>
      <w:r w:rsidR="00FC6F47">
        <w:rPr>
          <w:rFonts w:cstheme="minorHAnsi"/>
          <w:sz w:val="22"/>
          <w:szCs w:val="22"/>
        </w:rPr>
        <w:t xml:space="preserve"> the standard’ on PARCC by scoring at level ‘4.’  Students ‘exceed the standard’ on PARCC by scoring at level ‘5.’  Students ‘meet’ the standard on DLM by scoring at level </w:t>
      </w:r>
      <w:r w:rsidR="008233FA">
        <w:rPr>
          <w:rFonts w:cstheme="minorHAnsi"/>
          <w:sz w:val="22"/>
          <w:szCs w:val="22"/>
        </w:rPr>
        <w:t>‘</w:t>
      </w:r>
      <w:r w:rsidR="00FC6F47">
        <w:rPr>
          <w:rFonts w:cstheme="minorHAnsi"/>
          <w:sz w:val="22"/>
          <w:szCs w:val="22"/>
        </w:rPr>
        <w:t>3</w:t>
      </w:r>
      <w:r w:rsidR="008233FA">
        <w:rPr>
          <w:rFonts w:cstheme="minorHAnsi"/>
          <w:sz w:val="22"/>
          <w:szCs w:val="22"/>
        </w:rPr>
        <w:t>’</w:t>
      </w:r>
      <w:r w:rsidR="00FC6F47">
        <w:rPr>
          <w:rFonts w:cstheme="minorHAnsi"/>
          <w:sz w:val="22"/>
          <w:szCs w:val="22"/>
        </w:rPr>
        <w:t xml:space="preserve"> and ‘</w:t>
      </w:r>
      <w:r w:rsidRPr="004B48B5">
        <w:rPr>
          <w:rFonts w:cstheme="minorHAnsi"/>
          <w:sz w:val="22"/>
          <w:szCs w:val="22"/>
        </w:rPr>
        <w:t>exceed</w:t>
      </w:r>
      <w:r w:rsidR="00FC6F47">
        <w:rPr>
          <w:rFonts w:cstheme="minorHAnsi"/>
          <w:sz w:val="22"/>
          <w:szCs w:val="22"/>
        </w:rPr>
        <w:t xml:space="preserve"> the standard’ by scoring at level </w:t>
      </w:r>
      <w:r w:rsidR="008233FA">
        <w:rPr>
          <w:rFonts w:cstheme="minorHAnsi"/>
          <w:sz w:val="22"/>
          <w:szCs w:val="22"/>
        </w:rPr>
        <w:t>‘</w:t>
      </w:r>
      <w:r w:rsidR="00FC6F47">
        <w:rPr>
          <w:rFonts w:cstheme="minorHAnsi"/>
          <w:sz w:val="22"/>
          <w:szCs w:val="22"/>
        </w:rPr>
        <w:t>4.</w:t>
      </w:r>
      <w:r w:rsidR="008233FA">
        <w:rPr>
          <w:rFonts w:cstheme="minorHAnsi"/>
          <w:sz w:val="22"/>
          <w:szCs w:val="22"/>
        </w:rPr>
        <w:t xml:space="preserve">’ </w:t>
      </w:r>
      <w:r w:rsidR="00FC6F47">
        <w:rPr>
          <w:rFonts w:cstheme="minorHAnsi"/>
          <w:sz w:val="22"/>
          <w:szCs w:val="22"/>
        </w:rPr>
        <w:t xml:space="preserve"> See the </w:t>
      </w:r>
      <w:hyperlink r:id="rId13" w:history="1">
        <w:r w:rsidR="00FC6F47" w:rsidRPr="00FC6F47">
          <w:rPr>
            <w:rStyle w:val="Hyperlink"/>
            <w:rFonts w:cstheme="minorHAnsi"/>
            <w:sz w:val="22"/>
            <w:szCs w:val="22"/>
          </w:rPr>
          <w:t>NJDOE web site</w:t>
        </w:r>
      </w:hyperlink>
      <w:r w:rsidR="00FC6F47">
        <w:rPr>
          <w:rFonts w:cstheme="minorHAnsi"/>
          <w:sz w:val="22"/>
          <w:szCs w:val="22"/>
        </w:rPr>
        <w:t xml:space="preserve"> for more information regarding </w:t>
      </w:r>
      <w:r w:rsidR="00DF6295">
        <w:rPr>
          <w:rFonts w:cstheme="minorHAnsi"/>
          <w:sz w:val="22"/>
          <w:szCs w:val="22"/>
        </w:rPr>
        <w:t>the scoring of state assessments</w:t>
      </w:r>
      <w:r w:rsidR="00FC6F47">
        <w:rPr>
          <w:rFonts w:cstheme="minorHAnsi"/>
          <w:sz w:val="22"/>
          <w:szCs w:val="22"/>
        </w:rPr>
        <w:t>.</w:t>
      </w:r>
    </w:p>
    <w:p w:rsidR="004B48B5" w:rsidRPr="00347076" w:rsidRDefault="004B48B5" w:rsidP="002354D0">
      <w:pPr>
        <w:pStyle w:val="Heading3"/>
        <w:rPr>
          <w:sz w:val="24"/>
          <w:szCs w:val="24"/>
        </w:rPr>
      </w:pPr>
      <w:r w:rsidRPr="00347076">
        <w:rPr>
          <w:sz w:val="24"/>
          <w:szCs w:val="24"/>
        </w:rPr>
        <w:t>P</w:t>
      </w:r>
      <w:r w:rsidR="001A38ED" w:rsidRPr="00347076">
        <w:rPr>
          <w:sz w:val="24"/>
          <w:szCs w:val="24"/>
        </w:rPr>
        <w:t>urpose</w:t>
      </w:r>
    </w:p>
    <w:p w:rsidR="00D25D08" w:rsidRPr="00D25D08" w:rsidRDefault="004B48B5" w:rsidP="00D25D08">
      <w:pPr>
        <w:pStyle w:val="ListParagraph"/>
        <w:ind w:left="0"/>
        <w:rPr>
          <w:rFonts w:asciiTheme="majorHAnsi" w:hAnsiTheme="majorHAnsi" w:cs="Calibri Light"/>
          <w:sz w:val="22"/>
          <w:szCs w:val="22"/>
        </w:rPr>
      </w:pPr>
      <w:r w:rsidRPr="002354D0">
        <w:rPr>
          <w:rFonts w:cstheme="minorHAnsi"/>
          <w:sz w:val="22"/>
          <w:szCs w:val="22"/>
        </w:rPr>
        <w:t>The</w:t>
      </w:r>
      <w:r w:rsidR="00D25D08" w:rsidRPr="002354D0">
        <w:rPr>
          <w:rFonts w:cstheme="minorHAnsi"/>
          <w:sz w:val="22"/>
          <w:szCs w:val="22"/>
        </w:rPr>
        <w:t xml:space="preserve"> academic achievement </w:t>
      </w:r>
      <w:r w:rsidRPr="002354D0">
        <w:rPr>
          <w:rFonts w:cstheme="minorHAnsi"/>
          <w:sz w:val="22"/>
          <w:szCs w:val="22"/>
        </w:rPr>
        <w:t xml:space="preserve">indicator measures student mastery of the New Jersey Student Learning Standards (NJSLS).  The NJSLS reflect the skills and knowledge that students need to </w:t>
      </w:r>
      <w:r w:rsidR="007A2B22" w:rsidRPr="002354D0">
        <w:rPr>
          <w:rFonts w:cstheme="minorHAnsi"/>
          <w:sz w:val="22"/>
          <w:szCs w:val="22"/>
        </w:rPr>
        <w:t xml:space="preserve">achieve postsecondary success. Thus, this indicator informs the degree to which </w:t>
      </w:r>
      <w:r w:rsidR="00D25D08" w:rsidRPr="002354D0">
        <w:rPr>
          <w:rFonts w:cstheme="minorHAnsi"/>
          <w:sz w:val="22"/>
          <w:szCs w:val="22"/>
        </w:rPr>
        <w:t xml:space="preserve">schools and school districts are successfully implementing appropriate strategies and interventions </w:t>
      </w:r>
      <w:r w:rsidR="007A2B22" w:rsidRPr="002354D0">
        <w:rPr>
          <w:rFonts w:cstheme="minorHAnsi"/>
          <w:sz w:val="22"/>
          <w:szCs w:val="22"/>
        </w:rPr>
        <w:t xml:space="preserve">in ELA/L and mathematics to prepare their students to succeed in </w:t>
      </w:r>
      <w:r w:rsidR="00B47BBB">
        <w:rPr>
          <w:rFonts w:cstheme="minorHAnsi"/>
          <w:sz w:val="22"/>
          <w:szCs w:val="22"/>
        </w:rPr>
        <w:t xml:space="preserve">their chosen path after graduation. </w:t>
      </w:r>
      <w:r w:rsidR="007A2B22">
        <w:rPr>
          <w:rFonts w:asciiTheme="majorHAnsi" w:hAnsiTheme="majorHAnsi" w:cs="Calibri Light"/>
          <w:sz w:val="22"/>
          <w:szCs w:val="22"/>
        </w:rPr>
        <w:t xml:space="preserve"> </w:t>
      </w:r>
      <w:r w:rsidR="00D25D08" w:rsidRPr="00D25D08">
        <w:rPr>
          <w:rFonts w:asciiTheme="majorHAnsi" w:hAnsiTheme="majorHAnsi" w:cs="Calibri Light"/>
          <w:sz w:val="22"/>
          <w:szCs w:val="22"/>
        </w:rPr>
        <w:t xml:space="preserve">  </w:t>
      </w:r>
    </w:p>
    <w:p w:rsidR="00D25D08" w:rsidRPr="00347076" w:rsidRDefault="007A2B22" w:rsidP="002354D0">
      <w:pPr>
        <w:pStyle w:val="Heading3"/>
        <w:rPr>
          <w:sz w:val="24"/>
          <w:szCs w:val="24"/>
        </w:rPr>
      </w:pPr>
      <w:r w:rsidRPr="00347076">
        <w:rPr>
          <w:sz w:val="24"/>
          <w:szCs w:val="24"/>
        </w:rPr>
        <w:t>C</w:t>
      </w:r>
      <w:r w:rsidR="001A38ED" w:rsidRPr="00347076">
        <w:rPr>
          <w:sz w:val="24"/>
          <w:szCs w:val="24"/>
        </w:rPr>
        <w:t>alculation</w:t>
      </w:r>
    </w:p>
    <w:p w:rsidR="008A46D4" w:rsidRPr="002354D0" w:rsidRDefault="008A46D4" w:rsidP="008A46D4">
      <w:pPr>
        <w:pStyle w:val="ListParagraph"/>
        <w:ind w:left="0"/>
        <w:rPr>
          <w:rFonts w:cstheme="minorHAnsi"/>
          <w:b/>
          <w:sz w:val="22"/>
          <w:szCs w:val="22"/>
        </w:rPr>
      </w:pPr>
      <w:r w:rsidRPr="002354D0">
        <w:rPr>
          <w:rFonts w:cstheme="minorHAnsi"/>
          <w:b/>
          <w:sz w:val="22"/>
          <w:szCs w:val="22"/>
        </w:rPr>
        <w:t>Students Exempt from Calculation:</w:t>
      </w:r>
    </w:p>
    <w:p w:rsidR="008A46D4" w:rsidRPr="001355E4" w:rsidRDefault="00FE36E7" w:rsidP="008A46D4">
      <w:pPr>
        <w:pStyle w:val="ListParagraph"/>
        <w:ind w:left="0"/>
        <w:rPr>
          <w:rFonts w:asciiTheme="majorHAnsi" w:hAnsiTheme="majorHAnsi"/>
          <w:b/>
          <w:sz w:val="22"/>
          <w:szCs w:val="22"/>
        </w:rPr>
      </w:pPr>
      <w:r>
        <w:rPr>
          <w:rFonts w:cstheme="minorHAnsi"/>
          <w:sz w:val="22"/>
          <w:szCs w:val="22"/>
        </w:rPr>
        <w:t>F</w:t>
      </w:r>
      <w:r w:rsidR="008A46D4" w:rsidRPr="00F35412">
        <w:rPr>
          <w:rFonts w:cstheme="minorHAnsi"/>
          <w:sz w:val="22"/>
          <w:szCs w:val="22"/>
        </w:rPr>
        <w:t xml:space="preserve">irst year English language learners </w:t>
      </w:r>
      <w:r w:rsidR="008A46D4">
        <w:rPr>
          <w:rFonts w:cstheme="minorHAnsi"/>
          <w:sz w:val="22"/>
          <w:szCs w:val="22"/>
        </w:rPr>
        <w:t xml:space="preserve">in </w:t>
      </w:r>
      <w:r w:rsidR="00B47BBB">
        <w:rPr>
          <w:rFonts w:cstheme="minorHAnsi"/>
          <w:sz w:val="22"/>
          <w:szCs w:val="22"/>
        </w:rPr>
        <w:t xml:space="preserve">grades </w:t>
      </w:r>
      <w:r w:rsidR="008A46D4">
        <w:rPr>
          <w:rFonts w:cstheme="minorHAnsi"/>
          <w:sz w:val="22"/>
          <w:szCs w:val="22"/>
        </w:rPr>
        <w:t xml:space="preserve">K-8 </w:t>
      </w:r>
      <w:r w:rsidR="00EB571E">
        <w:rPr>
          <w:rFonts w:cstheme="minorHAnsi"/>
          <w:sz w:val="22"/>
          <w:szCs w:val="22"/>
        </w:rPr>
        <w:t xml:space="preserve">who enroll after July 1, 2016 </w:t>
      </w:r>
      <w:r w:rsidR="00DF6295" w:rsidRPr="00F35412">
        <w:rPr>
          <w:rFonts w:cstheme="minorHAnsi"/>
          <w:sz w:val="22"/>
          <w:szCs w:val="22"/>
        </w:rPr>
        <w:t>are exempt</w:t>
      </w:r>
      <w:r w:rsidR="008A46D4" w:rsidRPr="00F35412">
        <w:rPr>
          <w:rFonts w:cstheme="minorHAnsi"/>
          <w:sz w:val="22"/>
          <w:szCs w:val="22"/>
        </w:rPr>
        <w:t xml:space="preserve"> from </w:t>
      </w:r>
      <w:r w:rsidR="00B47BBB">
        <w:rPr>
          <w:rFonts w:cstheme="minorHAnsi"/>
          <w:sz w:val="22"/>
          <w:szCs w:val="22"/>
        </w:rPr>
        <w:t xml:space="preserve">taking </w:t>
      </w:r>
      <w:r w:rsidR="008A46D4" w:rsidRPr="00F35412">
        <w:rPr>
          <w:rFonts w:cstheme="minorHAnsi"/>
          <w:sz w:val="22"/>
          <w:szCs w:val="22"/>
        </w:rPr>
        <w:t xml:space="preserve">the ELA/L assessment.  </w:t>
      </w:r>
      <w:r w:rsidR="002B757A">
        <w:rPr>
          <w:rFonts w:cstheme="minorHAnsi"/>
          <w:sz w:val="22"/>
          <w:szCs w:val="22"/>
        </w:rPr>
        <w:t>As a result</w:t>
      </w:r>
      <w:r w:rsidR="008A46D4" w:rsidRPr="00F35412">
        <w:rPr>
          <w:rFonts w:cstheme="minorHAnsi"/>
          <w:sz w:val="22"/>
          <w:szCs w:val="22"/>
        </w:rPr>
        <w:t xml:space="preserve">, </w:t>
      </w:r>
      <w:r w:rsidR="00B40358">
        <w:rPr>
          <w:rFonts w:cstheme="minorHAnsi"/>
          <w:sz w:val="22"/>
          <w:szCs w:val="22"/>
        </w:rPr>
        <w:t xml:space="preserve">these </w:t>
      </w:r>
      <w:r w:rsidR="00B546FB">
        <w:rPr>
          <w:rFonts w:cstheme="minorHAnsi"/>
          <w:sz w:val="22"/>
          <w:szCs w:val="22"/>
        </w:rPr>
        <w:t>students are not included in the calculation of academic achievement</w:t>
      </w:r>
      <w:r w:rsidR="00FC6F47">
        <w:rPr>
          <w:rFonts w:cstheme="minorHAnsi"/>
          <w:sz w:val="22"/>
          <w:szCs w:val="22"/>
        </w:rPr>
        <w:t xml:space="preserve"> proficiency rates</w:t>
      </w:r>
      <w:r w:rsidR="00B546FB">
        <w:rPr>
          <w:rFonts w:cstheme="minorHAnsi"/>
          <w:sz w:val="22"/>
          <w:szCs w:val="22"/>
        </w:rPr>
        <w:t xml:space="preserve"> for </w:t>
      </w:r>
      <w:r w:rsidR="007A774B">
        <w:rPr>
          <w:rFonts w:cstheme="minorHAnsi"/>
          <w:sz w:val="22"/>
          <w:szCs w:val="22"/>
        </w:rPr>
        <w:t>accountability</w:t>
      </w:r>
      <w:r w:rsidR="00B546FB">
        <w:rPr>
          <w:rFonts w:cstheme="minorHAnsi"/>
          <w:sz w:val="22"/>
          <w:szCs w:val="22"/>
        </w:rPr>
        <w:t xml:space="preserve"> in either the numerator or </w:t>
      </w:r>
      <w:r w:rsidR="00B546FB" w:rsidRPr="00FE36E7">
        <w:rPr>
          <w:rFonts w:cstheme="minorHAnsi"/>
          <w:sz w:val="22"/>
          <w:szCs w:val="22"/>
        </w:rPr>
        <w:t xml:space="preserve">denominator (this applies </w:t>
      </w:r>
      <w:r w:rsidR="002B4BB0" w:rsidRPr="00FE36E7">
        <w:rPr>
          <w:rFonts w:cstheme="minorHAnsi"/>
          <w:sz w:val="22"/>
          <w:szCs w:val="22"/>
        </w:rPr>
        <w:t>to</w:t>
      </w:r>
      <w:r w:rsidR="00B546FB" w:rsidRPr="00FE36E7">
        <w:rPr>
          <w:rFonts w:cstheme="minorHAnsi"/>
          <w:sz w:val="22"/>
          <w:szCs w:val="22"/>
        </w:rPr>
        <w:t xml:space="preserve"> ELA/L </w:t>
      </w:r>
      <w:r w:rsidR="00B40358" w:rsidRPr="00FE36E7">
        <w:rPr>
          <w:rFonts w:cstheme="minorHAnsi"/>
          <w:sz w:val="22"/>
          <w:szCs w:val="22"/>
        </w:rPr>
        <w:t xml:space="preserve">only </w:t>
      </w:r>
      <w:r w:rsidR="00B546FB" w:rsidRPr="00FE36E7">
        <w:rPr>
          <w:rFonts w:cstheme="minorHAnsi"/>
          <w:sz w:val="22"/>
          <w:szCs w:val="22"/>
        </w:rPr>
        <w:t>for English language learners</w:t>
      </w:r>
      <w:r w:rsidR="00B40358" w:rsidRPr="00A24CE5">
        <w:rPr>
          <w:rFonts w:cstheme="minorHAnsi"/>
          <w:sz w:val="22"/>
          <w:szCs w:val="22"/>
        </w:rPr>
        <w:t>).</w:t>
      </w:r>
      <w:r w:rsidR="00B546FB" w:rsidRPr="00A24CE5">
        <w:rPr>
          <w:rFonts w:cstheme="minorHAnsi"/>
          <w:sz w:val="22"/>
          <w:szCs w:val="22"/>
        </w:rPr>
        <w:t xml:space="preserve">   </w:t>
      </w:r>
      <w:r w:rsidR="00B546FB" w:rsidRPr="00A24CE5">
        <w:rPr>
          <w:sz w:val="22"/>
        </w:rPr>
        <w:t>The</w:t>
      </w:r>
      <w:r w:rsidR="00B546FB" w:rsidRPr="00FE36E7">
        <w:rPr>
          <w:sz w:val="22"/>
        </w:rPr>
        <w:t xml:space="preserve"> column entitled, ‘Time in School &lt; Yr Enrolled’ on the profile lists the number of students </w:t>
      </w:r>
      <w:r w:rsidRPr="00A24CE5">
        <w:rPr>
          <w:sz w:val="22"/>
        </w:rPr>
        <w:t xml:space="preserve">with partial attendance </w:t>
      </w:r>
      <w:r w:rsidRPr="000C0582">
        <w:rPr>
          <w:sz w:val="22"/>
        </w:rPr>
        <w:t>f</w:t>
      </w:r>
      <w:r w:rsidR="007A774B" w:rsidRPr="000C0582">
        <w:rPr>
          <w:sz w:val="22"/>
        </w:rPr>
        <w:t>or each school or district</w:t>
      </w:r>
      <w:r w:rsidR="00FC6F47" w:rsidRPr="000C0582">
        <w:rPr>
          <w:sz w:val="22"/>
        </w:rPr>
        <w:t xml:space="preserve"> </w:t>
      </w:r>
      <w:r w:rsidR="00A24CE5" w:rsidRPr="000C0582">
        <w:rPr>
          <w:sz w:val="22"/>
        </w:rPr>
        <w:t>because of</w:t>
      </w:r>
      <w:r w:rsidR="00FC6F47" w:rsidRPr="000C0582">
        <w:rPr>
          <w:sz w:val="22"/>
        </w:rPr>
        <w:t xml:space="preserve"> </w:t>
      </w:r>
      <w:r w:rsidR="00AD348E" w:rsidRPr="000C0582">
        <w:rPr>
          <w:sz w:val="22"/>
        </w:rPr>
        <w:t>not meeting the time in school criterion</w:t>
      </w:r>
      <w:r w:rsidR="00AD348E" w:rsidRPr="00985F5F">
        <w:rPr>
          <w:sz w:val="22"/>
        </w:rPr>
        <w:t xml:space="preserve">. </w:t>
      </w:r>
      <w:r w:rsidR="00B546FB" w:rsidRPr="00985F5F">
        <w:rPr>
          <w:sz w:val="22"/>
        </w:rPr>
        <w:t xml:space="preserve">  </w:t>
      </w:r>
    </w:p>
    <w:p w:rsidR="008A46D4" w:rsidRPr="000C0582" w:rsidRDefault="008A46D4" w:rsidP="00D25D08">
      <w:pPr>
        <w:pStyle w:val="ListParagraph"/>
        <w:ind w:left="0"/>
        <w:rPr>
          <w:b/>
          <w:sz w:val="22"/>
        </w:rPr>
      </w:pPr>
    </w:p>
    <w:p w:rsidR="008A46D4" w:rsidRPr="000C0582" w:rsidRDefault="008A46D4" w:rsidP="00D25D08">
      <w:pPr>
        <w:pStyle w:val="ListParagraph"/>
        <w:ind w:left="0"/>
        <w:rPr>
          <w:b/>
          <w:sz w:val="22"/>
        </w:rPr>
      </w:pPr>
      <w:r w:rsidRPr="00961B8E">
        <w:rPr>
          <w:rFonts w:cstheme="minorHAnsi"/>
          <w:b/>
          <w:sz w:val="22"/>
          <w:szCs w:val="22"/>
        </w:rPr>
        <w:t>Factoring in Participation Rate:</w:t>
      </w:r>
    </w:p>
    <w:p w:rsidR="00953E4B" w:rsidRPr="000C0582" w:rsidRDefault="008A46D4" w:rsidP="000C0582">
      <w:pPr>
        <w:pStyle w:val="ListParagraph"/>
        <w:ind w:left="0"/>
        <w:rPr>
          <w:sz w:val="22"/>
        </w:rPr>
      </w:pPr>
      <w:r w:rsidRPr="008A46D4">
        <w:rPr>
          <w:rFonts w:cstheme="minorHAnsi"/>
          <w:sz w:val="22"/>
          <w:szCs w:val="22"/>
        </w:rPr>
        <w:t xml:space="preserve">Under 1111(c)(4)(E) of </w:t>
      </w:r>
      <w:r w:rsidRPr="000C0582">
        <w:rPr>
          <w:sz w:val="22"/>
        </w:rPr>
        <w:t>ESSA</w:t>
      </w:r>
      <w:r w:rsidRPr="008A46D4">
        <w:rPr>
          <w:rFonts w:cstheme="minorHAnsi"/>
          <w:sz w:val="22"/>
          <w:szCs w:val="22"/>
        </w:rPr>
        <w:t>, all states are required annually to measure the achievement of at least 95</w:t>
      </w:r>
      <w:r w:rsidR="008233FA">
        <w:rPr>
          <w:rFonts w:cstheme="minorHAnsi"/>
          <w:sz w:val="22"/>
          <w:szCs w:val="22"/>
        </w:rPr>
        <w:t>%</w:t>
      </w:r>
      <w:r w:rsidRPr="008A46D4">
        <w:rPr>
          <w:rFonts w:cstheme="minorHAnsi"/>
          <w:sz w:val="22"/>
          <w:szCs w:val="22"/>
        </w:rPr>
        <w:t xml:space="preserve"> of all students in each student group. When measuring, calculating, and reporting proficiency rates, states are required to include either a denominator equal to 95</w:t>
      </w:r>
      <w:r w:rsidR="008233FA">
        <w:rPr>
          <w:rFonts w:cstheme="minorHAnsi"/>
          <w:sz w:val="22"/>
          <w:szCs w:val="22"/>
        </w:rPr>
        <w:t xml:space="preserve">% </w:t>
      </w:r>
      <w:r w:rsidRPr="008A46D4">
        <w:rPr>
          <w:rFonts w:cstheme="minorHAnsi"/>
          <w:sz w:val="22"/>
          <w:szCs w:val="22"/>
        </w:rPr>
        <w:t xml:space="preserve">of all students (and of each student subgroup as the case may be) or the number of students participating in the assessments.  </w:t>
      </w:r>
      <w:r w:rsidRPr="00961B8E">
        <w:rPr>
          <w:rFonts w:cstheme="minorHAnsi"/>
          <w:sz w:val="22"/>
          <w:szCs w:val="22"/>
        </w:rPr>
        <w:t>For schools that fail to achieve 95</w:t>
      </w:r>
      <w:r w:rsidR="008233FA">
        <w:rPr>
          <w:rFonts w:cstheme="minorHAnsi"/>
          <w:sz w:val="22"/>
          <w:szCs w:val="22"/>
        </w:rPr>
        <w:t xml:space="preserve">% </w:t>
      </w:r>
      <w:r w:rsidRPr="00961B8E">
        <w:rPr>
          <w:rFonts w:cstheme="minorHAnsi"/>
          <w:sz w:val="22"/>
          <w:szCs w:val="22"/>
        </w:rPr>
        <w:t xml:space="preserve">participation, </w:t>
      </w:r>
      <w:r w:rsidR="00953E4B" w:rsidRPr="00961B8E">
        <w:rPr>
          <w:rFonts w:cstheme="minorHAnsi"/>
          <w:sz w:val="22"/>
          <w:szCs w:val="22"/>
        </w:rPr>
        <w:t>t</w:t>
      </w:r>
      <w:r w:rsidR="00953E4B" w:rsidRPr="000C0582">
        <w:rPr>
          <w:sz w:val="22"/>
        </w:rPr>
        <w:t>he proficiency rate would be adjusted to account for 95% of students as required by 1111</w:t>
      </w:r>
      <w:r w:rsidR="00953E4B" w:rsidRPr="00961B8E">
        <w:rPr>
          <w:rFonts w:cstheme="minorHAnsi"/>
          <w:sz w:val="22"/>
          <w:szCs w:val="22"/>
        </w:rPr>
        <w:t xml:space="preserve">(c)(4)(E) of </w:t>
      </w:r>
      <w:r w:rsidR="00953E4B" w:rsidRPr="000C0582">
        <w:rPr>
          <w:sz w:val="22"/>
        </w:rPr>
        <w:t>ESSA.</w:t>
      </w:r>
    </w:p>
    <w:p w:rsidR="00D25D08" w:rsidRPr="002354D0" w:rsidRDefault="00D25D08" w:rsidP="00D25D08">
      <w:pPr>
        <w:pStyle w:val="ListParagraph"/>
        <w:ind w:left="0"/>
        <w:rPr>
          <w:rFonts w:cstheme="minorHAnsi"/>
          <w:sz w:val="22"/>
          <w:szCs w:val="22"/>
        </w:rPr>
      </w:pPr>
      <w:r w:rsidRPr="002354D0">
        <w:rPr>
          <w:rFonts w:cstheme="minorHAnsi"/>
          <w:sz w:val="22"/>
          <w:szCs w:val="22"/>
        </w:rPr>
        <w:t xml:space="preserve"> </w:t>
      </w:r>
    </w:p>
    <w:p w:rsidR="00D25D08" w:rsidRPr="004C1B6B" w:rsidRDefault="00D25D08" w:rsidP="00D25D08">
      <w:pPr>
        <w:spacing w:after="0" w:line="240" w:lineRule="auto"/>
        <w:contextualSpacing/>
        <w:rPr>
          <w:rFonts w:cstheme="minorHAnsi"/>
          <w:sz w:val="22"/>
          <w:szCs w:val="22"/>
        </w:rPr>
      </w:pPr>
      <w:r w:rsidRPr="004C1B6B">
        <w:rPr>
          <w:rFonts w:cstheme="minorHAnsi"/>
          <w:sz w:val="22"/>
          <w:szCs w:val="22"/>
        </w:rPr>
        <w:t xml:space="preserve">The methodology </w:t>
      </w:r>
      <w:r w:rsidR="008A46D4" w:rsidRPr="004C1B6B">
        <w:rPr>
          <w:rFonts w:cstheme="minorHAnsi"/>
          <w:sz w:val="22"/>
          <w:szCs w:val="22"/>
        </w:rPr>
        <w:t xml:space="preserve">NJDOE uses </w:t>
      </w:r>
      <w:r w:rsidRPr="004C1B6B">
        <w:rPr>
          <w:rFonts w:cstheme="minorHAnsi"/>
          <w:sz w:val="22"/>
          <w:szCs w:val="22"/>
        </w:rPr>
        <w:t>for calculating proficiency rates</w:t>
      </w:r>
      <w:r w:rsidR="002B4BB0" w:rsidRPr="004C1B6B">
        <w:rPr>
          <w:rFonts w:cstheme="minorHAnsi"/>
          <w:sz w:val="22"/>
          <w:szCs w:val="22"/>
        </w:rPr>
        <w:t xml:space="preserve"> for the academic achievement indicator</w:t>
      </w:r>
      <w:r w:rsidRPr="004C1B6B">
        <w:rPr>
          <w:rFonts w:cstheme="minorHAnsi"/>
          <w:sz w:val="22"/>
          <w:szCs w:val="22"/>
        </w:rPr>
        <w:t xml:space="preserve"> differs for schools and </w:t>
      </w:r>
      <w:r w:rsidR="008A3B27" w:rsidRPr="004C1B6B">
        <w:rPr>
          <w:rFonts w:cstheme="minorHAnsi"/>
          <w:sz w:val="22"/>
          <w:szCs w:val="22"/>
        </w:rPr>
        <w:t xml:space="preserve">student groups </w:t>
      </w:r>
      <w:r w:rsidRPr="004C1B6B">
        <w:rPr>
          <w:rFonts w:cstheme="minorHAnsi"/>
          <w:sz w:val="22"/>
          <w:szCs w:val="22"/>
        </w:rPr>
        <w:t>based on whether they met minimum participation requirements:</w:t>
      </w:r>
    </w:p>
    <w:p w:rsidR="007A2B22" w:rsidRPr="004C1B6B" w:rsidRDefault="007A2B22" w:rsidP="00D25D08">
      <w:pPr>
        <w:spacing w:after="0" w:line="240" w:lineRule="auto"/>
        <w:contextualSpacing/>
        <w:rPr>
          <w:rFonts w:cstheme="minorHAnsi"/>
          <w:sz w:val="22"/>
          <w:szCs w:val="22"/>
        </w:rPr>
      </w:pPr>
    </w:p>
    <w:p w:rsidR="00D25D08" w:rsidRPr="004C1B6B" w:rsidRDefault="00D25D08" w:rsidP="00D25D08">
      <w:pPr>
        <w:pStyle w:val="ListParagraph"/>
        <w:numPr>
          <w:ilvl w:val="0"/>
          <w:numId w:val="16"/>
        </w:numPr>
        <w:spacing w:before="0" w:after="0" w:line="240" w:lineRule="auto"/>
        <w:rPr>
          <w:rFonts w:cstheme="minorHAnsi"/>
          <w:sz w:val="22"/>
          <w:szCs w:val="22"/>
        </w:rPr>
      </w:pPr>
      <w:r w:rsidRPr="004C1B6B">
        <w:rPr>
          <w:rFonts w:cstheme="minorHAnsi"/>
          <w:sz w:val="22"/>
          <w:szCs w:val="22"/>
        </w:rPr>
        <w:t xml:space="preserve">If 95% or more of all students in a school or </w:t>
      </w:r>
      <w:r w:rsidR="008A3B27" w:rsidRPr="004C1B6B">
        <w:rPr>
          <w:rFonts w:cstheme="minorHAnsi"/>
          <w:sz w:val="22"/>
          <w:szCs w:val="22"/>
        </w:rPr>
        <w:t>student g</w:t>
      </w:r>
      <w:r w:rsidRPr="004C1B6B">
        <w:rPr>
          <w:rFonts w:cstheme="minorHAnsi"/>
          <w:sz w:val="22"/>
          <w:szCs w:val="22"/>
        </w:rPr>
        <w:t>roup (regardless of time in school status) received a valid score</w:t>
      </w:r>
      <w:r w:rsidR="002B4BB0" w:rsidRPr="004C1B6B">
        <w:rPr>
          <w:rFonts w:cstheme="minorHAnsi"/>
          <w:sz w:val="22"/>
          <w:szCs w:val="22"/>
        </w:rPr>
        <w:t xml:space="preserve"> on either the PARCC or DLM</w:t>
      </w:r>
      <w:r w:rsidRPr="004C1B6B">
        <w:rPr>
          <w:rFonts w:cstheme="minorHAnsi"/>
          <w:sz w:val="22"/>
          <w:szCs w:val="22"/>
        </w:rPr>
        <w:t>, proficiency is calculated by dividing the number of proficient scores of students meeting the time in school criterion by the number of valid scores of students meeting the time in school criterion</w:t>
      </w:r>
      <w:r w:rsidR="000A48C5" w:rsidRPr="004C1B6B">
        <w:rPr>
          <w:rFonts w:cstheme="minorHAnsi"/>
          <w:sz w:val="22"/>
          <w:szCs w:val="22"/>
        </w:rPr>
        <w:t xml:space="preserve"> (i.e., not exempt </w:t>
      </w:r>
      <w:r w:rsidR="00974087" w:rsidRPr="004C1B6B">
        <w:rPr>
          <w:rFonts w:cstheme="minorHAnsi"/>
          <w:sz w:val="22"/>
          <w:szCs w:val="22"/>
        </w:rPr>
        <w:t>for time in school less than a year)</w:t>
      </w:r>
      <w:r w:rsidRPr="004C1B6B">
        <w:rPr>
          <w:rFonts w:cstheme="minorHAnsi"/>
          <w:sz w:val="22"/>
          <w:szCs w:val="22"/>
        </w:rPr>
        <w:t>. (See Example 1)</w:t>
      </w:r>
    </w:p>
    <w:p w:rsidR="007A2B22" w:rsidRPr="004C1B6B" w:rsidRDefault="007A2B22" w:rsidP="002354D0">
      <w:pPr>
        <w:spacing w:before="0" w:after="0" w:line="240" w:lineRule="auto"/>
        <w:ind w:left="360"/>
        <w:rPr>
          <w:rFonts w:cstheme="minorHAnsi"/>
          <w:sz w:val="22"/>
          <w:szCs w:val="22"/>
        </w:rPr>
      </w:pPr>
    </w:p>
    <w:p w:rsidR="00D25D08" w:rsidRPr="004C1B6B" w:rsidRDefault="00D25D08" w:rsidP="00D25D08">
      <w:pPr>
        <w:pStyle w:val="ListParagraph"/>
        <w:numPr>
          <w:ilvl w:val="0"/>
          <w:numId w:val="16"/>
        </w:numPr>
        <w:spacing w:before="0" w:after="0" w:line="240" w:lineRule="auto"/>
        <w:rPr>
          <w:rFonts w:cstheme="minorHAnsi"/>
          <w:sz w:val="22"/>
          <w:szCs w:val="22"/>
        </w:rPr>
      </w:pPr>
      <w:r w:rsidRPr="004C1B6B">
        <w:rPr>
          <w:rFonts w:cstheme="minorHAnsi"/>
          <w:sz w:val="22"/>
          <w:szCs w:val="22"/>
        </w:rPr>
        <w:t xml:space="preserve">If less than 95% of all students in a school or </w:t>
      </w:r>
      <w:r w:rsidR="008A3B27" w:rsidRPr="004C1B6B">
        <w:rPr>
          <w:rFonts w:cstheme="minorHAnsi"/>
          <w:sz w:val="22"/>
          <w:szCs w:val="22"/>
        </w:rPr>
        <w:t xml:space="preserve">student </w:t>
      </w:r>
      <w:r w:rsidRPr="004C1B6B">
        <w:rPr>
          <w:rFonts w:cstheme="minorHAnsi"/>
          <w:sz w:val="22"/>
          <w:szCs w:val="22"/>
        </w:rPr>
        <w:t xml:space="preserve">group </w:t>
      </w:r>
      <w:r w:rsidR="007A774B" w:rsidRPr="004C1B6B">
        <w:rPr>
          <w:rFonts w:cstheme="minorHAnsi"/>
          <w:sz w:val="22"/>
          <w:szCs w:val="22"/>
        </w:rPr>
        <w:t xml:space="preserve">(regardless of time in school status) </w:t>
      </w:r>
      <w:r w:rsidRPr="004C1B6B">
        <w:rPr>
          <w:rFonts w:cstheme="minorHAnsi"/>
          <w:sz w:val="22"/>
          <w:szCs w:val="22"/>
        </w:rPr>
        <w:t xml:space="preserve">received valid scores (i.e. participation rate was below 95%), participation rates are calculated based on students meeting the time in school criterion.  </w:t>
      </w:r>
    </w:p>
    <w:p w:rsidR="00D25D08" w:rsidRPr="004C1B6B" w:rsidRDefault="00D25D08" w:rsidP="00D25D08">
      <w:pPr>
        <w:pStyle w:val="ListParagraph"/>
        <w:numPr>
          <w:ilvl w:val="1"/>
          <w:numId w:val="16"/>
        </w:numPr>
        <w:spacing w:before="0" w:after="0" w:line="240" w:lineRule="auto"/>
        <w:rPr>
          <w:rFonts w:cstheme="minorHAnsi"/>
          <w:sz w:val="22"/>
          <w:szCs w:val="22"/>
        </w:rPr>
      </w:pPr>
      <w:r w:rsidRPr="004C1B6B">
        <w:rPr>
          <w:rFonts w:cstheme="minorHAnsi"/>
          <w:sz w:val="22"/>
          <w:szCs w:val="22"/>
        </w:rPr>
        <w:t>If 95% or more of students meeting the time in school criterion in a district or s</w:t>
      </w:r>
      <w:r w:rsidR="008A3B27" w:rsidRPr="004C1B6B">
        <w:rPr>
          <w:rFonts w:cstheme="minorHAnsi"/>
          <w:sz w:val="22"/>
          <w:szCs w:val="22"/>
        </w:rPr>
        <w:t xml:space="preserve">tudent </w:t>
      </w:r>
      <w:r w:rsidRPr="004C1B6B">
        <w:rPr>
          <w:rFonts w:cstheme="minorHAnsi"/>
          <w:sz w:val="22"/>
          <w:szCs w:val="22"/>
        </w:rPr>
        <w:t>group received a valid score, proficiency is calculated by dividing the number of proficient scores of students meeting the time in school criterion by the number of valid scores of students meeting the time in school criterion. (</w:t>
      </w:r>
      <w:r w:rsidR="00E64A47">
        <w:rPr>
          <w:rFonts w:cstheme="minorHAnsi"/>
          <w:sz w:val="22"/>
          <w:szCs w:val="22"/>
        </w:rPr>
        <w:t xml:space="preserve">See </w:t>
      </w:r>
      <w:r w:rsidRPr="004C1B6B">
        <w:rPr>
          <w:rFonts w:cstheme="minorHAnsi"/>
          <w:sz w:val="22"/>
          <w:szCs w:val="22"/>
        </w:rPr>
        <w:t>Example 2)</w:t>
      </w:r>
    </w:p>
    <w:p w:rsidR="007A2B22" w:rsidRPr="004C1B6B" w:rsidRDefault="007A2B22" w:rsidP="002354D0">
      <w:pPr>
        <w:spacing w:before="0" w:after="0" w:line="240" w:lineRule="auto"/>
        <w:ind w:left="1080"/>
        <w:rPr>
          <w:rFonts w:cstheme="minorHAnsi"/>
          <w:sz w:val="22"/>
          <w:szCs w:val="22"/>
        </w:rPr>
      </w:pPr>
    </w:p>
    <w:p w:rsidR="00D25D08" w:rsidRPr="004C1B6B" w:rsidRDefault="00D25D08" w:rsidP="00D25D08">
      <w:pPr>
        <w:pStyle w:val="ListParagraph"/>
        <w:numPr>
          <w:ilvl w:val="1"/>
          <w:numId w:val="16"/>
        </w:numPr>
        <w:spacing w:before="0" w:after="0" w:line="240" w:lineRule="auto"/>
        <w:rPr>
          <w:rFonts w:cstheme="minorHAnsi"/>
          <w:sz w:val="22"/>
          <w:szCs w:val="22"/>
        </w:rPr>
      </w:pPr>
      <w:r w:rsidRPr="004C1B6B">
        <w:rPr>
          <w:rFonts w:cstheme="minorHAnsi"/>
          <w:sz w:val="22"/>
          <w:szCs w:val="22"/>
        </w:rPr>
        <w:t xml:space="preserve">If less than 95% of time-in-school eligible students in a </w:t>
      </w:r>
      <w:r w:rsidR="00B30864">
        <w:rPr>
          <w:rFonts w:cstheme="minorHAnsi"/>
          <w:sz w:val="22"/>
          <w:szCs w:val="22"/>
        </w:rPr>
        <w:t>d</w:t>
      </w:r>
      <w:r w:rsidRPr="004C1B6B">
        <w:rPr>
          <w:rFonts w:cstheme="minorHAnsi"/>
          <w:sz w:val="22"/>
          <w:szCs w:val="22"/>
        </w:rPr>
        <w:t xml:space="preserve">istrict or </w:t>
      </w:r>
      <w:r w:rsidR="008A3B27" w:rsidRPr="004C1B6B">
        <w:rPr>
          <w:rFonts w:cstheme="minorHAnsi"/>
          <w:sz w:val="22"/>
          <w:szCs w:val="22"/>
        </w:rPr>
        <w:t>student g</w:t>
      </w:r>
      <w:r w:rsidRPr="004C1B6B">
        <w:rPr>
          <w:rFonts w:cstheme="minorHAnsi"/>
          <w:sz w:val="22"/>
          <w:szCs w:val="22"/>
        </w:rPr>
        <w:t>roup received a valid score, proficiency is calculated by dividing the number of proficient scores of students meeting the time in school criterion by 95% of the number of students meeting the time in school criterion enrolled in the district. (See Example 3)</w:t>
      </w:r>
    </w:p>
    <w:p w:rsidR="00DD0DEA" w:rsidRPr="002354D0" w:rsidRDefault="00DD0DEA" w:rsidP="00D25D08">
      <w:pPr>
        <w:spacing w:after="0" w:line="240" w:lineRule="auto"/>
        <w:contextualSpacing/>
        <w:rPr>
          <w:rFonts w:cstheme="minorHAnsi"/>
          <w:sz w:val="22"/>
          <w:szCs w:val="22"/>
        </w:rPr>
      </w:pPr>
      <w:r w:rsidRPr="002354D0">
        <w:rPr>
          <w:rFonts w:cstheme="minorHAnsi"/>
          <w:b/>
          <w:sz w:val="22"/>
          <w:szCs w:val="22"/>
        </w:rPr>
        <w:t>Examples</w:t>
      </w:r>
      <w:r w:rsidR="00D25D08" w:rsidRPr="002354D0">
        <w:rPr>
          <w:rFonts w:cstheme="minorHAnsi"/>
          <w:sz w:val="22"/>
          <w:szCs w:val="22"/>
        </w:rPr>
        <w:t xml:space="preserve">  </w:t>
      </w:r>
    </w:p>
    <w:p w:rsidR="00D25D08" w:rsidRPr="002354D0" w:rsidRDefault="00D25D08" w:rsidP="00D25D08">
      <w:pPr>
        <w:spacing w:after="0" w:line="240" w:lineRule="auto"/>
        <w:contextualSpacing/>
        <w:rPr>
          <w:rFonts w:cstheme="minorHAnsi"/>
          <w:sz w:val="22"/>
          <w:szCs w:val="22"/>
        </w:rPr>
      </w:pPr>
      <w:r w:rsidRPr="002354D0">
        <w:rPr>
          <w:rFonts w:cstheme="minorHAnsi"/>
          <w:sz w:val="22"/>
          <w:szCs w:val="22"/>
        </w:rPr>
        <w:t xml:space="preserve">The following examples reflect school-level scenarios.  The same rules apply for district-level calculations and for each </w:t>
      </w:r>
      <w:r w:rsidR="008A3B27">
        <w:rPr>
          <w:rFonts w:cstheme="minorHAnsi"/>
          <w:sz w:val="22"/>
          <w:szCs w:val="22"/>
        </w:rPr>
        <w:t>student group’s</w:t>
      </w:r>
      <w:r w:rsidR="008A3B27" w:rsidRPr="002354D0">
        <w:rPr>
          <w:rFonts w:cstheme="minorHAnsi"/>
          <w:sz w:val="22"/>
          <w:szCs w:val="22"/>
        </w:rPr>
        <w:t xml:space="preserve"> </w:t>
      </w:r>
      <w:r w:rsidRPr="002354D0">
        <w:rPr>
          <w:rFonts w:cstheme="minorHAnsi"/>
          <w:sz w:val="22"/>
          <w:szCs w:val="22"/>
        </w:rPr>
        <w:t xml:space="preserve">proficiency calculation.  Thus, a school may meet the participation requirement for all students and not require an adjustment to the denominator, while some </w:t>
      </w:r>
      <w:r w:rsidR="008A3B27">
        <w:rPr>
          <w:rFonts w:cstheme="minorHAnsi"/>
          <w:sz w:val="22"/>
          <w:szCs w:val="22"/>
        </w:rPr>
        <w:t>student groups</w:t>
      </w:r>
      <w:r w:rsidR="008A3B27" w:rsidRPr="002354D0">
        <w:rPr>
          <w:rFonts w:cstheme="minorHAnsi"/>
          <w:sz w:val="22"/>
          <w:szCs w:val="22"/>
        </w:rPr>
        <w:t xml:space="preserve"> </w:t>
      </w:r>
      <w:r w:rsidRPr="002354D0">
        <w:rPr>
          <w:rFonts w:cstheme="minorHAnsi"/>
          <w:sz w:val="22"/>
          <w:szCs w:val="22"/>
        </w:rPr>
        <w:t>within the school may not meet the participation requirement and will require an adjustment to the denominator</w:t>
      </w:r>
      <w:r w:rsidR="00E64A47">
        <w:rPr>
          <w:rFonts w:cstheme="minorHAnsi"/>
          <w:sz w:val="22"/>
          <w:szCs w:val="22"/>
        </w:rPr>
        <w:t xml:space="preserve">. </w:t>
      </w:r>
      <w:r w:rsidRPr="002354D0">
        <w:rPr>
          <w:rFonts w:cstheme="minorHAnsi"/>
          <w:sz w:val="22"/>
          <w:szCs w:val="22"/>
        </w:rPr>
        <w:t xml:space="preserve">Similarly, a school or </w:t>
      </w:r>
      <w:r w:rsidR="008A3B27">
        <w:rPr>
          <w:rFonts w:cstheme="minorHAnsi"/>
          <w:sz w:val="22"/>
          <w:szCs w:val="22"/>
        </w:rPr>
        <w:t>student group</w:t>
      </w:r>
      <w:r w:rsidR="008A3B27" w:rsidRPr="002354D0">
        <w:rPr>
          <w:rFonts w:cstheme="minorHAnsi"/>
          <w:sz w:val="22"/>
          <w:szCs w:val="22"/>
        </w:rPr>
        <w:t xml:space="preserve"> </w:t>
      </w:r>
      <w:r w:rsidRPr="002354D0">
        <w:rPr>
          <w:rFonts w:cstheme="minorHAnsi"/>
          <w:sz w:val="22"/>
          <w:szCs w:val="22"/>
        </w:rPr>
        <w:t>may meet the participation requirement for assessments in one content area and not the other.</w:t>
      </w:r>
    </w:p>
    <w:p w:rsidR="00D25D08" w:rsidRPr="002354D0" w:rsidRDefault="00D25D08" w:rsidP="00D25D08">
      <w:pPr>
        <w:spacing w:after="0" w:line="240" w:lineRule="auto"/>
        <w:contextualSpacing/>
        <w:rPr>
          <w:rFonts w:cstheme="minorHAnsi"/>
          <w:b/>
          <w:sz w:val="22"/>
          <w:szCs w:val="22"/>
        </w:rPr>
      </w:pPr>
    </w:p>
    <w:p w:rsidR="00D25D08" w:rsidRPr="002354D0" w:rsidRDefault="00D25D08" w:rsidP="00D25D08">
      <w:pPr>
        <w:spacing w:after="0" w:line="240" w:lineRule="auto"/>
        <w:contextualSpacing/>
        <w:rPr>
          <w:rFonts w:cstheme="minorHAnsi"/>
          <w:sz w:val="22"/>
          <w:szCs w:val="22"/>
        </w:rPr>
      </w:pPr>
      <w:r w:rsidRPr="002354D0">
        <w:rPr>
          <w:rFonts w:cstheme="minorHAnsi"/>
          <w:b/>
          <w:sz w:val="22"/>
          <w:szCs w:val="22"/>
        </w:rPr>
        <w:t>Example 1:</w:t>
      </w:r>
      <w:r w:rsidRPr="002354D0">
        <w:rPr>
          <w:rFonts w:cstheme="minorHAnsi"/>
          <w:sz w:val="22"/>
          <w:szCs w:val="22"/>
        </w:rPr>
        <w:t>  School A has 1,000 students registered to take statewide assessments, all of whom meet the time-in-school criterion.  School A has valid scores for 960 students and 700 are proficient.  The School’s participation rate is 96%</w:t>
      </w:r>
      <w:r w:rsidR="008A46D4">
        <w:rPr>
          <w:rFonts w:cstheme="minorHAnsi"/>
          <w:sz w:val="22"/>
          <w:szCs w:val="22"/>
        </w:rPr>
        <w:t xml:space="preserve"> (960/1000)</w:t>
      </w:r>
      <w:r w:rsidRPr="002354D0">
        <w:rPr>
          <w:rFonts w:cstheme="minorHAnsi"/>
          <w:sz w:val="22"/>
          <w:szCs w:val="22"/>
        </w:rPr>
        <w:t xml:space="preserve">.  </w:t>
      </w:r>
    </w:p>
    <w:p w:rsidR="008A46D4" w:rsidRDefault="008A46D4" w:rsidP="00D25D08">
      <w:pPr>
        <w:spacing w:after="0" w:line="240" w:lineRule="auto"/>
        <w:contextualSpacing/>
        <w:rPr>
          <w:rFonts w:cstheme="minorHAnsi"/>
          <w:sz w:val="22"/>
          <w:szCs w:val="22"/>
        </w:rPr>
      </w:pPr>
    </w:p>
    <w:p w:rsidR="006A2ADA" w:rsidRDefault="00D25D08" w:rsidP="00D25D08">
      <w:pPr>
        <w:spacing w:after="0" w:line="240" w:lineRule="auto"/>
        <w:contextualSpacing/>
        <w:rPr>
          <w:rFonts w:cstheme="minorHAnsi"/>
          <w:sz w:val="22"/>
          <w:szCs w:val="22"/>
        </w:rPr>
      </w:pPr>
      <w:r w:rsidRPr="002354D0">
        <w:rPr>
          <w:rFonts w:cstheme="minorHAnsi"/>
          <w:sz w:val="22"/>
          <w:szCs w:val="22"/>
        </w:rPr>
        <w:t xml:space="preserve">Since </w:t>
      </w:r>
      <w:r w:rsidR="008A46D4">
        <w:rPr>
          <w:rFonts w:cstheme="minorHAnsi"/>
          <w:sz w:val="22"/>
          <w:szCs w:val="22"/>
        </w:rPr>
        <w:t>the school’s participation rate</w:t>
      </w:r>
      <w:r w:rsidR="008A46D4" w:rsidRPr="002354D0">
        <w:rPr>
          <w:rFonts w:cstheme="minorHAnsi"/>
          <w:sz w:val="22"/>
          <w:szCs w:val="22"/>
        </w:rPr>
        <w:t xml:space="preserve"> </w:t>
      </w:r>
      <w:r w:rsidRPr="002354D0">
        <w:rPr>
          <w:rFonts w:cstheme="minorHAnsi"/>
          <w:sz w:val="22"/>
          <w:szCs w:val="22"/>
        </w:rPr>
        <w:t>is above 95%, their proficiency rate is calculated by dividing the number of proficient students by the number of test-takers</w:t>
      </w:r>
      <w:r w:rsidR="006A2ADA">
        <w:rPr>
          <w:rFonts w:cstheme="minorHAnsi"/>
          <w:sz w:val="22"/>
          <w:szCs w:val="22"/>
        </w:rPr>
        <w:t xml:space="preserve">. </w:t>
      </w:r>
    </w:p>
    <w:p w:rsidR="006A2ADA" w:rsidRDefault="006A2ADA" w:rsidP="00D25D08">
      <w:pPr>
        <w:spacing w:after="0" w:line="240" w:lineRule="auto"/>
        <w:contextualSpacing/>
        <w:rPr>
          <w:rFonts w:cstheme="minorHAnsi"/>
          <w:sz w:val="22"/>
          <w:szCs w:val="22"/>
        </w:rPr>
      </w:pPr>
    </w:p>
    <w:p w:rsidR="006A2ADA" w:rsidRDefault="006A2ADA" w:rsidP="002354D0">
      <w:pPr>
        <w:spacing w:after="0" w:line="240" w:lineRule="auto"/>
        <w:ind w:left="720"/>
        <w:contextualSpacing/>
        <w:rPr>
          <w:rFonts w:cstheme="minorHAnsi"/>
          <w:sz w:val="22"/>
          <w:szCs w:val="22"/>
        </w:rPr>
      </w:pPr>
      <w:r>
        <w:rPr>
          <w:rFonts w:cstheme="minorHAnsi"/>
          <w:sz w:val="22"/>
          <w:szCs w:val="22"/>
        </w:rPr>
        <w:t>School A’s Denominator: 960</w:t>
      </w:r>
    </w:p>
    <w:p w:rsidR="00D25D08" w:rsidRPr="002354D0" w:rsidRDefault="006A2ADA" w:rsidP="002354D0">
      <w:pPr>
        <w:spacing w:after="0" w:line="240" w:lineRule="auto"/>
        <w:ind w:left="720"/>
        <w:contextualSpacing/>
        <w:rPr>
          <w:rFonts w:cstheme="minorHAnsi"/>
          <w:sz w:val="22"/>
          <w:szCs w:val="22"/>
        </w:rPr>
      </w:pPr>
      <w:r>
        <w:rPr>
          <w:rFonts w:cstheme="minorHAnsi"/>
          <w:sz w:val="22"/>
          <w:szCs w:val="22"/>
        </w:rPr>
        <w:t xml:space="preserve">School A’s Proficiency Rate: </w:t>
      </w:r>
      <w:r w:rsidR="00D25D08" w:rsidRPr="002354D0">
        <w:rPr>
          <w:rFonts w:cstheme="minorHAnsi"/>
          <w:sz w:val="22"/>
          <w:szCs w:val="22"/>
        </w:rPr>
        <w:t>700 / 960 = 72</w:t>
      </w:r>
      <w:r>
        <w:rPr>
          <w:rFonts w:cstheme="minorHAnsi"/>
          <w:sz w:val="22"/>
          <w:szCs w:val="22"/>
        </w:rPr>
        <w:t>.</w:t>
      </w:r>
      <w:r w:rsidR="00D25D08" w:rsidRPr="002354D0">
        <w:rPr>
          <w:rFonts w:cstheme="minorHAnsi"/>
          <w:sz w:val="22"/>
          <w:szCs w:val="22"/>
        </w:rPr>
        <w:t>9</w:t>
      </w:r>
      <w:r>
        <w:rPr>
          <w:rFonts w:cstheme="minorHAnsi"/>
          <w:sz w:val="22"/>
          <w:szCs w:val="22"/>
        </w:rPr>
        <w:t xml:space="preserve">% </w:t>
      </w:r>
    </w:p>
    <w:p w:rsidR="00D25D08" w:rsidRPr="002354D0" w:rsidRDefault="00D25D08" w:rsidP="00D25D08">
      <w:pPr>
        <w:spacing w:line="252" w:lineRule="auto"/>
        <w:contextualSpacing/>
        <w:rPr>
          <w:rFonts w:cstheme="minorHAnsi"/>
          <w:sz w:val="22"/>
          <w:szCs w:val="22"/>
          <w:highlight w:val="yellow"/>
        </w:rPr>
      </w:pPr>
    </w:p>
    <w:p w:rsidR="00D25D08" w:rsidRDefault="00D25D08" w:rsidP="00D25D08">
      <w:pPr>
        <w:spacing w:line="252" w:lineRule="auto"/>
        <w:contextualSpacing/>
        <w:rPr>
          <w:rFonts w:cstheme="minorHAnsi"/>
          <w:sz w:val="22"/>
          <w:szCs w:val="22"/>
        </w:rPr>
      </w:pPr>
      <w:r w:rsidRPr="002354D0">
        <w:rPr>
          <w:rFonts w:cstheme="minorHAnsi"/>
          <w:b/>
          <w:sz w:val="22"/>
          <w:szCs w:val="22"/>
        </w:rPr>
        <w:t>Example 2</w:t>
      </w:r>
      <w:r w:rsidRPr="002354D0">
        <w:rPr>
          <w:rFonts w:cstheme="minorHAnsi"/>
          <w:sz w:val="22"/>
          <w:szCs w:val="22"/>
        </w:rPr>
        <w:t xml:space="preserve">: School B has 1,000 students registered to take statewide assessments, all of whom meet the time-in-school criterion.  School B has valid scores for 800 students and 600 are proficient.  The </w:t>
      </w:r>
      <w:r w:rsidR="00E64A47" w:rsidRPr="002354D0">
        <w:rPr>
          <w:rFonts w:cstheme="minorHAnsi"/>
          <w:sz w:val="22"/>
          <w:szCs w:val="22"/>
        </w:rPr>
        <w:t>School’s</w:t>
      </w:r>
      <w:r w:rsidR="00E64A47">
        <w:rPr>
          <w:rFonts w:cstheme="minorHAnsi"/>
          <w:sz w:val="22"/>
          <w:szCs w:val="22"/>
        </w:rPr>
        <w:t xml:space="preserve"> </w:t>
      </w:r>
      <w:r w:rsidR="00E64A47" w:rsidRPr="002354D0">
        <w:rPr>
          <w:rFonts w:cstheme="minorHAnsi"/>
          <w:sz w:val="22"/>
          <w:szCs w:val="22"/>
        </w:rPr>
        <w:t>participation</w:t>
      </w:r>
      <w:r w:rsidRPr="002354D0">
        <w:rPr>
          <w:rFonts w:cstheme="minorHAnsi"/>
          <w:sz w:val="22"/>
          <w:szCs w:val="22"/>
        </w:rPr>
        <w:t xml:space="preserve"> rate is 80%</w:t>
      </w:r>
      <w:r w:rsidR="008A46D4">
        <w:rPr>
          <w:rFonts w:cstheme="minorHAnsi"/>
          <w:sz w:val="22"/>
          <w:szCs w:val="22"/>
        </w:rPr>
        <w:t xml:space="preserve"> (800/1000)</w:t>
      </w:r>
      <w:r w:rsidRPr="002354D0">
        <w:rPr>
          <w:rFonts w:cstheme="minorHAnsi"/>
          <w:sz w:val="22"/>
          <w:szCs w:val="22"/>
        </w:rPr>
        <w:t xml:space="preserve">.  </w:t>
      </w:r>
    </w:p>
    <w:p w:rsidR="00E64A47" w:rsidRPr="002354D0" w:rsidRDefault="00E64A47" w:rsidP="00D25D08">
      <w:pPr>
        <w:spacing w:line="252" w:lineRule="auto"/>
        <w:contextualSpacing/>
        <w:rPr>
          <w:rFonts w:cstheme="minorHAnsi"/>
          <w:sz w:val="22"/>
          <w:szCs w:val="22"/>
        </w:rPr>
      </w:pPr>
    </w:p>
    <w:p w:rsidR="006A2ADA" w:rsidRDefault="00D25D08" w:rsidP="00D25D08">
      <w:pPr>
        <w:spacing w:line="252" w:lineRule="auto"/>
        <w:contextualSpacing/>
        <w:rPr>
          <w:rFonts w:cstheme="minorHAnsi"/>
          <w:sz w:val="22"/>
          <w:szCs w:val="22"/>
        </w:rPr>
      </w:pPr>
      <w:r w:rsidRPr="002354D0">
        <w:rPr>
          <w:rFonts w:cstheme="minorHAnsi"/>
          <w:sz w:val="22"/>
          <w:szCs w:val="22"/>
        </w:rPr>
        <w:t xml:space="preserve">Since </w:t>
      </w:r>
      <w:r w:rsidR="008A46D4">
        <w:rPr>
          <w:rFonts w:cstheme="minorHAnsi"/>
          <w:sz w:val="22"/>
          <w:szCs w:val="22"/>
        </w:rPr>
        <w:t>the school’s participation rate</w:t>
      </w:r>
      <w:r w:rsidR="008A46D4" w:rsidRPr="002354D0">
        <w:rPr>
          <w:rFonts w:cstheme="minorHAnsi"/>
          <w:sz w:val="22"/>
          <w:szCs w:val="22"/>
        </w:rPr>
        <w:t xml:space="preserve"> </w:t>
      </w:r>
      <w:r w:rsidRPr="002354D0">
        <w:rPr>
          <w:rFonts w:cstheme="minorHAnsi"/>
          <w:sz w:val="22"/>
          <w:szCs w:val="22"/>
        </w:rPr>
        <w:t>is below 95%, their proficiency rate is calculated by dividing the number of proficient students by the number of registered test-takers multiplied by 95%</w:t>
      </w:r>
      <w:r w:rsidR="006A2ADA">
        <w:rPr>
          <w:rFonts w:cstheme="minorHAnsi"/>
          <w:sz w:val="22"/>
          <w:szCs w:val="22"/>
        </w:rPr>
        <w:t xml:space="preserve">. </w:t>
      </w:r>
    </w:p>
    <w:p w:rsidR="006A2ADA" w:rsidRDefault="006A2ADA" w:rsidP="00D25D08">
      <w:pPr>
        <w:spacing w:line="252" w:lineRule="auto"/>
        <w:contextualSpacing/>
        <w:rPr>
          <w:rFonts w:cstheme="minorHAnsi"/>
          <w:sz w:val="22"/>
          <w:szCs w:val="22"/>
        </w:rPr>
      </w:pPr>
    </w:p>
    <w:p w:rsidR="006A2ADA" w:rsidRDefault="006A2ADA" w:rsidP="002354D0">
      <w:pPr>
        <w:spacing w:line="252" w:lineRule="auto"/>
        <w:ind w:left="720"/>
        <w:contextualSpacing/>
        <w:rPr>
          <w:rFonts w:cstheme="minorHAnsi"/>
          <w:sz w:val="22"/>
          <w:szCs w:val="22"/>
        </w:rPr>
      </w:pPr>
      <w:r>
        <w:rPr>
          <w:rFonts w:cstheme="minorHAnsi"/>
          <w:sz w:val="22"/>
          <w:szCs w:val="22"/>
        </w:rPr>
        <w:t>School B’s Denominator: 95% x 1000 = 950</w:t>
      </w:r>
    </w:p>
    <w:p w:rsidR="006A2ADA" w:rsidRDefault="006A2ADA" w:rsidP="002354D0">
      <w:pPr>
        <w:spacing w:line="252" w:lineRule="auto"/>
        <w:ind w:left="720"/>
        <w:contextualSpacing/>
        <w:rPr>
          <w:rFonts w:cstheme="minorHAnsi"/>
          <w:sz w:val="22"/>
          <w:szCs w:val="22"/>
        </w:rPr>
      </w:pPr>
      <w:r>
        <w:rPr>
          <w:rFonts w:cstheme="minorHAnsi"/>
          <w:sz w:val="22"/>
          <w:szCs w:val="22"/>
        </w:rPr>
        <w:t>School B’s proficiency rate: 600/950</w:t>
      </w:r>
      <w:r w:rsidR="00D25D08" w:rsidRPr="002354D0">
        <w:rPr>
          <w:rFonts w:cstheme="minorHAnsi"/>
          <w:sz w:val="22"/>
          <w:szCs w:val="22"/>
        </w:rPr>
        <w:t xml:space="preserve"> =</w:t>
      </w:r>
      <w:r w:rsidR="00E64A47">
        <w:rPr>
          <w:rFonts w:cstheme="minorHAnsi"/>
          <w:sz w:val="22"/>
          <w:szCs w:val="22"/>
        </w:rPr>
        <w:t xml:space="preserve"> </w:t>
      </w:r>
      <w:r>
        <w:rPr>
          <w:rFonts w:cstheme="minorHAnsi"/>
          <w:sz w:val="22"/>
          <w:szCs w:val="22"/>
        </w:rPr>
        <w:t>63.2%</w:t>
      </w:r>
    </w:p>
    <w:p w:rsidR="00D25D08" w:rsidRPr="002354D0" w:rsidRDefault="00D25D08" w:rsidP="00D25D08">
      <w:pPr>
        <w:spacing w:after="0" w:line="240" w:lineRule="auto"/>
        <w:rPr>
          <w:rFonts w:cstheme="minorHAnsi"/>
          <w:sz w:val="22"/>
          <w:szCs w:val="22"/>
        </w:rPr>
      </w:pPr>
    </w:p>
    <w:p w:rsidR="00DD0DEA" w:rsidRPr="002354D0" w:rsidRDefault="00D25D08" w:rsidP="00D25D08">
      <w:pPr>
        <w:spacing w:line="252" w:lineRule="auto"/>
        <w:contextualSpacing/>
        <w:rPr>
          <w:rFonts w:cstheme="minorHAnsi"/>
          <w:sz w:val="22"/>
          <w:szCs w:val="22"/>
        </w:rPr>
      </w:pPr>
      <w:r w:rsidRPr="002354D0">
        <w:rPr>
          <w:rFonts w:cstheme="minorHAnsi"/>
          <w:b/>
          <w:sz w:val="22"/>
          <w:szCs w:val="22"/>
        </w:rPr>
        <w:t>Example 3</w:t>
      </w:r>
      <w:r w:rsidRPr="002354D0">
        <w:rPr>
          <w:rFonts w:cstheme="minorHAnsi"/>
          <w:sz w:val="22"/>
          <w:szCs w:val="22"/>
        </w:rPr>
        <w:t xml:space="preserve">: School C has 1,000 students registered to take statewide assessments.  School C has valid scores for 800 students and 600 are proficient.  The School’s participation rate is 80%.  However, School C experienced high mobility this year and many students do not meet the time-in-school criterion for inclusion in the proficiency rate calculation. Thus, participation must be recalculated based on students who meet the time-in-school criterion </w:t>
      </w:r>
      <w:r w:rsidR="00754372" w:rsidRPr="007A2B22">
        <w:rPr>
          <w:rFonts w:cstheme="minorHAnsi"/>
          <w:sz w:val="22"/>
          <w:szCs w:val="22"/>
        </w:rPr>
        <w:t>to</w:t>
      </w:r>
      <w:r w:rsidRPr="002354D0">
        <w:rPr>
          <w:rFonts w:cstheme="minorHAnsi"/>
          <w:sz w:val="22"/>
          <w:szCs w:val="22"/>
        </w:rPr>
        <w:t xml:space="preserve"> de</w:t>
      </w:r>
      <w:r w:rsidR="00DD0DEA" w:rsidRPr="002354D0">
        <w:rPr>
          <w:rFonts w:cstheme="minorHAnsi"/>
          <w:sz w:val="22"/>
          <w:szCs w:val="22"/>
        </w:rPr>
        <w:t>termine their proficiency rate.</w:t>
      </w:r>
    </w:p>
    <w:p w:rsidR="00DD0DEA" w:rsidRPr="002354D0" w:rsidRDefault="00DD0DEA" w:rsidP="00D25D08">
      <w:pPr>
        <w:spacing w:line="252" w:lineRule="auto"/>
        <w:contextualSpacing/>
        <w:rPr>
          <w:rFonts w:cstheme="minorHAnsi"/>
          <w:sz w:val="22"/>
          <w:szCs w:val="22"/>
        </w:rPr>
      </w:pPr>
    </w:p>
    <w:p w:rsidR="00D25D08" w:rsidRPr="002354D0" w:rsidRDefault="00D25D08" w:rsidP="00D25D08">
      <w:pPr>
        <w:spacing w:line="252" w:lineRule="auto"/>
        <w:contextualSpacing/>
        <w:rPr>
          <w:rFonts w:cstheme="minorHAnsi"/>
          <w:sz w:val="22"/>
          <w:szCs w:val="22"/>
        </w:rPr>
      </w:pPr>
      <w:r w:rsidRPr="002354D0">
        <w:rPr>
          <w:rFonts w:cstheme="minorHAnsi"/>
          <w:sz w:val="22"/>
          <w:szCs w:val="22"/>
        </w:rPr>
        <w:t>School C has 820 students who meet the time in school criterion.  Of these students, 785 have valid scores, and 500 are proficient.  The participation rate for students who meet the time-in-school criterion is 95.7%.  Since the participation rate for students meeting the time in school criterion is over 95%, School C’s proficiency rate can be calculated by dividing the number of proficient scores for students meeting the time in school criterion by the number of valid scores for students meeting the time in school criterion.</w:t>
      </w:r>
    </w:p>
    <w:p w:rsidR="00D25D08" w:rsidRDefault="00D25D08" w:rsidP="00D25D08">
      <w:pPr>
        <w:spacing w:line="252" w:lineRule="auto"/>
        <w:contextualSpacing/>
        <w:rPr>
          <w:rFonts w:cstheme="minorHAnsi"/>
          <w:sz w:val="22"/>
          <w:szCs w:val="22"/>
        </w:rPr>
      </w:pPr>
    </w:p>
    <w:p w:rsidR="006A2ADA" w:rsidRDefault="006A2ADA" w:rsidP="002354D0">
      <w:pPr>
        <w:spacing w:line="252" w:lineRule="auto"/>
        <w:ind w:left="720"/>
        <w:contextualSpacing/>
        <w:rPr>
          <w:rFonts w:cstheme="minorHAnsi"/>
          <w:sz w:val="22"/>
          <w:szCs w:val="22"/>
        </w:rPr>
      </w:pPr>
      <w:r>
        <w:rPr>
          <w:rFonts w:cstheme="minorHAnsi"/>
          <w:sz w:val="22"/>
          <w:szCs w:val="22"/>
        </w:rPr>
        <w:t>School C’s Denominator: 785</w:t>
      </w:r>
    </w:p>
    <w:p w:rsidR="006A2ADA" w:rsidRDefault="006A2ADA" w:rsidP="002354D0">
      <w:pPr>
        <w:spacing w:line="252" w:lineRule="auto"/>
        <w:ind w:left="720"/>
        <w:contextualSpacing/>
        <w:rPr>
          <w:rFonts w:cstheme="minorHAnsi"/>
          <w:sz w:val="22"/>
          <w:szCs w:val="22"/>
        </w:rPr>
      </w:pPr>
      <w:r>
        <w:rPr>
          <w:rFonts w:cstheme="minorHAnsi"/>
          <w:sz w:val="22"/>
          <w:szCs w:val="22"/>
        </w:rPr>
        <w:t>School C’s Proficiency Calculation: 500/785 = 63.7%</w:t>
      </w:r>
    </w:p>
    <w:p w:rsidR="006A2ADA" w:rsidRDefault="006A2ADA" w:rsidP="00D25D08">
      <w:pPr>
        <w:spacing w:line="252" w:lineRule="auto"/>
        <w:contextualSpacing/>
        <w:rPr>
          <w:rFonts w:cstheme="minorHAnsi"/>
          <w:sz w:val="22"/>
          <w:szCs w:val="22"/>
        </w:rPr>
      </w:pPr>
    </w:p>
    <w:p w:rsidR="006A2ADA" w:rsidRPr="002354D0" w:rsidRDefault="006A2ADA" w:rsidP="006A2ADA">
      <w:pPr>
        <w:spacing w:line="252" w:lineRule="auto"/>
        <w:contextualSpacing/>
        <w:rPr>
          <w:rFonts w:cstheme="minorHAnsi"/>
          <w:i/>
          <w:sz w:val="22"/>
          <w:szCs w:val="22"/>
        </w:rPr>
      </w:pPr>
      <w:r w:rsidRPr="002354D0">
        <w:rPr>
          <w:rFonts w:cstheme="minorHAnsi"/>
          <w:i/>
          <w:sz w:val="22"/>
          <w:szCs w:val="22"/>
        </w:rPr>
        <w:t>Note: If the participation rate for students meeting the time-in-school criterion were below 95%, the denominator would be adjusted to reflect 95% of students meeting the time-in-school criterion.</w:t>
      </w:r>
    </w:p>
    <w:p w:rsidR="006A2ADA" w:rsidRDefault="006A2ADA" w:rsidP="00D25D08">
      <w:pPr>
        <w:spacing w:line="252" w:lineRule="auto"/>
        <w:contextualSpacing/>
        <w:rPr>
          <w:rFonts w:cstheme="minorHAnsi"/>
          <w:sz w:val="22"/>
          <w:szCs w:val="22"/>
        </w:rPr>
      </w:pPr>
    </w:p>
    <w:p w:rsidR="00AD5E24" w:rsidRPr="00347076" w:rsidRDefault="00AD5E24" w:rsidP="002354D0">
      <w:pPr>
        <w:pStyle w:val="Heading3"/>
        <w:rPr>
          <w:sz w:val="24"/>
          <w:szCs w:val="24"/>
        </w:rPr>
      </w:pPr>
      <w:r w:rsidRPr="00347076">
        <w:rPr>
          <w:sz w:val="24"/>
          <w:szCs w:val="24"/>
        </w:rPr>
        <w:t xml:space="preserve">Long-Term Goal </w:t>
      </w:r>
    </w:p>
    <w:p w:rsidR="00D25D08" w:rsidRPr="002354D0" w:rsidRDefault="00064261" w:rsidP="00D25D08">
      <w:pPr>
        <w:rPr>
          <w:rFonts w:cstheme="minorHAnsi"/>
          <w:sz w:val="22"/>
          <w:szCs w:val="22"/>
        </w:rPr>
      </w:pPr>
      <w:r w:rsidRPr="002354D0">
        <w:rPr>
          <w:rFonts w:cstheme="minorHAnsi"/>
          <w:sz w:val="22"/>
          <w:szCs w:val="22"/>
        </w:rPr>
        <w:t xml:space="preserve">New Jersey’s approved </w:t>
      </w:r>
      <w:r w:rsidRPr="002354D0">
        <w:rPr>
          <w:rFonts w:cstheme="minorHAnsi"/>
          <w:i/>
          <w:sz w:val="22"/>
          <w:szCs w:val="22"/>
        </w:rPr>
        <w:t>ESSA</w:t>
      </w:r>
      <w:r w:rsidRPr="002354D0">
        <w:rPr>
          <w:rFonts w:cstheme="minorHAnsi"/>
          <w:sz w:val="22"/>
          <w:szCs w:val="22"/>
        </w:rPr>
        <w:t xml:space="preserve"> plan states that </w:t>
      </w:r>
      <w:r w:rsidRPr="00F82E01">
        <w:rPr>
          <w:rFonts w:cstheme="minorHAnsi"/>
          <w:sz w:val="22"/>
          <w:szCs w:val="22"/>
        </w:rPr>
        <w:t>b</w:t>
      </w:r>
      <w:r w:rsidR="00D25D08" w:rsidRPr="002354D0">
        <w:rPr>
          <w:rFonts w:cstheme="minorHAnsi"/>
          <w:sz w:val="22"/>
          <w:szCs w:val="22"/>
        </w:rPr>
        <w:t>y 2030, at least 80</w:t>
      </w:r>
      <w:r w:rsidR="00E64A47">
        <w:rPr>
          <w:rFonts w:cstheme="minorHAnsi"/>
          <w:sz w:val="22"/>
          <w:szCs w:val="22"/>
        </w:rPr>
        <w:t>%</w:t>
      </w:r>
      <w:r w:rsidR="00D25D08" w:rsidRPr="002354D0">
        <w:rPr>
          <w:rFonts w:cstheme="minorHAnsi"/>
          <w:sz w:val="22"/>
          <w:szCs w:val="22"/>
        </w:rPr>
        <w:t xml:space="preserve"> of all students and at least 80</w:t>
      </w:r>
      <w:r w:rsidR="00E64A47">
        <w:rPr>
          <w:rFonts w:cstheme="minorHAnsi"/>
          <w:sz w:val="22"/>
          <w:szCs w:val="22"/>
        </w:rPr>
        <w:t>%</w:t>
      </w:r>
      <w:r w:rsidR="00D25D08" w:rsidRPr="002354D0">
        <w:rPr>
          <w:rFonts w:cstheme="minorHAnsi"/>
          <w:sz w:val="22"/>
          <w:szCs w:val="22"/>
        </w:rPr>
        <w:t xml:space="preserve"> of students in each group in each tested grade will meet or exceed grade-level expectations on the statewide ELA</w:t>
      </w:r>
      <w:r w:rsidR="00AD5E24" w:rsidRPr="00F82E01">
        <w:rPr>
          <w:rFonts w:cstheme="minorHAnsi"/>
          <w:sz w:val="22"/>
          <w:szCs w:val="22"/>
        </w:rPr>
        <w:t>/L</w:t>
      </w:r>
      <w:r w:rsidR="00D25D08" w:rsidRPr="002354D0">
        <w:rPr>
          <w:rFonts w:cstheme="minorHAnsi"/>
          <w:sz w:val="22"/>
          <w:szCs w:val="22"/>
        </w:rPr>
        <w:t xml:space="preserve"> and mathematics assessments.  Building upon the </w:t>
      </w:r>
      <w:r w:rsidR="00AD5E24" w:rsidRPr="00F82E01">
        <w:rPr>
          <w:rFonts w:cstheme="minorHAnsi"/>
          <w:sz w:val="22"/>
          <w:szCs w:val="22"/>
        </w:rPr>
        <w:t>NJSLS</w:t>
      </w:r>
      <w:r w:rsidR="00D25D08" w:rsidRPr="002354D0">
        <w:rPr>
          <w:rFonts w:cstheme="minorHAnsi"/>
          <w:sz w:val="22"/>
          <w:szCs w:val="22"/>
        </w:rPr>
        <w:t xml:space="preserve"> and early successes with PARCC</w:t>
      </w:r>
      <w:r w:rsidR="00AD5E24" w:rsidRPr="00F82E01">
        <w:rPr>
          <w:rFonts w:cstheme="minorHAnsi"/>
          <w:sz w:val="22"/>
          <w:szCs w:val="22"/>
        </w:rPr>
        <w:t xml:space="preserve"> and DLM</w:t>
      </w:r>
      <w:r w:rsidR="00D25D08" w:rsidRPr="002354D0">
        <w:rPr>
          <w:rFonts w:cstheme="minorHAnsi"/>
          <w:sz w:val="22"/>
          <w:szCs w:val="22"/>
        </w:rPr>
        <w:t>, NJDOE and stakeholders sought to set ambitious, but achievable, goals for schools and students. A goal of 80</w:t>
      </w:r>
      <w:r w:rsidR="00E64A47">
        <w:rPr>
          <w:rFonts w:cstheme="minorHAnsi"/>
          <w:sz w:val="22"/>
          <w:szCs w:val="22"/>
        </w:rPr>
        <w:t xml:space="preserve">% </w:t>
      </w:r>
      <w:r w:rsidR="00D25D08" w:rsidRPr="002354D0">
        <w:rPr>
          <w:rFonts w:cstheme="minorHAnsi"/>
          <w:sz w:val="22"/>
          <w:szCs w:val="22"/>
        </w:rPr>
        <w:t xml:space="preserve">of all students and each </w:t>
      </w:r>
      <w:r w:rsidR="008A3B27">
        <w:rPr>
          <w:rFonts w:cstheme="minorHAnsi"/>
          <w:sz w:val="22"/>
          <w:szCs w:val="22"/>
        </w:rPr>
        <w:t>student group</w:t>
      </w:r>
      <w:r w:rsidR="008A3B27" w:rsidRPr="002354D0">
        <w:rPr>
          <w:rFonts w:cstheme="minorHAnsi"/>
          <w:sz w:val="22"/>
          <w:szCs w:val="22"/>
        </w:rPr>
        <w:t xml:space="preserve"> </w:t>
      </w:r>
      <w:r w:rsidR="00D25D08" w:rsidRPr="002354D0">
        <w:rPr>
          <w:rFonts w:cstheme="minorHAnsi"/>
          <w:sz w:val="22"/>
          <w:szCs w:val="22"/>
        </w:rPr>
        <w:t xml:space="preserve">meeting grade-level expectations by 2030 is realistic, yet ambitious, as it </w:t>
      </w:r>
      <w:r w:rsidR="00AD5E24" w:rsidRPr="00F82E01">
        <w:rPr>
          <w:rFonts w:cstheme="minorHAnsi"/>
          <w:sz w:val="22"/>
          <w:szCs w:val="22"/>
        </w:rPr>
        <w:t>considers</w:t>
      </w:r>
      <w:r w:rsidR="00D25D08" w:rsidRPr="002354D0">
        <w:rPr>
          <w:rFonts w:cstheme="minorHAnsi"/>
          <w:sz w:val="22"/>
          <w:szCs w:val="22"/>
        </w:rPr>
        <w:t xml:space="preserve"> the more rigorous academic standards implemented in New Jersey. Accomplishing this goal will mean that the number of students demonstrating grade-level proficiency in ELA</w:t>
      </w:r>
      <w:r w:rsidR="00AD5E24" w:rsidRPr="00F82E01">
        <w:rPr>
          <w:rFonts w:cstheme="minorHAnsi"/>
          <w:sz w:val="22"/>
          <w:szCs w:val="22"/>
        </w:rPr>
        <w:t>/L</w:t>
      </w:r>
      <w:r w:rsidR="00D25D08" w:rsidRPr="002354D0">
        <w:rPr>
          <w:rFonts w:cstheme="minorHAnsi"/>
          <w:sz w:val="22"/>
          <w:szCs w:val="22"/>
        </w:rPr>
        <w:t xml:space="preserve"> and mathematics (as currently indicated by achieving a Level </w:t>
      </w:r>
      <w:r w:rsidR="00E64A47">
        <w:rPr>
          <w:rFonts w:cstheme="minorHAnsi"/>
          <w:sz w:val="22"/>
          <w:szCs w:val="22"/>
        </w:rPr>
        <w:t>‘</w:t>
      </w:r>
      <w:r w:rsidR="00D25D08" w:rsidRPr="002354D0">
        <w:rPr>
          <w:rFonts w:cstheme="minorHAnsi"/>
          <w:sz w:val="22"/>
          <w:szCs w:val="22"/>
        </w:rPr>
        <w:t>4</w:t>
      </w:r>
      <w:r w:rsidR="00E64A47">
        <w:rPr>
          <w:rFonts w:cstheme="minorHAnsi"/>
          <w:sz w:val="22"/>
          <w:szCs w:val="22"/>
        </w:rPr>
        <w:t>’</w:t>
      </w:r>
      <w:r w:rsidR="00D25D08" w:rsidRPr="002354D0">
        <w:rPr>
          <w:rFonts w:cstheme="minorHAnsi"/>
          <w:sz w:val="22"/>
          <w:szCs w:val="22"/>
        </w:rPr>
        <w:t xml:space="preserve"> or </w:t>
      </w:r>
      <w:r w:rsidR="00E64A47">
        <w:rPr>
          <w:rFonts w:cstheme="minorHAnsi"/>
          <w:sz w:val="22"/>
          <w:szCs w:val="22"/>
        </w:rPr>
        <w:t>‘</w:t>
      </w:r>
      <w:r w:rsidR="00D25D08" w:rsidRPr="002354D0">
        <w:rPr>
          <w:rFonts w:cstheme="minorHAnsi"/>
          <w:sz w:val="22"/>
          <w:szCs w:val="22"/>
        </w:rPr>
        <w:t>5</w:t>
      </w:r>
      <w:r w:rsidR="00E64A47">
        <w:rPr>
          <w:rFonts w:cstheme="minorHAnsi"/>
          <w:sz w:val="22"/>
          <w:szCs w:val="22"/>
        </w:rPr>
        <w:t>’</w:t>
      </w:r>
      <w:r w:rsidR="00D25D08" w:rsidRPr="002354D0">
        <w:rPr>
          <w:rFonts w:cstheme="minorHAnsi"/>
          <w:sz w:val="22"/>
          <w:szCs w:val="22"/>
        </w:rPr>
        <w:t xml:space="preserve"> score on a PARCC assessment</w:t>
      </w:r>
      <w:r w:rsidR="00AD5E24" w:rsidRPr="00F82E01">
        <w:rPr>
          <w:rFonts w:cstheme="minorHAnsi"/>
          <w:sz w:val="22"/>
          <w:szCs w:val="22"/>
        </w:rPr>
        <w:t xml:space="preserve"> and Level </w:t>
      </w:r>
      <w:r w:rsidR="00E64A47">
        <w:rPr>
          <w:rFonts w:cstheme="minorHAnsi"/>
          <w:sz w:val="22"/>
          <w:szCs w:val="22"/>
        </w:rPr>
        <w:t>‘</w:t>
      </w:r>
      <w:r w:rsidR="00AD5E24" w:rsidRPr="00F82E01">
        <w:rPr>
          <w:rFonts w:cstheme="minorHAnsi"/>
          <w:sz w:val="22"/>
          <w:szCs w:val="22"/>
        </w:rPr>
        <w:t>3</w:t>
      </w:r>
      <w:r w:rsidR="00E64A47">
        <w:rPr>
          <w:rFonts w:cstheme="minorHAnsi"/>
          <w:sz w:val="22"/>
          <w:szCs w:val="22"/>
        </w:rPr>
        <w:t>’</w:t>
      </w:r>
      <w:r w:rsidR="00AD5E24" w:rsidRPr="00F82E01">
        <w:rPr>
          <w:rFonts w:cstheme="minorHAnsi"/>
          <w:sz w:val="22"/>
          <w:szCs w:val="22"/>
        </w:rPr>
        <w:t xml:space="preserve"> and </w:t>
      </w:r>
      <w:r w:rsidR="00E64A47">
        <w:rPr>
          <w:rFonts w:cstheme="minorHAnsi"/>
          <w:sz w:val="22"/>
          <w:szCs w:val="22"/>
        </w:rPr>
        <w:t>‘</w:t>
      </w:r>
      <w:r w:rsidR="00AD5E24" w:rsidRPr="00F82E01">
        <w:rPr>
          <w:rFonts w:cstheme="minorHAnsi"/>
          <w:sz w:val="22"/>
          <w:szCs w:val="22"/>
        </w:rPr>
        <w:t>4</w:t>
      </w:r>
      <w:r w:rsidR="00E64A47">
        <w:rPr>
          <w:rFonts w:cstheme="minorHAnsi"/>
          <w:sz w:val="22"/>
          <w:szCs w:val="22"/>
        </w:rPr>
        <w:t>’</w:t>
      </w:r>
      <w:r w:rsidR="00AD5E24" w:rsidRPr="00F82E01">
        <w:rPr>
          <w:rFonts w:cstheme="minorHAnsi"/>
          <w:sz w:val="22"/>
          <w:szCs w:val="22"/>
        </w:rPr>
        <w:t xml:space="preserve"> on the DLM</w:t>
      </w:r>
      <w:r w:rsidR="00D25D08" w:rsidRPr="002354D0">
        <w:rPr>
          <w:rFonts w:cstheme="minorHAnsi"/>
          <w:sz w:val="22"/>
          <w:szCs w:val="22"/>
        </w:rPr>
        <w:t>) across the state will nearly double and will close New Jersey’s achievement gap</w:t>
      </w:r>
      <w:r w:rsidR="00790CF1">
        <w:rPr>
          <w:rFonts w:cstheme="minorHAnsi"/>
          <w:sz w:val="22"/>
          <w:szCs w:val="22"/>
        </w:rPr>
        <w:t>s</w:t>
      </w:r>
      <w:r w:rsidR="00D25D08" w:rsidRPr="002354D0">
        <w:rPr>
          <w:rFonts w:cstheme="minorHAnsi"/>
          <w:sz w:val="22"/>
          <w:szCs w:val="22"/>
        </w:rPr>
        <w:t>.</w:t>
      </w:r>
    </w:p>
    <w:p w:rsidR="00D25D08" w:rsidRPr="00347076" w:rsidRDefault="008A3B27" w:rsidP="002354D0">
      <w:pPr>
        <w:pStyle w:val="Heading3"/>
        <w:rPr>
          <w:sz w:val="24"/>
          <w:szCs w:val="24"/>
        </w:rPr>
      </w:pPr>
      <w:r w:rsidRPr="00347076">
        <w:rPr>
          <w:sz w:val="24"/>
          <w:szCs w:val="24"/>
        </w:rPr>
        <w:t>Annual</w:t>
      </w:r>
      <w:r w:rsidR="00AD5E24" w:rsidRPr="00347076">
        <w:rPr>
          <w:sz w:val="24"/>
          <w:szCs w:val="24"/>
        </w:rPr>
        <w:t xml:space="preserve"> Targets</w:t>
      </w:r>
    </w:p>
    <w:p w:rsidR="002665FA" w:rsidRPr="009D0CC3" w:rsidRDefault="008A3B27" w:rsidP="00D25D08">
      <w:pPr>
        <w:rPr>
          <w:rFonts w:cstheme="minorHAnsi"/>
          <w:sz w:val="22"/>
          <w:szCs w:val="22"/>
        </w:rPr>
      </w:pPr>
      <w:r>
        <w:rPr>
          <w:rFonts w:cstheme="minorHAnsi"/>
          <w:sz w:val="22"/>
          <w:szCs w:val="22"/>
        </w:rPr>
        <w:t>Annual</w:t>
      </w:r>
      <w:r w:rsidR="00D25D08" w:rsidRPr="009D0CC3">
        <w:rPr>
          <w:rFonts w:cstheme="minorHAnsi"/>
          <w:sz w:val="22"/>
          <w:szCs w:val="22"/>
        </w:rPr>
        <w:t xml:space="preserve"> targets were calculated through the year 2030 for all districts, schools and student groups, based on performance during the 2015-2016 administration of the statewide assessment</w:t>
      </w:r>
      <w:r w:rsidR="00790CF1">
        <w:rPr>
          <w:rFonts w:cstheme="minorHAnsi"/>
          <w:sz w:val="22"/>
          <w:szCs w:val="22"/>
        </w:rPr>
        <w:t>s</w:t>
      </w:r>
      <w:r w:rsidR="00D25D08" w:rsidRPr="009D0CC3">
        <w:rPr>
          <w:rFonts w:cstheme="minorHAnsi"/>
          <w:sz w:val="22"/>
          <w:szCs w:val="22"/>
        </w:rPr>
        <w:t xml:space="preserve">.  </w:t>
      </w:r>
      <w:r w:rsidR="00563091" w:rsidRPr="009D0CC3">
        <w:rPr>
          <w:rFonts w:cstheme="minorHAnsi"/>
          <w:sz w:val="22"/>
          <w:szCs w:val="22"/>
        </w:rPr>
        <w:t>Baseline proficiency rates for 2015-2016 may differ from the rates reported in the 2015-2016 Accountability Profiles.  This is due to the federal requirement</w:t>
      </w:r>
      <w:r w:rsidR="00B73C43">
        <w:rPr>
          <w:rFonts w:cstheme="minorHAnsi"/>
          <w:sz w:val="22"/>
          <w:szCs w:val="22"/>
        </w:rPr>
        <w:t xml:space="preserve">, under </w:t>
      </w:r>
      <w:r w:rsidR="00B73C43" w:rsidRPr="00B73C43">
        <w:rPr>
          <w:rFonts w:cstheme="minorHAnsi"/>
          <w:i/>
          <w:sz w:val="22"/>
          <w:szCs w:val="22"/>
        </w:rPr>
        <w:t>ESSA</w:t>
      </w:r>
      <w:r w:rsidR="00B73C43">
        <w:rPr>
          <w:rFonts w:cstheme="minorHAnsi"/>
          <w:sz w:val="22"/>
          <w:szCs w:val="22"/>
        </w:rPr>
        <w:t xml:space="preserve">, </w:t>
      </w:r>
      <w:r w:rsidR="00563091" w:rsidRPr="009D0CC3">
        <w:rPr>
          <w:rFonts w:cstheme="minorHAnsi"/>
          <w:sz w:val="22"/>
          <w:szCs w:val="22"/>
        </w:rPr>
        <w:t xml:space="preserve">that proficiency rates be adjusted to account for participation below 95%, as described above.  </w:t>
      </w:r>
    </w:p>
    <w:p w:rsidR="00563091" w:rsidRPr="002354D0" w:rsidRDefault="00563091" w:rsidP="00D25D08">
      <w:pPr>
        <w:rPr>
          <w:rFonts w:cstheme="minorHAnsi"/>
          <w:sz w:val="22"/>
          <w:szCs w:val="22"/>
        </w:rPr>
      </w:pPr>
      <w:r w:rsidRPr="002354D0">
        <w:rPr>
          <w:rFonts w:cstheme="minorHAnsi"/>
          <w:sz w:val="22"/>
          <w:szCs w:val="22"/>
        </w:rPr>
        <w:t xml:space="preserve">Beginning in 2016-2017, the NJDOE </w:t>
      </w:r>
      <w:r w:rsidR="002665FA" w:rsidRPr="002354D0">
        <w:rPr>
          <w:rFonts w:cstheme="minorHAnsi"/>
          <w:sz w:val="22"/>
          <w:szCs w:val="22"/>
        </w:rPr>
        <w:t>expanded</w:t>
      </w:r>
      <w:r w:rsidRPr="002354D0">
        <w:rPr>
          <w:rFonts w:cstheme="minorHAnsi"/>
          <w:sz w:val="22"/>
          <w:szCs w:val="22"/>
        </w:rPr>
        <w:t xml:space="preserve"> the English </w:t>
      </w:r>
      <w:r w:rsidR="00AD5E24">
        <w:rPr>
          <w:rFonts w:cstheme="minorHAnsi"/>
          <w:sz w:val="22"/>
          <w:szCs w:val="22"/>
        </w:rPr>
        <w:t>language l</w:t>
      </w:r>
      <w:r w:rsidRPr="002354D0">
        <w:rPr>
          <w:rFonts w:cstheme="minorHAnsi"/>
          <w:sz w:val="22"/>
          <w:szCs w:val="22"/>
        </w:rPr>
        <w:t xml:space="preserve">earner </w:t>
      </w:r>
      <w:r w:rsidR="008A3B27">
        <w:rPr>
          <w:rFonts w:cstheme="minorHAnsi"/>
          <w:sz w:val="22"/>
          <w:szCs w:val="22"/>
        </w:rPr>
        <w:t xml:space="preserve">student </w:t>
      </w:r>
      <w:r w:rsidRPr="002354D0">
        <w:rPr>
          <w:rFonts w:cstheme="minorHAnsi"/>
          <w:sz w:val="22"/>
          <w:szCs w:val="22"/>
        </w:rPr>
        <w:t xml:space="preserve">group to include former English </w:t>
      </w:r>
      <w:r w:rsidR="00AD5E24">
        <w:rPr>
          <w:rFonts w:cstheme="minorHAnsi"/>
          <w:sz w:val="22"/>
          <w:szCs w:val="22"/>
        </w:rPr>
        <w:t>language learners</w:t>
      </w:r>
      <w:r w:rsidR="00AD5E24" w:rsidRPr="002354D0">
        <w:rPr>
          <w:rFonts w:cstheme="minorHAnsi"/>
          <w:sz w:val="22"/>
          <w:szCs w:val="22"/>
        </w:rPr>
        <w:t xml:space="preserve"> </w:t>
      </w:r>
      <w:r w:rsidRPr="002354D0">
        <w:rPr>
          <w:rFonts w:cstheme="minorHAnsi"/>
          <w:sz w:val="22"/>
          <w:szCs w:val="22"/>
        </w:rPr>
        <w:t xml:space="preserve">for up to four years after exit from </w:t>
      </w:r>
      <w:r w:rsidR="00AD5E24">
        <w:rPr>
          <w:rFonts w:cstheme="minorHAnsi"/>
          <w:sz w:val="22"/>
          <w:szCs w:val="22"/>
        </w:rPr>
        <w:t xml:space="preserve">bilingual/ESL </w:t>
      </w:r>
      <w:r w:rsidRPr="002354D0">
        <w:rPr>
          <w:rFonts w:cstheme="minorHAnsi"/>
          <w:sz w:val="22"/>
          <w:szCs w:val="22"/>
        </w:rPr>
        <w:t>services.  Baseline rates for</w:t>
      </w:r>
      <w:r w:rsidR="002665FA" w:rsidRPr="002354D0">
        <w:rPr>
          <w:rFonts w:cstheme="minorHAnsi"/>
          <w:sz w:val="22"/>
          <w:szCs w:val="22"/>
        </w:rPr>
        <w:t xml:space="preserve"> the English </w:t>
      </w:r>
      <w:r w:rsidR="00AD5E24">
        <w:rPr>
          <w:rFonts w:cstheme="minorHAnsi"/>
          <w:sz w:val="22"/>
          <w:szCs w:val="22"/>
        </w:rPr>
        <w:t>language learner</w:t>
      </w:r>
      <w:r w:rsidR="00AD5E24" w:rsidRPr="002354D0">
        <w:rPr>
          <w:rFonts w:cstheme="minorHAnsi"/>
          <w:sz w:val="22"/>
          <w:szCs w:val="22"/>
        </w:rPr>
        <w:t xml:space="preserve"> </w:t>
      </w:r>
      <w:r w:rsidR="008A3B27">
        <w:rPr>
          <w:rFonts w:cstheme="minorHAnsi"/>
          <w:sz w:val="22"/>
          <w:szCs w:val="22"/>
        </w:rPr>
        <w:t>student group</w:t>
      </w:r>
      <w:r w:rsidR="008A3B27" w:rsidRPr="002354D0">
        <w:rPr>
          <w:rFonts w:cstheme="minorHAnsi"/>
          <w:sz w:val="22"/>
          <w:szCs w:val="22"/>
        </w:rPr>
        <w:t xml:space="preserve"> </w:t>
      </w:r>
      <w:r w:rsidRPr="002354D0">
        <w:rPr>
          <w:rFonts w:cstheme="minorHAnsi"/>
          <w:sz w:val="22"/>
          <w:szCs w:val="22"/>
        </w:rPr>
        <w:t>were calcul</w:t>
      </w:r>
      <w:r w:rsidR="002665FA" w:rsidRPr="002354D0">
        <w:rPr>
          <w:rFonts w:cstheme="minorHAnsi"/>
          <w:sz w:val="22"/>
          <w:szCs w:val="22"/>
        </w:rPr>
        <w:t xml:space="preserve">ated based on the subgroup data that was confirmed in the 2015-2016 data and reflect the performance of English </w:t>
      </w:r>
      <w:r w:rsidR="00AD5E24">
        <w:rPr>
          <w:rFonts w:cstheme="minorHAnsi"/>
          <w:sz w:val="22"/>
          <w:szCs w:val="22"/>
        </w:rPr>
        <w:t>language learners</w:t>
      </w:r>
      <w:r w:rsidR="00AD5E24" w:rsidRPr="002354D0">
        <w:rPr>
          <w:rFonts w:cstheme="minorHAnsi"/>
          <w:sz w:val="22"/>
          <w:szCs w:val="22"/>
        </w:rPr>
        <w:t xml:space="preserve"> </w:t>
      </w:r>
      <w:r w:rsidR="002665FA" w:rsidRPr="002354D0">
        <w:rPr>
          <w:rFonts w:cstheme="minorHAnsi"/>
          <w:sz w:val="22"/>
          <w:szCs w:val="22"/>
        </w:rPr>
        <w:t xml:space="preserve">including former English </w:t>
      </w:r>
      <w:r w:rsidR="00AD5E24">
        <w:rPr>
          <w:rFonts w:cstheme="minorHAnsi"/>
          <w:sz w:val="22"/>
          <w:szCs w:val="22"/>
        </w:rPr>
        <w:t>language learners</w:t>
      </w:r>
      <w:r w:rsidR="00AD5E24" w:rsidRPr="002354D0">
        <w:rPr>
          <w:rFonts w:cstheme="minorHAnsi"/>
          <w:sz w:val="22"/>
          <w:szCs w:val="22"/>
        </w:rPr>
        <w:t xml:space="preserve"> </w:t>
      </w:r>
      <w:r w:rsidR="002665FA" w:rsidRPr="002354D0">
        <w:rPr>
          <w:rFonts w:cstheme="minorHAnsi"/>
          <w:sz w:val="22"/>
          <w:szCs w:val="22"/>
        </w:rPr>
        <w:t xml:space="preserve">for up to </w:t>
      </w:r>
      <w:r w:rsidR="002665FA" w:rsidRPr="004C1B6B">
        <w:rPr>
          <w:rFonts w:cstheme="minorHAnsi"/>
          <w:sz w:val="22"/>
          <w:szCs w:val="22"/>
        </w:rPr>
        <w:t>two</w:t>
      </w:r>
      <w:r w:rsidR="002665FA" w:rsidRPr="002354D0">
        <w:rPr>
          <w:rFonts w:cstheme="minorHAnsi"/>
          <w:sz w:val="22"/>
          <w:szCs w:val="22"/>
        </w:rPr>
        <w:t xml:space="preserve"> years after exiting services. </w:t>
      </w:r>
    </w:p>
    <w:p w:rsidR="00D25D08" w:rsidRPr="002354D0" w:rsidRDefault="008A3B27" w:rsidP="00D25D08">
      <w:pPr>
        <w:rPr>
          <w:rFonts w:cstheme="minorHAnsi"/>
          <w:sz w:val="22"/>
          <w:szCs w:val="22"/>
        </w:rPr>
      </w:pPr>
      <w:r>
        <w:rPr>
          <w:rFonts w:cstheme="minorHAnsi"/>
          <w:sz w:val="22"/>
          <w:szCs w:val="22"/>
        </w:rPr>
        <w:t>Annual</w:t>
      </w:r>
      <w:r w:rsidR="00D25D08" w:rsidRPr="002354D0">
        <w:rPr>
          <w:rFonts w:cstheme="minorHAnsi"/>
          <w:sz w:val="22"/>
          <w:szCs w:val="22"/>
        </w:rPr>
        <w:t xml:space="preserve"> targets were calculated to ensure that the 2030 long-term goal would be met while differentiating for baseline performance.  Although schools and </w:t>
      </w:r>
      <w:r>
        <w:rPr>
          <w:rFonts w:cstheme="minorHAnsi"/>
          <w:sz w:val="22"/>
          <w:szCs w:val="22"/>
        </w:rPr>
        <w:t>student groups</w:t>
      </w:r>
      <w:r w:rsidRPr="002354D0">
        <w:rPr>
          <w:rFonts w:cstheme="minorHAnsi"/>
          <w:sz w:val="22"/>
          <w:szCs w:val="22"/>
        </w:rPr>
        <w:t xml:space="preserve"> </w:t>
      </w:r>
      <w:r w:rsidR="00D25D08" w:rsidRPr="002354D0">
        <w:rPr>
          <w:rFonts w:cstheme="minorHAnsi"/>
          <w:sz w:val="22"/>
          <w:szCs w:val="22"/>
        </w:rPr>
        <w:t xml:space="preserve">have different starting points and </w:t>
      </w:r>
      <w:r w:rsidR="00790CF1">
        <w:rPr>
          <w:rFonts w:cstheme="minorHAnsi"/>
          <w:sz w:val="22"/>
          <w:szCs w:val="22"/>
        </w:rPr>
        <w:t>a</w:t>
      </w:r>
      <w:r>
        <w:rPr>
          <w:rFonts w:cstheme="minorHAnsi"/>
          <w:sz w:val="22"/>
          <w:szCs w:val="22"/>
        </w:rPr>
        <w:t>nnual</w:t>
      </w:r>
      <w:r w:rsidR="00D25D08" w:rsidRPr="002354D0">
        <w:rPr>
          <w:rFonts w:cstheme="minorHAnsi"/>
          <w:sz w:val="22"/>
          <w:szCs w:val="22"/>
        </w:rPr>
        <w:t xml:space="preserve"> targets, the long-term goal is the same for all schools and </w:t>
      </w:r>
      <w:r>
        <w:rPr>
          <w:rFonts w:cstheme="minorHAnsi"/>
          <w:sz w:val="22"/>
          <w:szCs w:val="22"/>
        </w:rPr>
        <w:t>student groups</w:t>
      </w:r>
      <w:r w:rsidR="00D25D08" w:rsidRPr="002354D0">
        <w:rPr>
          <w:rFonts w:cstheme="minorHAnsi"/>
          <w:sz w:val="22"/>
          <w:szCs w:val="22"/>
        </w:rPr>
        <w:t xml:space="preserve">.  A description of how </w:t>
      </w:r>
      <w:r w:rsidR="00790CF1">
        <w:rPr>
          <w:rFonts w:cstheme="minorHAnsi"/>
          <w:sz w:val="22"/>
          <w:szCs w:val="22"/>
        </w:rPr>
        <w:t>a</w:t>
      </w:r>
      <w:r>
        <w:rPr>
          <w:rFonts w:cstheme="minorHAnsi"/>
          <w:sz w:val="22"/>
          <w:szCs w:val="22"/>
        </w:rPr>
        <w:t>nnual</w:t>
      </w:r>
      <w:r w:rsidR="00D25D08" w:rsidRPr="002354D0">
        <w:rPr>
          <w:rFonts w:cstheme="minorHAnsi"/>
          <w:sz w:val="22"/>
          <w:szCs w:val="22"/>
        </w:rPr>
        <w:t xml:space="preserve"> targets are </w:t>
      </w:r>
      <w:r w:rsidR="00834428" w:rsidRPr="002354D0">
        <w:rPr>
          <w:rFonts w:cstheme="minorHAnsi"/>
          <w:sz w:val="22"/>
          <w:szCs w:val="22"/>
        </w:rPr>
        <w:t>calculated,</w:t>
      </w:r>
      <w:r w:rsidR="00D25D08" w:rsidRPr="002354D0">
        <w:rPr>
          <w:rFonts w:cstheme="minorHAnsi"/>
          <w:sz w:val="22"/>
          <w:szCs w:val="22"/>
        </w:rPr>
        <w:t xml:space="preserve"> and an example</w:t>
      </w:r>
      <w:r w:rsidR="00BA539D">
        <w:rPr>
          <w:rFonts w:cstheme="minorHAnsi"/>
          <w:sz w:val="22"/>
          <w:szCs w:val="22"/>
        </w:rPr>
        <w:t xml:space="preserve"> is</w:t>
      </w:r>
      <w:r w:rsidR="00D25D08" w:rsidRPr="002354D0">
        <w:rPr>
          <w:rFonts w:cstheme="minorHAnsi"/>
          <w:sz w:val="22"/>
          <w:szCs w:val="22"/>
        </w:rPr>
        <w:t xml:space="preserve"> below: </w:t>
      </w:r>
    </w:p>
    <w:p w:rsidR="00D25D08" w:rsidRPr="002354D0" w:rsidRDefault="00D25D08" w:rsidP="00D25D08">
      <w:pPr>
        <w:pStyle w:val="ListParagraph"/>
        <w:ind w:left="0"/>
        <w:rPr>
          <w:rFonts w:cstheme="minorHAnsi"/>
          <w:b/>
          <w:sz w:val="22"/>
          <w:szCs w:val="22"/>
        </w:rPr>
      </w:pPr>
      <w:r w:rsidRPr="002354D0">
        <w:rPr>
          <w:rFonts w:cstheme="minorHAnsi"/>
          <w:b/>
          <w:sz w:val="22"/>
          <w:szCs w:val="22"/>
        </w:rPr>
        <w:t>Example:</w:t>
      </w:r>
    </w:p>
    <w:p w:rsidR="00D25D08" w:rsidRPr="002354D0" w:rsidRDefault="00D25D08" w:rsidP="00D25D08">
      <w:pPr>
        <w:pStyle w:val="ListParagraph"/>
        <w:ind w:left="0"/>
        <w:rPr>
          <w:rFonts w:cstheme="minorHAnsi"/>
          <w:sz w:val="22"/>
          <w:szCs w:val="22"/>
        </w:rPr>
      </w:pPr>
      <w:r w:rsidRPr="002354D0">
        <w:rPr>
          <w:rFonts w:cstheme="minorHAnsi"/>
          <w:sz w:val="22"/>
          <w:szCs w:val="22"/>
        </w:rPr>
        <w:t xml:space="preserve">School A’s </w:t>
      </w:r>
      <w:r w:rsidR="00145374" w:rsidRPr="002354D0">
        <w:rPr>
          <w:rFonts w:cstheme="minorHAnsi"/>
          <w:sz w:val="22"/>
          <w:szCs w:val="22"/>
        </w:rPr>
        <w:t xml:space="preserve">ELA </w:t>
      </w:r>
      <w:r w:rsidRPr="002354D0">
        <w:rPr>
          <w:rFonts w:cstheme="minorHAnsi"/>
          <w:sz w:val="22"/>
          <w:szCs w:val="22"/>
        </w:rPr>
        <w:t xml:space="preserve">proficiency rate in 2015-16 was 40%.  The long-term goal of 80% must be achieved by the 2029-2030 school year.  School A </w:t>
      </w:r>
      <w:r w:rsidR="00275353" w:rsidRPr="002354D0">
        <w:rPr>
          <w:rFonts w:cstheme="minorHAnsi"/>
          <w:sz w:val="22"/>
          <w:szCs w:val="22"/>
        </w:rPr>
        <w:t xml:space="preserve">must make progress toward the goal (i.e. “goal progress”) of 40 percentage points to reach </w:t>
      </w:r>
      <w:r w:rsidRPr="002354D0">
        <w:rPr>
          <w:rFonts w:cstheme="minorHAnsi"/>
          <w:sz w:val="22"/>
          <w:szCs w:val="22"/>
        </w:rPr>
        <w:t xml:space="preserve">the long-term goal.  School A’s </w:t>
      </w:r>
      <w:r w:rsidR="002365D3">
        <w:rPr>
          <w:rFonts w:cstheme="minorHAnsi"/>
          <w:sz w:val="22"/>
          <w:szCs w:val="22"/>
        </w:rPr>
        <w:t>a</w:t>
      </w:r>
      <w:r w:rsidR="008A3B27">
        <w:rPr>
          <w:rFonts w:cstheme="minorHAnsi"/>
          <w:sz w:val="22"/>
          <w:szCs w:val="22"/>
        </w:rPr>
        <w:t>nnual</w:t>
      </w:r>
      <w:r w:rsidRPr="002354D0">
        <w:rPr>
          <w:rFonts w:cstheme="minorHAnsi"/>
          <w:sz w:val="22"/>
          <w:szCs w:val="22"/>
        </w:rPr>
        <w:t xml:space="preserve"> target for </w:t>
      </w:r>
      <w:r w:rsidR="00145374" w:rsidRPr="002354D0">
        <w:rPr>
          <w:rFonts w:cstheme="minorHAnsi"/>
          <w:sz w:val="22"/>
          <w:szCs w:val="22"/>
        </w:rPr>
        <w:t xml:space="preserve">ELA in </w:t>
      </w:r>
      <w:r w:rsidRPr="002354D0">
        <w:rPr>
          <w:rFonts w:cstheme="minorHAnsi"/>
          <w:sz w:val="22"/>
          <w:szCs w:val="22"/>
        </w:rPr>
        <w:t>the 2016-17 school year is 42%, which represents 5% of</w:t>
      </w:r>
      <w:r w:rsidR="00275353" w:rsidRPr="002354D0">
        <w:rPr>
          <w:rFonts w:cstheme="minorHAnsi"/>
          <w:sz w:val="22"/>
          <w:szCs w:val="22"/>
        </w:rPr>
        <w:t xml:space="preserve"> the progress necessary to reach</w:t>
      </w:r>
      <w:r w:rsidRPr="002354D0">
        <w:rPr>
          <w:rFonts w:cstheme="minorHAnsi"/>
          <w:sz w:val="22"/>
          <w:szCs w:val="22"/>
        </w:rPr>
        <w:t xml:space="preserve"> the long-term goal.</w:t>
      </w:r>
    </w:p>
    <w:p w:rsidR="00D25D08" w:rsidRPr="002354D0" w:rsidRDefault="00D25D08" w:rsidP="00EE4021">
      <w:pPr>
        <w:ind w:firstLine="720"/>
        <w:rPr>
          <w:rFonts w:cstheme="minorHAnsi"/>
          <w:sz w:val="22"/>
          <w:szCs w:val="22"/>
        </w:rPr>
      </w:pPr>
      <w:r w:rsidRPr="002354D0">
        <w:rPr>
          <w:rFonts w:cstheme="minorHAnsi"/>
          <w:sz w:val="22"/>
          <w:szCs w:val="22"/>
        </w:rPr>
        <w:t xml:space="preserve">Baseline +    5% </w:t>
      </w:r>
      <w:r w:rsidR="00275353" w:rsidRPr="002354D0">
        <w:rPr>
          <w:rFonts w:cstheme="minorHAnsi"/>
          <w:sz w:val="22"/>
          <w:szCs w:val="22"/>
        </w:rPr>
        <w:t xml:space="preserve">Goal </w:t>
      </w:r>
      <w:r w:rsidR="00CA5B46" w:rsidRPr="002354D0">
        <w:rPr>
          <w:rFonts w:cstheme="minorHAnsi"/>
          <w:sz w:val="22"/>
          <w:szCs w:val="22"/>
        </w:rPr>
        <w:t>Progress =</w:t>
      </w:r>
      <w:r w:rsidRPr="002354D0">
        <w:rPr>
          <w:rFonts w:cstheme="minorHAnsi"/>
          <w:sz w:val="22"/>
          <w:szCs w:val="22"/>
        </w:rPr>
        <w:t xml:space="preserve">     Year 1 </w:t>
      </w:r>
      <w:r w:rsidR="008A3B27">
        <w:rPr>
          <w:rFonts w:cstheme="minorHAnsi"/>
          <w:sz w:val="22"/>
          <w:szCs w:val="22"/>
        </w:rPr>
        <w:t>Annual</w:t>
      </w:r>
      <w:r w:rsidRPr="002354D0">
        <w:rPr>
          <w:rFonts w:cstheme="minorHAnsi"/>
          <w:sz w:val="22"/>
          <w:szCs w:val="22"/>
        </w:rPr>
        <w:t xml:space="preserve"> Target</w:t>
      </w:r>
    </w:p>
    <w:p w:rsidR="00D25D08" w:rsidRDefault="00D25D08" w:rsidP="00EE4021">
      <w:pPr>
        <w:ind w:firstLine="720"/>
        <w:rPr>
          <w:rFonts w:cstheme="minorHAnsi"/>
          <w:sz w:val="22"/>
          <w:szCs w:val="22"/>
        </w:rPr>
      </w:pPr>
      <w:r w:rsidRPr="002354D0">
        <w:rPr>
          <w:rFonts w:cstheme="minorHAnsi"/>
          <w:sz w:val="22"/>
          <w:szCs w:val="22"/>
        </w:rPr>
        <w:t>40.0</w:t>
      </w:r>
      <w:r w:rsidRPr="002354D0">
        <w:rPr>
          <w:rFonts w:cstheme="minorHAnsi"/>
          <w:sz w:val="22"/>
          <w:szCs w:val="22"/>
        </w:rPr>
        <w:tab/>
        <w:t xml:space="preserve"> +   </w:t>
      </w:r>
      <w:r w:rsidR="00B04EEE" w:rsidRPr="002354D0">
        <w:rPr>
          <w:rFonts w:cstheme="minorHAnsi"/>
          <w:sz w:val="22"/>
          <w:szCs w:val="22"/>
        </w:rPr>
        <w:t xml:space="preserve">  (</w:t>
      </w:r>
      <w:r w:rsidRPr="002354D0">
        <w:rPr>
          <w:rFonts w:cstheme="minorHAnsi"/>
          <w:sz w:val="22"/>
          <w:szCs w:val="22"/>
        </w:rPr>
        <w:t>.05 * 40.0)         =            42.0</w:t>
      </w:r>
    </w:p>
    <w:p w:rsidR="00EE4021" w:rsidRPr="00DD3C06" w:rsidRDefault="00EE4021" w:rsidP="00694D80">
      <w:pPr>
        <w:spacing w:before="0" w:after="0"/>
        <w:jc w:val="center"/>
        <w:rPr>
          <w:rFonts w:cstheme="minorHAnsi"/>
          <w:b/>
          <w:sz w:val="22"/>
          <w:szCs w:val="22"/>
        </w:rPr>
      </w:pPr>
      <w:r w:rsidRPr="00DD3C06">
        <w:rPr>
          <w:rFonts w:cstheme="minorHAnsi"/>
          <w:b/>
          <w:sz w:val="22"/>
          <w:szCs w:val="22"/>
        </w:rPr>
        <w:t>District and School - State Assessment Annual Accountability Targets</w:t>
      </w:r>
    </w:p>
    <w:tbl>
      <w:tblPr>
        <w:tblStyle w:val="TableGrid"/>
        <w:tblpPr w:leftFromText="180" w:rightFromText="180" w:vertAnchor="text" w:horzAnchor="page" w:tblpX="2134" w:tblpY="187"/>
        <w:tblOverlap w:val="never"/>
        <w:tblW w:w="0" w:type="auto"/>
        <w:tblLook w:val="04A0" w:firstRow="1" w:lastRow="0" w:firstColumn="1" w:lastColumn="0" w:noHBand="0" w:noVBand="1"/>
      </w:tblPr>
      <w:tblGrid>
        <w:gridCol w:w="2992"/>
        <w:gridCol w:w="4608"/>
      </w:tblGrid>
      <w:tr w:rsidR="00EE4021" w:rsidRPr="00AD5E24" w:rsidTr="00EE4021">
        <w:trPr>
          <w:trHeight w:val="252"/>
        </w:trPr>
        <w:tc>
          <w:tcPr>
            <w:tcW w:w="2992" w:type="dxa"/>
          </w:tcPr>
          <w:p w:rsidR="00EE4021" w:rsidRPr="002354D0" w:rsidRDefault="00EE4021" w:rsidP="00EE4021">
            <w:pPr>
              <w:rPr>
                <w:rFonts w:cstheme="minorHAnsi"/>
              </w:rPr>
            </w:pPr>
            <w:r w:rsidRPr="002354D0">
              <w:rPr>
                <w:rFonts w:cstheme="minorHAnsi"/>
                <w:sz w:val="22"/>
                <w:szCs w:val="22"/>
              </w:rPr>
              <w:t>Baseline:</w:t>
            </w:r>
            <w:r w:rsidRPr="002354D0">
              <w:rPr>
                <w:rFonts w:cstheme="minorHAnsi"/>
                <w:sz w:val="22"/>
                <w:szCs w:val="22"/>
              </w:rPr>
              <w:tab/>
            </w:r>
            <w:r w:rsidRPr="002354D0">
              <w:rPr>
                <w:rFonts w:cstheme="minorHAnsi"/>
                <w:sz w:val="22"/>
                <w:szCs w:val="22"/>
              </w:rPr>
              <w:tab/>
            </w:r>
          </w:p>
        </w:tc>
        <w:tc>
          <w:tcPr>
            <w:tcW w:w="4608" w:type="dxa"/>
          </w:tcPr>
          <w:p w:rsidR="00EE4021" w:rsidRPr="002354D0" w:rsidRDefault="00EE4021" w:rsidP="00EE4021">
            <w:pPr>
              <w:rPr>
                <w:rFonts w:cstheme="minorHAnsi"/>
                <w:sz w:val="22"/>
                <w:szCs w:val="22"/>
              </w:rPr>
            </w:pPr>
            <w:r w:rsidRPr="002354D0">
              <w:rPr>
                <w:rFonts w:cstheme="minorHAnsi"/>
                <w:sz w:val="22"/>
                <w:szCs w:val="22"/>
              </w:rPr>
              <w:t>2015-16 Performance</w:t>
            </w:r>
          </w:p>
        </w:tc>
      </w:tr>
      <w:tr w:rsidR="00EE4021" w:rsidRPr="00AD5E24" w:rsidTr="00EE4021">
        <w:trPr>
          <w:trHeight w:val="238"/>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1 (2016-17):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5% Goal Progress</w:t>
            </w:r>
          </w:p>
        </w:tc>
      </w:tr>
      <w:tr w:rsidR="00EE4021" w:rsidRPr="00AD5E24" w:rsidTr="00EE4021">
        <w:trPr>
          <w:trHeight w:val="252"/>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2 (2017-18):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+ 10% Goal Progress</w:t>
            </w:r>
          </w:p>
        </w:tc>
      </w:tr>
      <w:tr w:rsidR="00EE4021" w:rsidRPr="00AD5E24" w:rsidTr="00EE4021">
        <w:trPr>
          <w:trHeight w:val="238"/>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3 (2018-19):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+ 15% Goal Progress</w:t>
            </w:r>
          </w:p>
        </w:tc>
      </w:tr>
      <w:tr w:rsidR="00EE4021" w:rsidRPr="00AD5E24" w:rsidTr="00EE4021">
        <w:trPr>
          <w:trHeight w:val="252"/>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4 (2019-20):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+ 20% Goal Progress</w:t>
            </w:r>
          </w:p>
        </w:tc>
      </w:tr>
      <w:tr w:rsidR="00EE4021" w:rsidRPr="00AD5E24" w:rsidTr="00EE4021">
        <w:trPr>
          <w:trHeight w:val="238"/>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5 (2020-21):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+ 25% Goal Progress</w:t>
            </w:r>
          </w:p>
        </w:tc>
      </w:tr>
      <w:tr w:rsidR="00EE4021" w:rsidRPr="00AD5E24" w:rsidTr="00EE4021">
        <w:trPr>
          <w:trHeight w:val="252"/>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6 (2021-22):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+ 32% Goal Progress</w:t>
            </w:r>
          </w:p>
        </w:tc>
      </w:tr>
      <w:tr w:rsidR="00EE4021" w:rsidRPr="00AD5E24" w:rsidTr="00EE4021">
        <w:trPr>
          <w:trHeight w:val="238"/>
        </w:trPr>
        <w:tc>
          <w:tcPr>
            <w:tcW w:w="2992" w:type="dxa"/>
          </w:tcPr>
          <w:p w:rsidR="00EE4021" w:rsidRPr="002354D0" w:rsidRDefault="00EE4021" w:rsidP="00EE4021">
            <w:pPr>
              <w:rPr>
                <w:rFonts w:cstheme="minorHAnsi"/>
                <w:b/>
                <w:sz w:val="22"/>
                <w:szCs w:val="22"/>
              </w:rPr>
            </w:pPr>
            <w:r w:rsidRPr="002354D0">
              <w:rPr>
                <w:rFonts w:cstheme="minorHAnsi"/>
                <w:sz w:val="22"/>
                <w:szCs w:val="22"/>
              </w:rPr>
              <w:t xml:space="preserve">Year 7 (2022-23): </w:t>
            </w:r>
          </w:p>
        </w:tc>
        <w:tc>
          <w:tcPr>
            <w:tcW w:w="4608" w:type="dxa"/>
          </w:tcPr>
          <w:p w:rsidR="00EE4021" w:rsidRPr="002354D0" w:rsidRDefault="00EE4021" w:rsidP="00EE4021">
            <w:pPr>
              <w:rPr>
                <w:rFonts w:cstheme="minorHAnsi"/>
                <w:b/>
                <w:sz w:val="22"/>
                <w:szCs w:val="22"/>
              </w:rPr>
            </w:pPr>
            <w:r w:rsidRPr="002354D0">
              <w:rPr>
                <w:rFonts w:cstheme="minorHAnsi"/>
                <w:sz w:val="22"/>
                <w:szCs w:val="22"/>
              </w:rPr>
              <w:t>Baseline + 39% Goal Progress</w:t>
            </w:r>
          </w:p>
        </w:tc>
      </w:tr>
      <w:tr w:rsidR="00EE4021" w:rsidRPr="00AD5E24" w:rsidTr="00EE4021">
        <w:trPr>
          <w:trHeight w:val="252"/>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8 (2023-24):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+ 46% Goal Progress</w:t>
            </w:r>
          </w:p>
        </w:tc>
      </w:tr>
      <w:tr w:rsidR="00EE4021" w:rsidRPr="00AD5E24" w:rsidTr="00EE4021">
        <w:trPr>
          <w:trHeight w:val="238"/>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9 (2024-25):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+ 53% Goal Progress</w:t>
            </w:r>
          </w:p>
        </w:tc>
      </w:tr>
      <w:tr w:rsidR="00EE4021" w:rsidRPr="00AD5E24" w:rsidTr="00EE4021">
        <w:trPr>
          <w:trHeight w:val="238"/>
        </w:trPr>
        <w:tc>
          <w:tcPr>
            <w:tcW w:w="2992" w:type="dxa"/>
          </w:tcPr>
          <w:p w:rsidR="00EE4021" w:rsidRPr="002354D0" w:rsidRDefault="00EE4021" w:rsidP="00EE4021">
            <w:pPr>
              <w:rPr>
                <w:rFonts w:cstheme="minorHAnsi"/>
                <w:sz w:val="22"/>
                <w:szCs w:val="22"/>
              </w:rPr>
            </w:pPr>
          </w:p>
        </w:tc>
        <w:tc>
          <w:tcPr>
            <w:tcW w:w="4608" w:type="dxa"/>
          </w:tcPr>
          <w:p w:rsidR="00EE4021" w:rsidRPr="002354D0" w:rsidRDefault="00EE4021" w:rsidP="00EE4021">
            <w:pPr>
              <w:rPr>
                <w:rFonts w:cstheme="minorHAnsi"/>
                <w:sz w:val="22"/>
                <w:szCs w:val="22"/>
              </w:rPr>
            </w:pPr>
          </w:p>
        </w:tc>
      </w:tr>
      <w:tr w:rsidR="00EE4021" w:rsidRPr="00AD5E24" w:rsidTr="00EE4021">
        <w:trPr>
          <w:trHeight w:val="252"/>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10 (2025-26):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+ 60% Goal Progress</w:t>
            </w:r>
          </w:p>
        </w:tc>
      </w:tr>
      <w:tr w:rsidR="00EE4021" w:rsidRPr="00AD5E24" w:rsidTr="00EE4021">
        <w:trPr>
          <w:trHeight w:val="238"/>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11 (2026-27):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+ 70% Goal Progress</w:t>
            </w:r>
          </w:p>
        </w:tc>
      </w:tr>
      <w:tr w:rsidR="00EE4021" w:rsidRPr="00AD5E24" w:rsidTr="00EE4021">
        <w:trPr>
          <w:trHeight w:val="252"/>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12 (2027-28):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+ 80% Goal Progress</w:t>
            </w:r>
          </w:p>
        </w:tc>
      </w:tr>
      <w:tr w:rsidR="00EE4021" w:rsidRPr="00AD5E24" w:rsidTr="00EE4021">
        <w:trPr>
          <w:trHeight w:val="238"/>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13 (2028-29): </w:t>
            </w:r>
          </w:p>
        </w:tc>
        <w:tc>
          <w:tcPr>
            <w:tcW w:w="4608" w:type="dxa"/>
          </w:tcPr>
          <w:p w:rsidR="00EE4021" w:rsidRPr="002354D0" w:rsidRDefault="00EE4021" w:rsidP="00EE4021">
            <w:pPr>
              <w:rPr>
                <w:rFonts w:cstheme="minorHAnsi"/>
                <w:sz w:val="22"/>
                <w:szCs w:val="22"/>
              </w:rPr>
            </w:pPr>
            <w:r w:rsidRPr="002354D0">
              <w:rPr>
                <w:rFonts w:cstheme="minorHAnsi"/>
                <w:sz w:val="22"/>
                <w:szCs w:val="22"/>
              </w:rPr>
              <w:t>Baseline + 90% Goal Progress</w:t>
            </w:r>
          </w:p>
        </w:tc>
      </w:tr>
      <w:tr w:rsidR="00EE4021" w:rsidRPr="00AD5E24" w:rsidTr="00EE4021">
        <w:trPr>
          <w:trHeight w:val="58"/>
        </w:trPr>
        <w:tc>
          <w:tcPr>
            <w:tcW w:w="2992" w:type="dxa"/>
          </w:tcPr>
          <w:p w:rsidR="00EE4021" w:rsidRPr="002354D0" w:rsidRDefault="00EE4021" w:rsidP="00EE4021">
            <w:pPr>
              <w:rPr>
                <w:rFonts w:cstheme="minorHAnsi"/>
                <w:sz w:val="22"/>
                <w:szCs w:val="22"/>
              </w:rPr>
            </w:pPr>
            <w:r w:rsidRPr="002354D0">
              <w:rPr>
                <w:rFonts w:cstheme="minorHAnsi"/>
                <w:sz w:val="22"/>
                <w:szCs w:val="22"/>
              </w:rPr>
              <w:t xml:space="preserve">Year 14 (2029-30): </w:t>
            </w:r>
          </w:p>
        </w:tc>
        <w:tc>
          <w:tcPr>
            <w:tcW w:w="4608" w:type="dxa"/>
          </w:tcPr>
          <w:p w:rsidR="00EE4021" w:rsidRPr="002354D0" w:rsidRDefault="00EE4021" w:rsidP="00EE4021">
            <w:pPr>
              <w:rPr>
                <w:rFonts w:cstheme="minorHAnsi"/>
                <w:sz w:val="22"/>
                <w:szCs w:val="22"/>
              </w:rPr>
            </w:pPr>
            <w:r w:rsidRPr="002354D0">
              <w:rPr>
                <w:rFonts w:cstheme="minorHAnsi"/>
                <w:sz w:val="22"/>
                <w:szCs w:val="22"/>
              </w:rPr>
              <w:t>GOAL: 80.0%</w:t>
            </w:r>
          </w:p>
        </w:tc>
      </w:tr>
    </w:tbl>
    <w:p w:rsidR="0008099B" w:rsidRDefault="0008099B" w:rsidP="00D25D08">
      <w:pPr>
        <w:pStyle w:val="ListParagraph"/>
        <w:ind w:left="0"/>
        <w:rPr>
          <w:rFonts w:cstheme="minorHAnsi"/>
          <w:sz w:val="22"/>
          <w:szCs w:val="22"/>
        </w:rPr>
      </w:pPr>
    </w:p>
    <w:p w:rsidR="00EE4021" w:rsidRDefault="00EE4021"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08099B" w:rsidRDefault="0008099B" w:rsidP="00D25D08">
      <w:pPr>
        <w:pStyle w:val="ListParagraph"/>
        <w:ind w:left="0"/>
        <w:rPr>
          <w:rFonts w:cstheme="minorHAnsi"/>
          <w:sz w:val="22"/>
          <w:szCs w:val="22"/>
        </w:rPr>
      </w:pPr>
    </w:p>
    <w:p w:rsidR="00D25D08" w:rsidRPr="002354D0" w:rsidRDefault="00D25D08" w:rsidP="00D25D08">
      <w:pPr>
        <w:pStyle w:val="ListParagraph"/>
        <w:ind w:left="0"/>
        <w:rPr>
          <w:rFonts w:cstheme="minorHAnsi"/>
          <w:sz w:val="22"/>
          <w:szCs w:val="22"/>
        </w:rPr>
      </w:pPr>
      <w:r w:rsidRPr="002354D0">
        <w:rPr>
          <w:rFonts w:cstheme="minorHAnsi"/>
          <w:sz w:val="22"/>
          <w:szCs w:val="22"/>
        </w:rPr>
        <w:t xml:space="preserve">The rest of School A’s </w:t>
      </w:r>
      <w:r w:rsidR="00145374" w:rsidRPr="002354D0">
        <w:rPr>
          <w:rFonts w:cstheme="minorHAnsi"/>
          <w:sz w:val="22"/>
          <w:szCs w:val="22"/>
        </w:rPr>
        <w:t xml:space="preserve">ELA Academic Achievement </w:t>
      </w:r>
      <w:r w:rsidR="002365D3">
        <w:rPr>
          <w:rFonts w:cstheme="minorHAnsi"/>
          <w:sz w:val="22"/>
          <w:szCs w:val="22"/>
        </w:rPr>
        <w:t>a</w:t>
      </w:r>
      <w:r w:rsidR="008A3B27">
        <w:rPr>
          <w:rFonts w:cstheme="minorHAnsi"/>
          <w:sz w:val="22"/>
          <w:szCs w:val="22"/>
        </w:rPr>
        <w:t>nnual</w:t>
      </w:r>
      <w:r w:rsidRPr="002354D0">
        <w:rPr>
          <w:rFonts w:cstheme="minorHAnsi"/>
          <w:sz w:val="22"/>
          <w:szCs w:val="22"/>
        </w:rPr>
        <w:t xml:space="preserve"> targets are listed below.</w:t>
      </w:r>
    </w:p>
    <w:tbl>
      <w:tblPr>
        <w:tblStyle w:val="TableGrid"/>
        <w:tblW w:w="10001" w:type="dxa"/>
        <w:tblLayout w:type="fixed"/>
        <w:tblLook w:val="04A0" w:firstRow="1" w:lastRow="0" w:firstColumn="1" w:lastColumn="0" w:noHBand="0" w:noVBand="1"/>
      </w:tblPr>
      <w:tblGrid>
        <w:gridCol w:w="666"/>
        <w:gridCol w:w="667"/>
        <w:gridCol w:w="667"/>
        <w:gridCol w:w="666"/>
        <w:gridCol w:w="667"/>
        <w:gridCol w:w="667"/>
        <w:gridCol w:w="667"/>
        <w:gridCol w:w="666"/>
        <w:gridCol w:w="667"/>
        <w:gridCol w:w="667"/>
        <w:gridCol w:w="667"/>
        <w:gridCol w:w="666"/>
        <w:gridCol w:w="667"/>
        <w:gridCol w:w="667"/>
        <w:gridCol w:w="667"/>
      </w:tblGrid>
      <w:tr w:rsidR="00D25D08" w:rsidRPr="00AD5E24" w:rsidTr="00DD2F40">
        <w:tc>
          <w:tcPr>
            <w:tcW w:w="666" w:type="dxa"/>
          </w:tcPr>
          <w:p w:rsidR="00D25D08" w:rsidRPr="002354D0" w:rsidRDefault="00D25D08" w:rsidP="002354D0">
            <w:pPr>
              <w:jc w:val="center"/>
              <w:rPr>
                <w:rFonts w:cstheme="minorHAnsi"/>
              </w:rPr>
            </w:pPr>
            <w:r w:rsidRPr="002354D0">
              <w:rPr>
                <w:rFonts w:cstheme="minorHAnsi"/>
              </w:rPr>
              <w:t>Base-line</w:t>
            </w:r>
          </w:p>
        </w:tc>
        <w:tc>
          <w:tcPr>
            <w:tcW w:w="667" w:type="dxa"/>
          </w:tcPr>
          <w:p w:rsidR="00D25D08" w:rsidRPr="002354D0" w:rsidRDefault="00D25D08" w:rsidP="002354D0">
            <w:pPr>
              <w:jc w:val="center"/>
              <w:rPr>
                <w:rFonts w:cstheme="minorHAnsi"/>
              </w:rPr>
            </w:pPr>
            <w:r w:rsidRPr="002354D0">
              <w:rPr>
                <w:rFonts w:cstheme="minorHAnsi"/>
              </w:rPr>
              <w:t>Year 1</w:t>
            </w:r>
          </w:p>
        </w:tc>
        <w:tc>
          <w:tcPr>
            <w:tcW w:w="667" w:type="dxa"/>
          </w:tcPr>
          <w:p w:rsidR="00D25D08" w:rsidRPr="002354D0" w:rsidRDefault="00D25D08" w:rsidP="002354D0">
            <w:pPr>
              <w:jc w:val="center"/>
              <w:rPr>
                <w:rFonts w:cstheme="minorHAnsi"/>
              </w:rPr>
            </w:pPr>
            <w:r w:rsidRPr="002354D0">
              <w:rPr>
                <w:rFonts w:cstheme="minorHAnsi"/>
              </w:rPr>
              <w:t>Year 2</w:t>
            </w:r>
          </w:p>
        </w:tc>
        <w:tc>
          <w:tcPr>
            <w:tcW w:w="666" w:type="dxa"/>
          </w:tcPr>
          <w:p w:rsidR="00D25D08" w:rsidRPr="002354D0" w:rsidRDefault="00D25D08" w:rsidP="002354D0">
            <w:pPr>
              <w:jc w:val="center"/>
              <w:rPr>
                <w:rFonts w:cstheme="minorHAnsi"/>
              </w:rPr>
            </w:pPr>
            <w:r w:rsidRPr="002354D0">
              <w:rPr>
                <w:rFonts w:cstheme="minorHAnsi"/>
              </w:rPr>
              <w:t>Year 3</w:t>
            </w:r>
          </w:p>
        </w:tc>
        <w:tc>
          <w:tcPr>
            <w:tcW w:w="667" w:type="dxa"/>
          </w:tcPr>
          <w:p w:rsidR="00D25D08" w:rsidRPr="002354D0" w:rsidRDefault="00D25D08" w:rsidP="002354D0">
            <w:pPr>
              <w:jc w:val="center"/>
              <w:rPr>
                <w:rFonts w:cstheme="minorHAnsi"/>
              </w:rPr>
            </w:pPr>
            <w:r w:rsidRPr="002354D0">
              <w:rPr>
                <w:rFonts w:cstheme="minorHAnsi"/>
              </w:rPr>
              <w:t>Year 4</w:t>
            </w:r>
          </w:p>
        </w:tc>
        <w:tc>
          <w:tcPr>
            <w:tcW w:w="667" w:type="dxa"/>
          </w:tcPr>
          <w:p w:rsidR="00D25D08" w:rsidRPr="002354D0" w:rsidRDefault="00D25D08" w:rsidP="002354D0">
            <w:pPr>
              <w:jc w:val="center"/>
              <w:rPr>
                <w:rFonts w:cstheme="minorHAnsi"/>
              </w:rPr>
            </w:pPr>
            <w:r w:rsidRPr="002354D0">
              <w:rPr>
                <w:rFonts w:cstheme="minorHAnsi"/>
              </w:rPr>
              <w:t>Year 5</w:t>
            </w:r>
          </w:p>
        </w:tc>
        <w:tc>
          <w:tcPr>
            <w:tcW w:w="667" w:type="dxa"/>
          </w:tcPr>
          <w:p w:rsidR="00D25D08" w:rsidRPr="002354D0" w:rsidRDefault="00D25D08" w:rsidP="002354D0">
            <w:pPr>
              <w:jc w:val="center"/>
              <w:rPr>
                <w:rFonts w:cstheme="minorHAnsi"/>
              </w:rPr>
            </w:pPr>
            <w:r w:rsidRPr="002354D0">
              <w:rPr>
                <w:rFonts w:cstheme="minorHAnsi"/>
              </w:rPr>
              <w:t>Year 6</w:t>
            </w:r>
          </w:p>
        </w:tc>
        <w:tc>
          <w:tcPr>
            <w:tcW w:w="666" w:type="dxa"/>
          </w:tcPr>
          <w:p w:rsidR="00D25D08" w:rsidRPr="002354D0" w:rsidRDefault="00D25D08" w:rsidP="002354D0">
            <w:pPr>
              <w:jc w:val="center"/>
              <w:rPr>
                <w:rFonts w:cstheme="minorHAnsi"/>
              </w:rPr>
            </w:pPr>
            <w:r w:rsidRPr="002354D0">
              <w:rPr>
                <w:rFonts w:cstheme="minorHAnsi"/>
              </w:rPr>
              <w:t>Year 7</w:t>
            </w:r>
          </w:p>
        </w:tc>
        <w:tc>
          <w:tcPr>
            <w:tcW w:w="667" w:type="dxa"/>
          </w:tcPr>
          <w:p w:rsidR="00D25D08" w:rsidRPr="002354D0" w:rsidRDefault="00D25D08" w:rsidP="002354D0">
            <w:pPr>
              <w:jc w:val="center"/>
              <w:rPr>
                <w:rFonts w:cstheme="minorHAnsi"/>
              </w:rPr>
            </w:pPr>
            <w:r w:rsidRPr="002354D0">
              <w:rPr>
                <w:rFonts w:cstheme="minorHAnsi"/>
              </w:rPr>
              <w:t>Year 8</w:t>
            </w:r>
          </w:p>
        </w:tc>
        <w:tc>
          <w:tcPr>
            <w:tcW w:w="667" w:type="dxa"/>
          </w:tcPr>
          <w:p w:rsidR="00D25D08" w:rsidRPr="002354D0" w:rsidRDefault="00D25D08" w:rsidP="002354D0">
            <w:pPr>
              <w:jc w:val="center"/>
              <w:rPr>
                <w:rFonts w:cstheme="minorHAnsi"/>
              </w:rPr>
            </w:pPr>
            <w:r w:rsidRPr="002354D0">
              <w:rPr>
                <w:rFonts w:cstheme="minorHAnsi"/>
              </w:rPr>
              <w:t>Year 9</w:t>
            </w:r>
          </w:p>
        </w:tc>
        <w:tc>
          <w:tcPr>
            <w:tcW w:w="667" w:type="dxa"/>
          </w:tcPr>
          <w:p w:rsidR="00D25D08" w:rsidRPr="002354D0" w:rsidRDefault="00D25D08" w:rsidP="002354D0">
            <w:pPr>
              <w:jc w:val="center"/>
              <w:rPr>
                <w:rFonts w:cstheme="minorHAnsi"/>
              </w:rPr>
            </w:pPr>
            <w:r w:rsidRPr="002354D0">
              <w:rPr>
                <w:rFonts w:cstheme="minorHAnsi"/>
              </w:rPr>
              <w:t>Year 10</w:t>
            </w:r>
          </w:p>
        </w:tc>
        <w:tc>
          <w:tcPr>
            <w:tcW w:w="666" w:type="dxa"/>
          </w:tcPr>
          <w:p w:rsidR="00D25D08" w:rsidRPr="002354D0" w:rsidRDefault="00D25D08" w:rsidP="002354D0">
            <w:pPr>
              <w:jc w:val="center"/>
              <w:rPr>
                <w:rFonts w:cstheme="minorHAnsi"/>
              </w:rPr>
            </w:pPr>
            <w:r w:rsidRPr="002354D0">
              <w:rPr>
                <w:rFonts w:cstheme="minorHAnsi"/>
              </w:rPr>
              <w:t>Year 11</w:t>
            </w:r>
          </w:p>
        </w:tc>
        <w:tc>
          <w:tcPr>
            <w:tcW w:w="667" w:type="dxa"/>
          </w:tcPr>
          <w:p w:rsidR="00D25D08" w:rsidRPr="002354D0" w:rsidRDefault="00D25D08" w:rsidP="002354D0">
            <w:pPr>
              <w:jc w:val="center"/>
              <w:rPr>
                <w:rFonts w:cstheme="minorHAnsi"/>
              </w:rPr>
            </w:pPr>
            <w:r w:rsidRPr="002354D0">
              <w:rPr>
                <w:rFonts w:cstheme="minorHAnsi"/>
              </w:rPr>
              <w:t>Year 12</w:t>
            </w:r>
          </w:p>
        </w:tc>
        <w:tc>
          <w:tcPr>
            <w:tcW w:w="667" w:type="dxa"/>
          </w:tcPr>
          <w:p w:rsidR="00D25D08" w:rsidRPr="002354D0" w:rsidRDefault="00D25D08" w:rsidP="002354D0">
            <w:pPr>
              <w:jc w:val="center"/>
              <w:rPr>
                <w:rFonts w:cstheme="minorHAnsi"/>
              </w:rPr>
            </w:pPr>
            <w:r w:rsidRPr="002354D0">
              <w:rPr>
                <w:rFonts w:cstheme="minorHAnsi"/>
              </w:rPr>
              <w:t>Year 13</w:t>
            </w:r>
          </w:p>
        </w:tc>
        <w:tc>
          <w:tcPr>
            <w:tcW w:w="667" w:type="dxa"/>
          </w:tcPr>
          <w:p w:rsidR="00D25D08" w:rsidRPr="002354D0" w:rsidRDefault="00D25D08" w:rsidP="002354D0">
            <w:pPr>
              <w:jc w:val="center"/>
              <w:rPr>
                <w:rFonts w:cstheme="minorHAnsi"/>
              </w:rPr>
            </w:pPr>
            <w:r w:rsidRPr="002354D0">
              <w:rPr>
                <w:rFonts w:cstheme="minorHAnsi"/>
              </w:rPr>
              <w:t>Year  14</w:t>
            </w:r>
          </w:p>
        </w:tc>
      </w:tr>
      <w:tr w:rsidR="00D25D08" w:rsidRPr="00AD5E24" w:rsidTr="00DD2F40">
        <w:tc>
          <w:tcPr>
            <w:tcW w:w="666" w:type="dxa"/>
          </w:tcPr>
          <w:p w:rsidR="00D25D08" w:rsidRPr="002354D0" w:rsidRDefault="00D25D08" w:rsidP="00DD2F40">
            <w:pPr>
              <w:rPr>
                <w:rFonts w:cstheme="minorHAnsi"/>
              </w:rPr>
            </w:pPr>
            <w:r w:rsidRPr="002354D0">
              <w:rPr>
                <w:rFonts w:cstheme="minorHAnsi"/>
              </w:rPr>
              <w:t>40.0</w:t>
            </w:r>
          </w:p>
        </w:tc>
        <w:tc>
          <w:tcPr>
            <w:tcW w:w="667" w:type="dxa"/>
          </w:tcPr>
          <w:p w:rsidR="00D25D08" w:rsidRPr="002354D0" w:rsidRDefault="00D25D08" w:rsidP="00DD2F40">
            <w:pPr>
              <w:rPr>
                <w:rFonts w:cstheme="minorHAnsi"/>
              </w:rPr>
            </w:pPr>
            <w:r w:rsidRPr="002354D0">
              <w:rPr>
                <w:rFonts w:cstheme="minorHAnsi"/>
              </w:rPr>
              <w:t>42.0</w:t>
            </w:r>
          </w:p>
        </w:tc>
        <w:tc>
          <w:tcPr>
            <w:tcW w:w="667" w:type="dxa"/>
          </w:tcPr>
          <w:p w:rsidR="00D25D08" w:rsidRPr="002354D0" w:rsidRDefault="00D25D08" w:rsidP="00DD2F40">
            <w:pPr>
              <w:rPr>
                <w:rFonts w:cstheme="minorHAnsi"/>
              </w:rPr>
            </w:pPr>
            <w:r w:rsidRPr="002354D0">
              <w:rPr>
                <w:rFonts w:cstheme="minorHAnsi"/>
              </w:rPr>
              <w:t>44.0</w:t>
            </w:r>
          </w:p>
        </w:tc>
        <w:tc>
          <w:tcPr>
            <w:tcW w:w="666" w:type="dxa"/>
          </w:tcPr>
          <w:p w:rsidR="00D25D08" w:rsidRPr="002354D0" w:rsidRDefault="00D25D08" w:rsidP="00DD2F40">
            <w:pPr>
              <w:rPr>
                <w:rFonts w:cstheme="minorHAnsi"/>
              </w:rPr>
            </w:pPr>
            <w:r w:rsidRPr="002354D0">
              <w:rPr>
                <w:rFonts w:cstheme="minorHAnsi"/>
              </w:rPr>
              <w:t>46.0</w:t>
            </w:r>
          </w:p>
        </w:tc>
        <w:tc>
          <w:tcPr>
            <w:tcW w:w="667" w:type="dxa"/>
          </w:tcPr>
          <w:p w:rsidR="00D25D08" w:rsidRPr="002354D0" w:rsidRDefault="00D25D08" w:rsidP="00DD2F40">
            <w:pPr>
              <w:rPr>
                <w:rFonts w:cstheme="minorHAnsi"/>
              </w:rPr>
            </w:pPr>
            <w:r w:rsidRPr="002354D0">
              <w:rPr>
                <w:rFonts w:cstheme="minorHAnsi"/>
              </w:rPr>
              <w:t>48.0</w:t>
            </w:r>
          </w:p>
        </w:tc>
        <w:tc>
          <w:tcPr>
            <w:tcW w:w="667" w:type="dxa"/>
          </w:tcPr>
          <w:p w:rsidR="00D25D08" w:rsidRPr="002354D0" w:rsidRDefault="00D25D08" w:rsidP="00DD2F40">
            <w:pPr>
              <w:rPr>
                <w:rFonts w:cstheme="minorHAnsi"/>
              </w:rPr>
            </w:pPr>
            <w:r w:rsidRPr="002354D0">
              <w:rPr>
                <w:rFonts w:cstheme="minorHAnsi"/>
              </w:rPr>
              <w:t>50.0</w:t>
            </w:r>
          </w:p>
        </w:tc>
        <w:tc>
          <w:tcPr>
            <w:tcW w:w="667" w:type="dxa"/>
          </w:tcPr>
          <w:p w:rsidR="00D25D08" w:rsidRPr="002354D0" w:rsidRDefault="00D25D08" w:rsidP="00DD2F40">
            <w:pPr>
              <w:rPr>
                <w:rFonts w:cstheme="minorHAnsi"/>
              </w:rPr>
            </w:pPr>
            <w:r w:rsidRPr="002354D0">
              <w:rPr>
                <w:rFonts w:cstheme="minorHAnsi"/>
              </w:rPr>
              <w:t>52.8</w:t>
            </w:r>
          </w:p>
        </w:tc>
        <w:tc>
          <w:tcPr>
            <w:tcW w:w="666" w:type="dxa"/>
          </w:tcPr>
          <w:p w:rsidR="00D25D08" w:rsidRPr="002354D0" w:rsidRDefault="00D25D08" w:rsidP="00DD2F40">
            <w:pPr>
              <w:rPr>
                <w:rFonts w:cstheme="minorHAnsi"/>
              </w:rPr>
            </w:pPr>
            <w:r w:rsidRPr="002354D0">
              <w:rPr>
                <w:rFonts w:cstheme="minorHAnsi"/>
              </w:rPr>
              <w:t>55.6</w:t>
            </w:r>
          </w:p>
        </w:tc>
        <w:tc>
          <w:tcPr>
            <w:tcW w:w="667" w:type="dxa"/>
          </w:tcPr>
          <w:p w:rsidR="00D25D08" w:rsidRPr="002354D0" w:rsidRDefault="00D25D08" w:rsidP="00DD2F40">
            <w:pPr>
              <w:rPr>
                <w:rFonts w:cstheme="minorHAnsi"/>
              </w:rPr>
            </w:pPr>
            <w:r w:rsidRPr="002354D0">
              <w:rPr>
                <w:rFonts w:cstheme="minorHAnsi"/>
              </w:rPr>
              <w:t>58.4</w:t>
            </w:r>
          </w:p>
        </w:tc>
        <w:tc>
          <w:tcPr>
            <w:tcW w:w="667" w:type="dxa"/>
          </w:tcPr>
          <w:p w:rsidR="00D25D08" w:rsidRPr="002354D0" w:rsidRDefault="00D25D08" w:rsidP="00DD2F40">
            <w:pPr>
              <w:rPr>
                <w:rFonts w:cstheme="minorHAnsi"/>
              </w:rPr>
            </w:pPr>
            <w:r w:rsidRPr="002354D0">
              <w:rPr>
                <w:rFonts w:cstheme="minorHAnsi"/>
              </w:rPr>
              <w:t>61.2</w:t>
            </w:r>
          </w:p>
        </w:tc>
        <w:tc>
          <w:tcPr>
            <w:tcW w:w="667" w:type="dxa"/>
          </w:tcPr>
          <w:p w:rsidR="00D25D08" w:rsidRPr="002354D0" w:rsidRDefault="00D25D08" w:rsidP="00DD2F40">
            <w:pPr>
              <w:rPr>
                <w:rFonts w:cstheme="minorHAnsi"/>
              </w:rPr>
            </w:pPr>
            <w:r w:rsidRPr="002354D0">
              <w:rPr>
                <w:rFonts w:cstheme="minorHAnsi"/>
              </w:rPr>
              <w:t>64.0</w:t>
            </w:r>
          </w:p>
        </w:tc>
        <w:tc>
          <w:tcPr>
            <w:tcW w:w="666" w:type="dxa"/>
          </w:tcPr>
          <w:p w:rsidR="00D25D08" w:rsidRPr="002354D0" w:rsidRDefault="00D25D08" w:rsidP="00DD2F40">
            <w:pPr>
              <w:rPr>
                <w:rFonts w:cstheme="minorHAnsi"/>
              </w:rPr>
            </w:pPr>
            <w:r w:rsidRPr="002354D0">
              <w:rPr>
                <w:rFonts w:cstheme="minorHAnsi"/>
              </w:rPr>
              <w:t>68.0</w:t>
            </w:r>
          </w:p>
        </w:tc>
        <w:tc>
          <w:tcPr>
            <w:tcW w:w="667" w:type="dxa"/>
          </w:tcPr>
          <w:p w:rsidR="00D25D08" w:rsidRPr="002354D0" w:rsidRDefault="00D25D08" w:rsidP="00DD2F40">
            <w:pPr>
              <w:rPr>
                <w:rFonts w:cstheme="minorHAnsi"/>
              </w:rPr>
            </w:pPr>
            <w:r w:rsidRPr="002354D0">
              <w:rPr>
                <w:rFonts w:cstheme="minorHAnsi"/>
              </w:rPr>
              <w:t>72.0</w:t>
            </w:r>
          </w:p>
        </w:tc>
        <w:tc>
          <w:tcPr>
            <w:tcW w:w="667" w:type="dxa"/>
          </w:tcPr>
          <w:p w:rsidR="00D25D08" w:rsidRPr="002354D0" w:rsidRDefault="00D25D08" w:rsidP="00DD2F40">
            <w:pPr>
              <w:rPr>
                <w:rFonts w:cstheme="minorHAnsi"/>
              </w:rPr>
            </w:pPr>
            <w:r w:rsidRPr="002354D0">
              <w:rPr>
                <w:rFonts w:cstheme="minorHAnsi"/>
              </w:rPr>
              <w:t>76.0</w:t>
            </w:r>
          </w:p>
        </w:tc>
        <w:tc>
          <w:tcPr>
            <w:tcW w:w="667" w:type="dxa"/>
          </w:tcPr>
          <w:p w:rsidR="00D25D08" w:rsidRPr="002354D0" w:rsidRDefault="00D25D08" w:rsidP="00DD2F40">
            <w:pPr>
              <w:rPr>
                <w:rFonts w:cstheme="minorHAnsi"/>
              </w:rPr>
            </w:pPr>
            <w:r w:rsidRPr="002354D0">
              <w:rPr>
                <w:rFonts w:cstheme="minorHAnsi"/>
              </w:rPr>
              <w:t>80.0</w:t>
            </w:r>
          </w:p>
        </w:tc>
      </w:tr>
    </w:tbl>
    <w:p w:rsidR="002F7015" w:rsidRDefault="002F7015" w:rsidP="0098621B">
      <w:pPr>
        <w:rPr>
          <w:rFonts w:cstheme="minorHAnsi"/>
        </w:rPr>
      </w:pPr>
    </w:p>
    <w:p w:rsidR="002F7015" w:rsidRDefault="002F7015">
      <w:r>
        <w:br w:type="page"/>
      </w:r>
    </w:p>
    <w:p w:rsidR="004F5098" w:rsidRPr="00AF7B02" w:rsidRDefault="002F7015" w:rsidP="00F96E8C">
      <w:pPr>
        <w:pStyle w:val="Heading2"/>
        <w:rPr>
          <w:sz w:val="24"/>
          <w:szCs w:val="24"/>
        </w:rPr>
      </w:pPr>
      <w:r w:rsidRPr="00AF7B02">
        <w:rPr>
          <w:caps w:val="0"/>
          <w:sz w:val="24"/>
          <w:szCs w:val="24"/>
        </w:rPr>
        <w:t>A</w:t>
      </w:r>
      <w:r w:rsidR="00F96E8C" w:rsidRPr="00AF7B02">
        <w:rPr>
          <w:caps w:val="0"/>
          <w:sz w:val="24"/>
          <w:szCs w:val="24"/>
        </w:rPr>
        <w:t>cademic</w:t>
      </w:r>
      <w:r w:rsidRPr="00AF7B02">
        <w:rPr>
          <w:sz w:val="24"/>
          <w:szCs w:val="24"/>
        </w:rPr>
        <w:t xml:space="preserve"> </w:t>
      </w:r>
      <w:r w:rsidRPr="00AF7B02">
        <w:rPr>
          <w:caps w:val="0"/>
          <w:sz w:val="24"/>
          <w:szCs w:val="24"/>
        </w:rPr>
        <w:t>P</w:t>
      </w:r>
      <w:r w:rsidR="00F96E8C" w:rsidRPr="00AF7B02">
        <w:rPr>
          <w:caps w:val="0"/>
          <w:sz w:val="24"/>
          <w:szCs w:val="24"/>
        </w:rPr>
        <w:t>rogress</w:t>
      </w:r>
      <w:r w:rsidRPr="00AF7B02">
        <w:rPr>
          <w:sz w:val="24"/>
          <w:szCs w:val="24"/>
        </w:rPr>
        <w:t xml:space="preserve"> </w:t>
      </w:r>
    </w:p>
    <w:p w:rsidR="00991F59" w:rsidRPr="00347076" w:rsidRDefault="00AD5E24" w:rsidP="002354D0">
      <w:pPr>
        <w:pStyle w:val="Heading3"/>
        <w:rPr>
          <w:sz w:val="24"/>
          <w:szCs w:val="24"/>
        </w:rPr>
      </w:pPr>
      <w:r w:rsidRPr="00347076">
        <w:rPr>
          <w:sz w:val="24"/>
          <w:szCs w:val="24"/>
        </w:rPr>
        <w:t>Definition</w:t>
      </w:r>
    </w:p>
    <w:p w:rsidR="00CB2A9F" w:rsidRPr="002354D0" w:rsidRDefault="00CB2A9F" w:rsidP="00CB2A9F">
      <w:pPr>
        <w:rPr>
          <w:rFonts w:cstheme="minorHAnsi"/>
          <w:sz w:val="22"/>
          <w:szCs w:val="22"/>
        </w:rPr>
      </w:pPr>
      <w:r w:rsidRPr="002354D0">
        <w:rPr>
          <w:rFonts w:cstheme="minorHAnsi"/>
          <w:sz w:val="22"/>
          <w:szCs w:val="22"/>
        </w:rPr>
        <w:t xml:space="preserve">Academic progress </w:t>
      </w:r>
      <w:r w:rsidR="00AD5E24" w:rsidRPr="002354D0">
        <w:rPr>
          <w:rFonts w:cstheme="minorHAnsi"/>
          <w:sz w:val="22"/>
          <w:szCs w:val="22"/>
        </w:rPr>
        <w:t>is</w:t>
      </w:r>
      <w:r w:rsidRPr="002354D0">
        <w:rPr>
          <w:rFonts w:cstheme="minorHAnsi"/>
          <w:sz w:val="22"/>
          <w:szCs w:val="22"/>
        </w:rPr>
        <w:t xml:space="preserve"> measured with schools’ median SGP on statewide ELA</w:t>
      </w:r>
      <w:r w:rsidR="00AD5E24" w:rsidRPr="002354D0">
        <w:rPr>
          <w:rFonts w:cstheme="minorHAnsi"/>
          <w:sz w:val="22"/>
          <w:szCs w:val="22"/>
        </w:rPr>
        <w:t>/L</w:t>
      </w:r>
      <w:r w:rsidRPr="002354D0">
        <w:rPr>
          <w:rFonts w:cstheme="minorHAnsi"/>
          <w:sz w:val="22"/>
          <w:szCs w:val="22"/>
        </w:rPr>
        <w:t xml:space="preserve"> and mathematics assessments.  As the SGP describes a student’s academic progress from one year to the next compared to other students with similar prior test scores (academic peers), NJDOE uses SGP to show growth from the prior year for ELA</w:t>
      </w:r>
      <w:r w:rsidR="00AD5E24">
        <w:rPr>
          <w:rFonts w:cstheme="minorHAnsi"/>
          <w:sz w:val="22"/>
          <w:szCs w:val="22"/>
        </w:rPr>
        <w:t>/L</w:t>
      </w:r>
      <w:r w:rsidRPr="002354D0">
        <w:rPr>
          <w:rFonts w:cstheme="minorHAnsi"/>
          <w:sz w:val="22"/>
          <w:szCs w:val="22"/>
        </w:rPr>
        <w:t xml:space="preserve"> in grades four through eight and for mathematics in grades four through seven. Mathematics in grades </w:t>
      </w:r>
      <w:r w:rsidR="00AD5E24">
        <w:rPr>
          <w:rFonts w:cstheme="minorHAnsi"/>
          <w:sz w:val="22"/>
          <w:szCs w:val="22"/>
        </w:rPr>
        <w:t>four</w:t>
      </w:r>
      <w:r w:rsidR="00AD5E24" w:rsidRPr="002354D0">
        <w:rPr>
          <w:rFonts w:cstheme="minorHAnsi"/>
          <w:sz w:val="22"/>
          <w:szCs w:val="22"/>
        </w:rPr>
        <w:t xml:space="preserve"> </w:t>
      </w:r>
      <w:r w:rsidRPr="002354D0">
        <w:rPr>
          <w:rFonts w:cstheme="minorHAnsi"/>
          <w:sz w:val="22"/>
          <w:szCs w:val="22"/>
        </w:rPr>
        <w:t>through seven is used because a significant portion of eighth graders take Algebra I rather than the eighth</w:t>
      </w:r>
      <w:r w:rsidR="00AD5E24">
        <w:rPr>
          <w:rFonts w:cstheme="minorHAnsi"/>
          <w:sz w:val="22"/>
          <w:szCs w:val="22"/>
        </w:rPr>
        <w:t>-</w:t>
      </w:r>
      <w:r w:rsidRPr="002354D0">
        <w:rPr>
          <w:rFonts w:cstheme="minorHAnsi"/>
          <w:sz w:val="22"/>
          <w:szCs w:val="22"/>
        </w:rPr>
        <w:t xml:space="preserve">grade mathematics assessment. SGPs are calculated based on the performance of all students in all applicable tested grades and the performance of student </w:t>
      </w:r>
      <w:r w:rsidR="008A3B27">
        <w:rPr>
          <w:rFonts w:cstheme="minorHAnsi"/>
          <w:sz w:val="22"/>
          <w:szCs w:val="22"/>
        </w:rPr>
        <w:t>groups</w:t>
      </w:r>
      <w:r w:rsidRPr="002354D0">
        <w:rPr>
          <w:rFonts w:cstheme="minorHAnsi"/>
          <w:sz w:val="22"/>
          <w:szCs w:val="22"/>
        </w:rPr>
        <w:t xml:space="preserve">.  </w:t>
      </w:r>
    </w:p>
    <w:p w:rsidR="00991F59" w:rsidRPr="00347076" w:rsidRDefault="00AD5E24" w:rsidP="002354D0">
      <w:pPr>
        <w:pStyle w:val="Heading3"/>
        <w:rPr>
          <w:sz w:val="24"/>
          <w:szCs w:val="24"/>
        </w:rPr>
      </w:pPr>
      <w:r w:rsidRPr="00347076">
        <w:rPr>
          <w:sz w:val="24"/>
          <w:szCs w:val="24"/>
        </w:rPr>
        <w:t>Purpose</w:t>
      </w:r>
    </w:p>
    <w:p w:rsidR="00991F59" w:rsidRPr="002354D0" w:rsidRDefault="00AD5E24" w:rsidP="00991F59">
      <w:pPr>
        <w:pStyle w:val="ListParagraph"/>
        <w:ind w:left="0"/>
        <w:rPr>
          <w:rFonts w:cstheme="minorHAnsi"/>
          <w:sz w:val="22"/>
          <w:szCs w:val="22"/>
        </w:rPr>
      </w:pPr>
      <w:r w:rsidRPr="002354D0">
        <w:rPr>
          <w:rFonts w:cstheme="minorHAnsi"/>
          <w:sz w:val="22"/>
          <w:szCs w:val="22"/>
        </w:rPr>
        <w:t>A</w:t>
      </w:r>
      <w:r w:rsidR="00CB2A9F" w:rsidRPr="002354D0">
        <w:rPr>
          <w:rFonts w:cstheme="minorHAnsi"/>
          <w:sz w:val="22"/>
          <w:szCs w:val="22"/>
        </w:rPr>
        <w:t>cademic progress indicate</w:t>
      </w:r>
      <w:r w:rsidRPr="002354D0">
        <w:rPr>
          <w:rFonts w:cstheme="minorHAnsi"/>
          <w:sz w:val="22"/>
          <w:szCs w:val="22"/>
        </w:rPr>
        <w:t>s</w:t>
      </w:r>
      <w:r w:rsidR="00CB2A9F" w:rsidRPr="002354D0">
        <w:rPr>
          <w:rFonts w:cstheme="minorHAnsi"/>
          <w:sz w:val="22"/>
          <w:szCs w:val="22"/>
        </w:rPr>
        <w:t xml:space="preserve"> whether schools are successfully implementing strategies and interventions that foster individual students’ academic growth, as measured by performance on statewide assessments relative to their performance on the prior year statewide assessment (i.e. student growth percentiles).</w:t>
      </w:r>
      <w:r w:rsidR="002365D3">
        <w:rPr>
          <w:rFonts w:cstheme="minorHAnsi"/>
          <w:sz w:val="22"/>
          <w:szCs w:val="22"/>
        </w:rPr>
        <w:t xml:space="preserve">  While the achievement indicator informs schools and districts of the percentage of students who have learned what is expected for their grade, SGPs enable schools to determine which student</w:t>
      </w:r>
      <w:r w:rsidR="00B07A84">
        <w:rPr>
          <w:rFonts w:cstheme="minorHAnsi"/>
          <w:sz w:val="22"/>
          <w:szCs w:val="22"/>
        </w:rPr>
        <w:t>s</w:t>
      </w:r>
      <w:r w:rsidR="002365D3">
        <w:rPr>
          <w:rFonts w:cstheme="minorHAnsi"/>
          <w:sz w:val="22"/>
          <w:szCs w:val="22"/>
        </w:rPr>
        <w:t xml:space="preserve"> at every level of proficiency have made progress from year to year</w:t>
      </w:r>
      <w:r w:rsidR="0018585F">
        <w:rPr>
          <w:rFonts w:cstheme="minorHAnsi"/>
          <w:sz w:val="22"/>
          <w:szCs w:val="22"/>
        </w:rPr>
        <w:t xml:space="preserve"> when compared to their academic peers.</w:t>
      </w:r>
      <w:r w:rsidR="002365D3">
        <w:rPr>
          <w:rFonts w:cstheme="minorHAnsi"/>
          <w:sz w:val="22"/>
          <w:szCs w:val="22"/>
        </w:rPr>
        <w:t xml:space="preserve"> </w:t>
      </w:r>
    </w:p>
    <w:p w:rsidR="00AD5E24" w:rsidRPr="00347076" w:rsidRDefault="00AD5E24" w:rsidP="002354D0">
      <w:pPr>
        <w:pStyle w:val="Heading3"/>
        <w:rPr>
          <w:sz w:val="24"/>
          <w:szCs w:val="24"/>
        </w:rPr>
      </w:pPr>
      <w:r w:rsidRPr="00347076">
        <w:rPr>
          <w:sz w:val="24"/>
          <w:szCs w:val="24"/>
        </w:rPr>
        <w:t xml:space="preserve">Calculation </w:t>
      </w:r>
    </w:p>
    <w:p w:rsidR="00DD2F40" w:rsidRPr="002354D0" w:rsidRDefault="00991F59" w:rsidP="00991F59">
      <w:pPr>
        <w:pStyle w:val="ListParagraph"/>
        <w:ind w:left="0"/>
        <w:rPr>
          <w:rFonts w:cstheme="minorHAnsi"/>
          <w:sz w:val="22"/>
          <w:szCs w:val="22"/>
        </w:rPr>
      </w:pPr>
      <w:r w:rsidRPr="002354D0">
        <w:rPr>
          <w:rFonts w:cstheme="minorHAnsi"/>
          <w:sz w:val="22"/>
          <w:szCs w:val="22"/>
        </w:rPr>
        <w:t xml:space="preserve">Calculations </w:t>
      </w:r>
      <w:r w:rsidR="00CB2A9F" w:rsidRPr="002354D0">
        <w:rPr>
          <w:rFonts w:cstheme="minorHAnsi"/>
          <w:sz w:val="22"/>
          <w:szCs w:val="22"/>
        </w:rPr>
        <w:t>reflect the median SGP (mSGP) for</w:t>
      </w:r>
      <w:r w:rsidR="001D53BA" w:rsidRPr="002354D0">
        <w:rPr>
          <w:rFonts w:cstheme="minorHAnsi"/>
          <w:sz w:val="22"/>
          <w:szCs w:val="22"/>
        </w:rPr>
        <w:t xml:space="preserve"> all</w:t>
      </w:r>
      <w:r w:rsidRPr="002354D0">
        <w:rPr>
          <w:rFonts w:cstheme="minorHAnsi"/>
          <w:sz w:val="22"/>
          <w:szCs w:val="22"/>
        </w:rPr>
        <w:t xml:space="preserve"> students </w:t>
      </w:r>
      <w:r w:rsidR="001D53BA" w:rsidRPr="002354D0">
        <w:rPr>
          <w:rFonts w:cstheme="minorHAnsi"/>
          <w:sz w:val="22"/>
          <w:szCs w:val="22"/>
        </w:rPr>
        <w:t>and for students in each subgroup.  Academic Progress is calculated separately for ELA and for mathematics.</w:t>
      </w:r>
      <w:r w:rsidR="00AD5E24">
        <w:rPr>
          <w:rFonts w:cstheme="minorHAnsi"/>
          <w:sz w:val="22"/>
          <w:szCs w:val="22"/>
        </w:rPr>
        <w:t xml:space="preserve"> </w:t>
      </w:r>
      <w:r w:rsidR="001D53BA" w:rsidRPr="002354D0">
        <w:rPr>
          <w:rFonts w:cstheme="minorHAnsi"/>
          <w:sz w:val="22"/>
          <w:szCs w:val="22"/>
        </w:rPr>
        <w:t>More information about</w:t>
      </w:r>
      <w:r w:rsidR="00AC0F78">
        <w:rPr>
          <w:rFonts w:cstheme="minorHAnsi"/>
          <w:sz w:val="22"/>
          <w:szCs w:val="22"/>
        </w:rPr>
        <w:t xml:space="preserve"> the</w:t>
      </w:r>
      <w:r w:rsidR="001D53BA" w:rsidRPr="002354D0">
        <w:rPr>
          <w:rFonts w:cstheme="minorHAnsi"/>
          <w:sz w:val="22"/>
          <w:szCs w:val="22"/>
        </w:rPr>
        <w:t xml:space="preserve"> m</w:t>
      </w:r>
      <w:r w:rsidR="001F19C4">
        <w:rPr>
          <w:rFonts w:cstheme="minorHAnsi"/>
          <w:sz w:val="22"/>
          <w:szCs w:val="22"/>
        </w:rPr>
        <w:t xml:space="preserve">edian </w:t>
      </w:r>
      <w:r w:rsidR="001D53BA" w:rsidRPr="002354D0">
        <w:rPr>
          <w:rFonts w:cstheme="minorHAnsi"/>
          <w:sz w:val="22"/>
          <w:szCs w:val="22"/>
        </w:rPr>
        <w:t xml:space="preserve">SGP can be found on the </w:t>
      </w:r>
      <w:hyperlink r:id="rId14" w:history="1">
        <w:r w:rsidR="001D53BA" w:rsidRPr="002354D0">
          <w:rPr>
            <w:rStyle w:val="Hyperlink"/>
            <w:rFonts w:cstheme="minorHAnsi"/>
            <w:sz w:val="22"/>
            <w:szCs w:val="22"/>
          </w:rPr>
          <w:t>NJDOE website</w:t>
        </w:r>
      </w:hyperlink>
      <w:r w:rsidR="00AD5E24" w:rsidRPr="002354D0">
        <w:rPr>
          <w:rFonts w:cstheme="minorHAnsi"/>
          <w:sz w:val="22"/>
          <w:szCs w:val="22"/>
        </w:rPr>
        <w:t xml:space="preserve">. </w:t>
      </w:r>
    </w:p>
    <w:p w:rsidR="00AD5E24" w:rsidRPr="00347076" w:rsidRDefault="002F7015" w:rsidP="002354D0">
      <w:pPr>
        <w:pStyle w:val="Heading3"/>
        <w:rPr>
          <w:sz w:val="24"/>
          <w:szCs w:val="24"/>
        </w:rPr>
      </w:pPr>
      <w:r w:rsidRPr="00347076">
        <w:rPr>
          <w:sz w:val="24"/>
          <w:szCs w:val="24"/>
        </w:rPr>
        <w:t xml:space="preserve">Long-Term Goal and </w:t>
      </w:r>
      <w:r w:rsidR="008A3B27" w:rsidRPr="00347076">
        <w:rPr>
          <w:sz w:val="24"/>
          <w:szCs w:val="24"/>
        </w:rPr>
        <w:t xml:space="preserve">Annual </w:t>
      </w:r>
      <w:r w:rsidR="00AD5E24" w:rsidRPr="00347076">
        <w:rPr>
          <w:sz w:val="24"/>
          <w:szCs w:val="24"/>
        </w:rPr>
        <w:t>Target</w:t>
      </w:r>
    </w:p>
    <w:p w:rsidR="006A7CB6" w:rsidRDefault="002F7015" w:rsidP="002354D0">
      <w:pPr>
        <w:pStyle w:val="ListParagraph"/>
        <w:ind w:left="0"/>
        <w:rPr>
          <w:rFonts w:cstheme="minorHAnsi"/>
          <w:sz w:val="22"/>
          <w:szCs w:val="22"/>
        </w:rPr>
      </w:pPr>
      <w:r w:rsidRPr="002354D0">
        <w:rPr>
          <w:rFonts w:cstheme="minorHAnsi"/>
          <w:sz w:val="22"/>
          <w:szCs w:val="22"/>
        </w:rPr>
        <w:t xml:space="preserve">The academic progress indicator is unique in that its long-term goal and its </w:t>
      </w:r>
      <w:r w:rsidR="00967291">
        <w:rPr>
          <w:rFonts w:cstheme="minorHAnsi"/>
          <w:sz w:val="22"/>
          <w:szCs w:val="22"/>
        </w:rPr>
        <w:t>annual</w:t>
      </w:r>
      <w:r>
        <w:rPr>
          <w:rFonts w:cstheme="minorHAnsi"/>
          <w:sz w:val="22"/>
          <w:szCs w:val="22"/>
        </w:rPr>
        <w:t xml:space="preserve"> </w:t>
      </w:r>
      <w:r w:rsidRPr="002354D0">
        <w:rPr>
          <w:rFonts w:cstheme="minorHAnsi"/>
          <w:sz w:val="22"/>
          <w:szCs w:val="22"/>
        </w:rPr>
        <w:t xml:space="preserve">targets are </w:t>
      </w:r>
      <w:r w:rsidR="0018585F">
        <w:rPr>
          <w:rFonts w:cstheme="minorHAnsi"/>
          <w:sz w:val="22"/>
          <w:szCs w:val="22"/>
        </w:rPr>
        <w:t xml:space="preserve">the </w:t>
      </w:r>
      <w:r w:rsidR="009D0CC3">
        <w:rPr>
          <w:rFonts w:cstheme="minorHAnsi"/>
          <w:sz w:val="22"/>
          <w:szCs w:val="22"/>
        </w:rPr>
        <w:t>same.</w:t>
      </w:r>
      <w:r w:rsidR="009D0CC3" w:rsidRPr="00A04594">
        <w:rPr>
          <w:rFonts w:cstheme="minorHAnsi"/>
          <w:sz w:val="22"/>
          <w:szCs w:val="22"/>
        </w:rPr>
        <w:t xml:space="preserve"> Since</w:t>
      </w:r>
      <w:r w:rsidRPr="00A04594">
        <w:rPr>
          <w:rFonts w:cstheme="minorHAnsi"/>
          <w:sz w:val="22"/>
          <w:szCs w:val="22"/>
        </w:rPr>
        <w:t xml:space="preserve"> SGP is a normative measure in which students’ progress is compared to their academic peers</w:t>
      </w:r>
      <w:r>
        <w:rPr>
          <w:rFonts w:cstheme="minorHAnsi"/>
          <w:sz w:val="22"/>
          <w:szCs w:val="22"/>
        </w:rPr>
        <w:t xml:space="preserve"> on an annual basis</w:t>
      </w:r>
      <w:r w:rsidRPr="00A04594">
        <w:rPr>
          <w:rFonts w:cstheme="minorHAnsi"/>
          <w:sz w:val="22"/>
          <w:szCs w:val="22"/>
        </w:rPr>
        <w:t xml:space="preserve">, </w:t>
      </w:r>
      <w:r w:rsidR="00974087">
        <w:rPr>
          <w:rFonts w:cstheme="minorHAnsi"/>
          <w:sz w:val="22"/>
          <w:szCs w:val="22"/>
        </w:rPr>
        <w:t xml:space="preserve">the annual target is the same for each student group each year.  </w:t>
      </w:r>
      <w:r w:rsidR="00676D88" w:rsidRPr="002354D0">
        <w:rPr>
          <w:rFonts w:cstheme="minorHAnsi"/>
          <w:sz w:val="22"/>
          <w:szCs w:val="22"/>
        </w:rPr>
        <w:t xml:space="preserve">The </w:t>
      </w:r>
      <w:r>
        <w:rPr>
          <w:rFonts w:cstheme="minorHAnsi"/>
          <w:sz w:val="22"/>
          <w:szCs w:val="22"/>
        </w:rPr>
        <w:t xml:space="preserve">long-term goal and </w:t>
      </w:r>
      <w:r w:rsidR="00967291">
        <w:rPr>
          <w:rFonts w:cstheme="minorHAnsi"/>
          <w:sz w:val="22"/>
          <w:szCs w:val="22"/>
        </w:rPr>
        <w:t>annual</w:t>
      </w:r>
      <w:r w:rsidRPr="002354D0">
        <w:rPr>
          <w:rFonts w:cstheme="minorHAnsi"/>
          <w:sz w:val="22"/>
          <w:szCs w:val="22"/>
        </w:rPr>
        <w:t xml:space="preserve"> </w:t>
      </w:r>
      <w:r w:rsidR="00676D88" w:rsidRPr="002354D0">
        <w:rPr>
          <w:rFonts w:cstheme="minorHAnsi"/>
          <w:sz w:val="22"/>
          <w:szCs w:val="22"/>
        </w:rPr>
        <w:t xml:space="preserve">target for </w:t>
      </w:r>
      <w:r>
        <w:rPr>
          <w:rFonts w:cstheme="minorHAnsi"/>
          <w:sz w:val="22"/>
          <w:szCs w:val="22"/>
        </w:rPr>
        <w:t xml:space="preserve">academic progress </w:t>
      </w:r>
      <w:r w:rsidR="005E3DA3">
        <w:rPr>
          <w:rFonts w:cstheme="minorHAnsi"/>
          <w:sz w:val="22"/>
          <w:szCs w:val="22"/>
        </w:rPr>
        <w:t xml:space="preserve">for </w:t>
      </w:r>
      <w:r w:rsidR="000378DE">
        <w:rPr>
          <w:rFonts w:cstheme="minorHAnsi"/>
          <w:sz w:val="22"/>
          <w:szCs w:val="22"/>
        </w:rPr>
        <w:t xml:space="preserve">all schools and </w:t>
      </w:r>
      <w:r w:rsidR="00974087">
        <w:rPr>
          <w:rFonts w:cstheme="minorHAnsi"/>
          <w:sz w:val="22"/>
          <w:szCs w:val="22"/>
        </w:rPr>
        <w:t xml:space="preserve">student </w:t>
      </w:r>
      <w:r w:rsidR="000378DE">
        <w:rPr>
          <w:rFonts w:cstheme="minorHAnsi"/>
          <w:sz w:val="22"/>
          <w:szCs w:val="22"/>
        </w:rPr>
        <w:t>groups</w:t>
      </w:r>
      <w:r w:rsidR="00676D88" w:rsidRPr="002354D0">
        <w:rPr>
          <w:rFonts w:cstheme="minorHAnsi"/>
          <w:sz w:val="22"/>
          <w:szCs w:val="22"/>
        </w:rPr>
        <w:t xml:space="preserve"> is a median SGP of 40. </w:t>
      </w:r>
      <w:r w:rsidR="005E3DA3">
        <w:rPr>
          <w:rFonts w:cstheme="minorHAnsi"/>
          <w:sz w:val="22"/>
          <w:szCs w:val="22"/>
        </w:rPr>
        <w:t xml:space="preserve">A </w:t>
      </w:r>
      <w:r w:rsidR="00AD348E">
        <w:rPr>
          <w:rFonts w:cstheme="minorHAnsi"/>
          <w:sz w:val="22"/>
          <w:szCs w:val="22"/>
        </w:rPr>
        <w:t>median</w:t>
      </w:r>
      <w:r w:rsidR="005E3DA3">
        <w:rPr>
          <w:rFonts w:cstheme="minorHAnsi"/>
          <w:sz w:val="22"/>
          <w:szCs w:val="22"/>
        </w:rPr>
        <w:t xml:space="preserve"> </w:t>
      </w:r>
      <w:r w:rsidR="006A7CB6" w:rsidRPr="002354D0">
        <w:rPr>
          <w:rFonts w:cstheme="minorHAnsi"/>
          <w:sz w:val="22"/>
          <w:szCs w:val="22"/>
        </w:rPr>
        <w:t>SGP</w:t>
      </w:r>
      <w:r w:rsidR="00AD348E">
        <w:rPr>
          <w:rFonts w:cstheme="minorHAnsi"/>
          <w:sz w:val="22"/>
          <w:szCs w:val="22"/>
        </w:rPr>
        <w:t xml:space="preserve"> of</w:t>
      </w:r>
      <w:r w:rsidR="006A7CB6" w:rsidRPr="002354D0">
        <w:rPr>
          <w:rFonts w:cstheme="minorHAnsi"/>
          <w:sz w:val="22"/>
          <w:szCs w:val="22"/>
        </w:rPr>
        <w:t xml:space="preserve"> 60</w:t>
      </w:r>
      <w:r>
        <w:rPr>
          <w:rFonts w:cstheme="minorHAnsi"/>
          <w:sz w:val="22"/>
          <w:szCs w:val="22"/>
        </w:rPr>
        <w:t xml:space="preserve"> or</w:t>
      </w:r>
      <w:r w:rsidR="005E3DA3">
        <w:rPr>
          <w:rFonts w:cstheme="minorHAnsi"/>
          <w:sz w:val="22"/>
          <w:szCs w:val="22"/>
        </w:rPr>
        <w:t xml:space="preserve"> more</w:t>
      </w:r>
      <w:r>
        <w:rPr>
          <w:rFonts w:cstheme="minorHAnsi"/>
          <w:sz w:val="22"/>
          <w:szCs w:val="22"/>
        </w:rPr>
        <w:t xml:space="preserve"> means a </w:t>
      </w:r>
      <w:r w:rsidR="008A3B27">
        <w:rPr>
          <w:rFonts w:cstheme="minorHAnsi"/>
          <w:sz w:val="22"/>
          <w:szCs w:val="22"/>
        </w:rPr>
        <w:t>student group</w:t>
      </w:r>
      <w:r w:rsidR="00AD348E">
        <w:rPr>
          <w:rFonts w:cstheme="minorHAnsi"/>
          <w:sz w:val="22"/>
          <w:szCs w:val="22"/>
        </w:rPr>
        <w:t xml:space="preserve"> in a school or district</w:t>
      </w:r>
      <w:r>
        <w:rPr>
          <w:rFonts w:cstheme="minorHAnsi"/>
          <w:sz w:val="22"/>
          <w:szCs w:val="22"/>
        </w:rPr>
        <w:t xml:space="preserve"> “exceeds </w:t>
      </w:r>
      <w:r w:rsidR="00E94EA3">
        <w:rPr>
          <w:rFonts w:cstheme="minorHAnsi"/>
          <w:sz w:val="22"/>
          <w:szCs w:val="22"/>
        </w:rPr>
        <w:t>standard</w:t>
      </w:r>
      <w:r>
        <w:rPr>
          <w:rFonts w:cstheme="minorHAnsi"/>
          <w:sz w:val="22"/>
          <w:szCs w:val="22"/>
        </w:rPr>
        <w:t>” for academic progress</w:t>
      </w:r>
      <w:r w:rsidR="006A7CB6" w:rsidRPr="002354D0">
        <w:rPr>
          <w:rFonts w:cstheme="minorHAnsi"/>
          <w:sz w:val="22"/>
          <w:szCs w:val="22"/>
        </w:rPr>
        <w:t xml:space="preserve">.  </w:t>
      </w:r>
      <w:r>
        <w:rPr>
          <w:rFonts w:cstheme="minorHAnsi"/>
          <w:sz w:val="22"/>
          <w:szCs w:val="22"/>
        </w:rPr>
        <w:t xml:space="preserve">Schools and student groups with </w:t>
      </w:r>
      <w:r w:rsidR="005E3DA3">
        <w:rPr>
          <w:rFonts w:cstheme="minorHAnsi"/>
          <w:sz w:val="22"/>
          <w:szCs w:val="22"/>
        </w:rPr>
        <w:t>m</w:t>
      </w:r>
      <w:r w:rsidR="006A7CB6" w:rsidRPr="002354D0">
        <w:rPr>
          <w:rFonts w:cstheme="minorHAnsi"/>
          <w:sz w:val="22"/>
          <w:szCs w:val="22"/>
        </w:rPr>
        <w:t xml:space="preserve">edian SGPs between 40 and </w:t>
      </w:r>
      <w:r>
        <w:rPr>
          <w:rFonts w:cstheme="minorHAnsi"/>
          <w:sz w:val="22"/>
          <w:szCs w:val="22"/>
        </w:rPr>
        <w:t>59.5</w:t>
      </w:r>
      <w:r w:rsidRPr="002354D0">
        <w:rPr>
          <w:rFonts w:cstheme="minorHAnsi"/>
          <w:sz w:val="22"/>
          <w:szCs w:val="22"/>
        </w:rPr>
        <w:t xml:space="preserve"> </w:t>
      </w:r>
      <w:r w:rsidR="00EB571E">
        <w:rPr>
          <w:rFonts w:cstheme="minorHAnsi"/>
          <w:sz w:val="22"/>
          <w:szCs w:val="22"/>
        </w:rPr>
        <w:t xml:space="preserve">will be designated </w:t>
      </w:r>
      <w:r w:rsidR="00B30864">
        <w:rPr>
          <w:rFonts w:cstheme="minorHAnsi"/>
          <w:sz w:val="22"/>
          <w:szCs w:val="22"/>
        </w:rPr>
        <w:t>as “met</w:t>
      </w:r>
      <w:r w:rsidR="00EB571E">
        <w:rPr>
          <w:rFonts w:cstheme="minorHAnsi"/>
          <w:sz w:val="22"/>
          <w:szCs w:val="22"/>
        </w:rPr>
        <w:t xml:space="preserve"> </w:t>
      </w:r>
      <w:r>
        <w:rPr>
          <w:rFonts w:cstheme="minorHAnsi"/>
          <w:sz w:val="22"/>
          <w:szCs w:val="22"/>
        </w:rPr>
        <w:t>standard</w:t>
      </w:r>
      <w:r w:rsidR="00EB571E">
        <w:rPr>
          <w:rFonts w:cstheme="minorHAnsi"/>
          <w:sz w:val="22"/>
          <w:szCs w:val="22"/>
        </w:rPr>
        <w:t>”</w:t>
      </w:r>
      <w:r>
        <w:rPr>
          <w:rFonts w:cstheme="minorHAnsi"/>
          <w:sz w:val="22"/>
          <w:szCs w:val="22"/>
        </w:rPr>
        <w:t xml:space="preserve"> </w:t>
      </w:r>
      <w:r w:rsidR="006A7CB6" w:rsidRPr="002354D0">
        <w:rPr>
          <w:rFonts w:cstheme="minorHAnsi"/>
          <w:sz w:val="22"/>
          <w:szCs w:val="22"/>
        </w:rPr>
        <w:t xml:space="preserve">while </w:t>
      </w:r>
      <w:r w:rsidR="00AC0F78">
        <w:rPr>
          <w:rFonts w:cstheme="minorHAnsi"/>
          <w:sz w:val="22"/>
          <w:szCs w:val="22"/>
        </w:rPr>
        <w:t>the</w:t>
      </w:r>
      <w:r>
        <w:rPr>
          <w:rFonts w:cstheme="minorHAnsi"/>
          <w:sz w:val="22"/>
          <w:szCs w:val="22"/>
        </w:rPr>
        <w:t xml:space="preserve"> </w:t>
      </w:r>
      <w:r w:rsidR="00AC0F78">
        <w:rPr>
          <w:rFonts w:cstheme="minorHAnsi"/>
          <w:sz w:val="22"/>
          <w:szCs w:val="22"/>
        </w:rPr>
        <w:t>median S</w:t>
      </w:r>
      <w:r w:rsidR="006A7CB6" w:rsidRPr="002354D0">
        <w:rPr>
          <w:rFonts w:cstheme="minorHAnsi"/>
          <w:sz w:val="22"/>
          <w:szCs w:val="22"/>
        </w:rPr>
        <w:t>GP below 40 indicate</w:t>
      </w:r>
      <w:r w:rsidR="00CA030E">
        <w:rPr>
          <w:rFonts w:cstheme="minorHAnsi"/>
          <w:sz w:val="22"/>
          <w:szCs w:val="22"/>
        </w:rPr>
        <w:t>s</w:t>
      </w:r>
      <w:r>
        <w:rPr>
          <w:rFonts w:cstheme="minorHAnsi"/>
          <w:sz w:val="22"/>
          <w:szCs w:val="22"/>
        </w:rPr>
        <w:t xml:space="preserve"> a </w:t>
      </w:r>
      <w:r w:rsidR="008A3B27">
        <w:rPr>
          <w:rFonts w:cstheme="minorHAnsi"/>
          <w:sz w:val="22"/>
          <w:szCs w:val="22"/>
        </w:rPr>
        <w:t>school/student</w:t>
      </w:r>
      <w:r>
        <w:rPr>
          <w:rFonts w:cstheme="minorHAnsi"/>
          <w:sz w:val="22"/>
          <w:szCs w:val="22"/>
        </w:rPr>
        <w:t xml:space="preserve"> group has </w:t>
      </w:r>
      <w:r w:rsidR="00EB571E">
        <w:rPr>
          <w:rFonts w:cstheme="minorHAnsi"/>
          <w:sz w:val="22"/>
          <w:szCs w:val="22"/>
        </w:rPr>
        <w:t>“</w:t>
      </w:r>
      <w:r>
        <w:rPr>
          <w:rFonts w:cstheme="minorHAnsi"/>
          <w:sz w:val="22"/>
          <w:szCs w:val="22"/>
        </w:rPr>
        <w:t>not met</w:t>
      </w:r>
      <w:r w:rsidR="00EB571E">
        <w:rPr>
          <w:rFonts w:cstheme="minorHAnsi"/>
          <w:sz w:val="22"/>
          <w:szCs w:val="22"/>
        </w:rPr>
        <w:t xml:space="preserve"> standard” </w:t>
      </w:r>
      <w:r>
        <w:rPr>
          <w:rFonts w:cstheme="minorHAnsi"/>
          <w:sz w:val="22"/>
          <w:szCs w:val="22"/>
        </w:rPr>
        <w:t>for academic progress</w:t>
      </w:r>
      <w:r w:rsidR="005E3DA3">
        <w:rPr>
          <w:rFonts w:cstheme="minorHAnsi"/>
          <w:sz w:val="22"/>
          <w:szCs w:val="22"/>
        </w:rPr>
        <w:t xml:space="preserve"> in the specified content area</w:t>
      </w:r>
      <w:r>
        <w:rPr>
          <w:rFonts w:cstheme="minorHAnsi"/>
          <w:sz w:val="22"/>
          <w:szCs w:val="22"/>
        </w:rPr>
        <w:t xml:space="preserve">. </w:t>
      </w:r>
    </w:p>
    <w:p w:rsidR="00AD5E24" w:rsidRDefault="00AD5E24" w:rsidP="009D0CC3">
      <w:pPr>
        <w:pStyle w:val="ListParagraph"/>
        <w:ind w:left="0"/>
        <w:rPr>
          <w:rFonts w:cstheme="minorHAnsi"/>
          <w:sz w:val="22"/>
          <w:szCs w:val="22"/>
        </w:rPr>
      </w:pPr>
    </w:p>
    <w:p w:rsidR="00AD5E24" w:rsidRDefault="00AD5E24" w:rsidP="009D0CC3">
      <w:pPr>
        <w:pStyle w:val="ListParagraph"/>
        <w:ind w:left="0"/>
        <w:rPr>
          <w:rFonts w:cstheme="minorHAnsi"/>
          <w:sz w:val="22"/>
          <w:szCs w:val="22"/>
        </w:rPr>
      </w:pPr>
    </w:p>
    <w:p w:rsidR="00EA6F60" w:rsidRDefault="00EA6F60" w:rsidP="009D0CC3">
      <w:pPr>
        <w:pStyle w:val="ListParagraph"/>
        <w:ind w:left="0"/>
        <w:rPr>
          <w:rFonts w:cstheme="minorHAnsi"/>
          <w:sz w:val="22"/>
          <w:szCs w:val="22"/>
        </w:rPr>
      </w:pPr>
    </w:p>
    <w:p w:rsidR="00EA6F60" w:rsidRDefault="00EA6F60" w:rsidP="009D0CC3">
      <w:pPr>
        <w:pStyle w:val="ListParagraph"/>
        <w:ind w:left="0"/>
        <w:rPr>
          <w:rFonts w:cstheme="minorHAnsi"/>
          <w:sz w:val="22"/>
          <w:szCs w:val="22"/>
        </w:rPr>
      </w:pPr>
    </w:p>
    <w:p w:rsidR="009D0CC3" w:rsidRDefault="009D0CC3" w:rsidP="009D0CC3">
      <w:pPr>
        <w:pStyle w:val="ListParagraph"/>
        <w:ind w:left="0"/>
        <w:rPr>
          <w:rFonts w:cstheme="minorHAnsi"/>
          <w:sz w:val="22"/>
          <w:szCs w:val="22"/>
        </w:rPr>
      </w:pPr>
    </w:p>
    <w:p w:rsidR="007C3F6A" w:rsidRPr="00AF7B02" w:rsidRDefault="002F7015" w:rsidP="00912345">
      <w:pPr>
        <w:pStyle w:val="Heading2"/>
        <w:rPr>
          <w:sz w:val="24"/>
          <w:szCs w:val="24"/>
        </w:rPr>
      </w:pPr>
      <w:r w:rsidRPr="00AF7B02">
        <w:rPr>
          <w:sz w:val="24"/>
          <w:szCs w:val="24"/>
        </w:rPr>
        <w:t>G</w:t>
      </w:r>
      <w:r w:rsidR="00F96E8C" w:rsidRPr="00AF7B02">
        <w:rPr>
          <w:caps w:val="0"/>
          <w:sz w:val="24"/>
          <w:szCs w:val="24"/>
        </w:rPr>
        <w:t>raduation</w:t>
      </w:r>
      <w:r w:rsidRPr="00AF7B02">
        <w:rPr>
          <w:sz w:val="24"/>
          <w:szCs w:val="24"/>
        </w:rPr>
        <w:t xml:space="preserve"> </w:t>
      </w:r>
      <w:r w:rsidRPr="00AF7B02">
        <w:rPr>
          <w:caps w:val="0"/>
          <w:sz w:val="24"/>
          <w:szCs w:val="24"/>
        </w:rPr>
        <w:t>Rate</w:t>
      </w:r>
    </w:p>
    <w:p w:rsidR="00DE7C4F" w:rsidRPr="00347076" w:rsidRDefault="00AD5E24" w:rsidP="002354D0">
      <w:pPr>
        <w:pStyle w:val="Heading3"/>
        <w:rPr>
          <w:sz w:val="24"/>
          <w:szCs w:val="24"/>
        </w:rPr>
      </w:pPr>
      <w:r w:rsidRPr="00347076">
        <w:rPr>
          <w:sz w:val="24"/>
          <w:szCs w:val="24"/>
        </w:rPr>
        <w:t xml:space="preserve">Definition </w:t>
      </w:r>
    </w:p>
    <w:p w:rsidR="00DE7C4F" w:rsidRPr="002354D0" w:rsidRDefault="00DE7C4F" w:rsidP="002354D0">
      <w:pPr>
        <w:pStyle w:val="ListParagraph"/>
        <w:ind w:left="0"/>
        <w:rPr>
          <w:rFonts w:cstheme="minorHAnsi"/>
          <w:sz w:val="22"/>
          <w:szCs w:val="22"/>
        </w:rPr>
      </w:pPr>
      <w:r w:rsidRPr="002354D0">
        <w:rPr>
          <w:rFonts w:cstheme="minorHAnsi"/>
          <w:sz w:val="22"/>
          <w:szCs w:val="22"/>
        </w:rPr>
        <w:t xml:space="preserve">Pursuant to 1111(c)(4)(B)(iii)(I)(bb) of </w:t>
      </w:r>
      <w:r w:rsidRPr="002354D0">
        <w:rPr>
          <w:rFonts w:cstheme="minorHAnsi"/>
          <w:i/>
          <w:sz w:val="22"/>
          <w:szCs w:val="22"/>
        </w:rPr>
        <w:t>ESSA</w:t>
      </w:r>
      <w:r w:rsidRPr="002354D0">
        <w:rPr>
          <w:rFonts w:cstheme="minorHAnsi"/>
          <w:sz w:val="22"/>
          <w:szCs w:val="22"/>
        </w:rPr>
        <w:t xml:space="preserve">, graduation rates </w:t>
      </w:r>
      <w:r w:rsidRPr="009D0CC3">
        <w:rPr>
          <w:rFonts w:cstheme="minorHAnsi"/>
          <w:i/>
          <w:sz w:val="22"/>
          <w:szCs w:val="22"/>
        </w:rPr>
        <w:t xml:space="preserve">must </w:t>
      </w:r>
      <w:r w:rsidRPr="002354D0">
        <w:rPr>
          <w:rFonts w:cstheme="minorHAnsi"/>
          <w:sz w:val="22"/>
          <w:szCs w:val="22"/>
        </w:rPr>
        <w:t xml:space="preserve">reflect the percentage of students who graduate within four years of entering ninth grade (“the four-year adjusted cohort graduation rate”) and </w:t>
      </w:r>
      <w:r w:rsidR="005E3DA3" w:rsidRPr="009D0CC3">
        <w:rPr>
          <w:rFonts w:cstheme="minorHAnsi"/>
          <w:sz w:val="22"/>
          <w:szCs w:val="22"/>
        </w:rPr>
        <w:t>may</w:t>
      </w:r>
      <w:r w:rsidR="005E3DA3">
        <w:rPr>
          <w:rFonts w:cstheme="minorHAnsi"/>
          <w:sz w:val="22"/>
          <w:szCs w:val="22"/>
        </w:rPr>
        <w:t xml:space="preserve"> reflect</w:t>
      </w:r>
      <w:r w:rsidRPr="002354D0">
        <w:rPr>
          <w:rFonts w:cstheme="minorHAnsi"/>
          <w:sz w:val="22"/>
          <w:szCs w:val="22"/>
        </w:rPr>
        <w:t xml:space="preserve"> an extended-year adjusted cohort graduation rate. At the strong request of stakeholders, NJDOE is </w:t>
      </w:r>
      <w:r w:rsidR="005E3DA3">
        <w:rPr>
          <w:rFonts w:cstheme="minorHAnsi"/>
          <w:sz w:val="22"/>
          <w:szCs w:val="22"/>
        </w:rPr>
        <w:t>exercising this option and</w:t>
      </w:r>
      <w:r w:rsidR="005E3DA3" w:rsidRPr="002354D0">
        <w:rPr>
          <w:rFonts w:cstheme="minorHAnsi"/>
          <w:sz w:val="22"/>
          <w:szCs w:val="22"/>
        </w:rPr>
        <w:t xml:space="preserve"> </w:t>
      </w:r>
      <w:r w:rsidRPr="002354D0">
        <w:rPr>
          <w:rFonts w:cstheme="minorHAnsi"/>
          <w:sz w:val="22"/>
          <w:szCs w:val="22"/>
        </w:rPr>
        <w:t>including in the graduation rate indicator the percentage of students who graduate within five years of entering ninth grade.</w:t>
      </w:r>
      <w:r w:rsidR="000378DE">
        <w:rPr>
          <w:rFonts w:cstheme="minorHAnsi"/>
          <w:sz w:val="22"/>
          <w:szCs w:val="22"/>
        </w:rPr>
        <w:t xml:space="preserve"> The four</w:t>
      </w:r>
      <w:r w:rsidR="002F7015">
        <w:rPr>
          <w:rFonts w:cstheme="minorHAnsi"/>
          <w:sz w:val="22"/>
          <w:szCs w:val="22"/>
        </w:rPr>
        <w:t>-year</w:t>
      </w:r>
      <w:r w:rsidR="000378DE">
        <w:rPr>
          <w:rFonts w:cstheme="minorHAnsi"/>
          <w:sz w:val="22"/>
          <w:szCs w:val="22"/>
        </w:rPr>
        <w:t xml:space="preserve"> and five</w:t>
      </w:r>
      <w:r w:rsidR="002F7015">
        <w:rPr>
          <w:rFonts w:cstheme="minorHAnsi"/>
          <w:sz w:val="22"/>
          <w:szCs w:val="22"/>
        </w:rPr>
        <w:t>-</w:t>
      </w:r>
      <w:r w:rsidR="000378DE">
        <w:rPr>
          <w:rFonts w:cstheme="minorHAnsi"/>
          <w:sz w:val="22"/>
          <w:szCs w:val="22"/>
        </w:rPr>
        <w:t xml:space="preserve">year graduation rates will be weighted equally in the final summative rating. </w:t>
      </w:r>
      <w:r w:rsidRPr="002354D0">
        <w:rPr>
          <w:rFonts w:cstheme="minorHAnsi"/>
          <w:sz w:val="22"/>
          <w:szCs w:val="22"/>
        </w:rPr>
        <w:t>Including the five-year graduation rate allows New Jersey to maintain high standards for all students while recognizing it is important for some students to take additional time to master academic standards.</w:t>
      </w:r>
    </w:p>
    <w:p w:rsidR="00DE7C4F" w:rsidRPr="009A2B1E" w:rsidRDefault="00DE7C4F" w:rsidP="00DE7C4F">
      <w:pPr>
        <w:pStyle w:val="ListParagraph"/>
        <w:ind w:left="180"/>
        <w:rPr>
          <w:rFonts w:asciiTheme="majorHAnsi" w:hAnsiTheme="majorHAnsi"/>
          <w:sz w:val="22"/>
          <w:szCs w:val="22"/>
        </w:rPr>
      </w:pPr>
    </w:p>
    <w:p w:rsidR="00D52929" w:rsidRDefault="00D52929" w:rsidP="002354D0">
      <w:pPr>
        <w:pStyle w:val="Heading3"/>
      </w:pPr>
      <w:r>
        <w:t>P</w:t>
      </w:r>
      <w:r w:rsidRPr="00347076">
        <w:rPr>
          <w:sz w:val="24"/>
          <w:szCs w:val="24"/>
        </w:rPr>
        <w:t xml:space="preserve">urpose </w:t>
      </w:r>
    </w:p>
    <w:p w:rsidR="00DE7C4F" w:rsidRPr="002354D0" w:rsidRDefault="00D52929" w:rsidP="002354D0">
      <w:pPr>
        <w:pStyle w:val="ListParagraph"/>
        <w:ind w:left="0"/>
        <w:rPr>
          <w:rFonts w:cstheme="minorHAnsi"/>
          <w:sz w:val="22"/>
          <w:szCs w:val="22"/>
        </w:rPr>
      </w:pPr>
      <w:r w:rsidRPr="002354D0">
        <w:rPr>
          <w:rFonts w:cstheme="minorHAnsi"/>
          <w:sz w:val="22"/>
          <w:szCs w:val="22"/>
        </w:rPr>
        <w:t>The graduation rate of a school is an indicator of w</w:t>
      </w:r>
      <w:r w:rsidR="00DE7C4F" w:rsidRPr="002354D0">
        <w:rPr>
          <w:rFonts w:cstheme="minorHAnsi"/>
          <w:sz w:val="22"/>
          <w:szCs w:val="22"/>
        </w:rPr>
        <w:t xml:space="preserve">hether school districts are monitoring student progress toward graduation and implementing </w:t>
      </w:r>
      <w:r w:rsidRPr="002354D0">
        <w:rPr>
          <w:rFonts w:cstheme="minorHAnsi"/>
          <w:sz w:val="22"/>
          <w:szCs w:val="22"/>
        </w:rPr>
        <w:t xml:space="preserve">the necessary </w:t>
      </w:r>
      <w:r w:rsidR="00DE7C4F" w:rsidRPr="002354D0">
        <w:rPr>
          <w:rFonts w:cstheme="minorHAnsi"/>
          <w:sz w:val="22"/>
          <w:szCs w:val="22"/>
        </w:rPr>
        <w:t xml:space="preserve">best practices </w:t>
      </w:r>
      <w:r w:rsidRPr="002354D0">
        <w:rPr>
          <w:rFonts w:cstheme="minorHAnsi"/>
          <w:sz w:val="22"/>
          <w:szCs w:val="22"/>
        </w:rPr>
        <w:t xml:space="preserve">and interventions </w:t>
      </w:r>
      <w:r w:rsidR="00DE7C4F" w:rsidRPr="002354D0">
        <w:rPr>
          <w:rFonts w:cstheme="minorHAnsi"/>
          <w:sz w:val="22"/>
          <w:szCs w:val="22"/>
        </w:rPr>
        <w:t>to facilitate students’ successful completion of high school within four and five years.</w:t>
      </w:r>
    </w:p>
    <w:p w:rsidR="00DE7C4F" w:rsidRPr="009A2B1E" w:rsidRDefault="00DE7C4F" w:rsidP="00DE7C4F">
      <w:pPr>
        <w:pStyle w:val="ListParagraph"/>
        <w:ind w:left="180"/>
        <w:rPr>
          <w:rFonts w:asciiTheme="majorHAnsi" w:hAnsiTheme="majorHAnsi"/>
          <w:sz w:val="22"/>
          <w:szCs w:val="22"/>
        </w:rPr>
      </w:pPr>
    </w:p>
    <w:p w:rsidR="00D52929" w:rsidRPr="00347076" w:rsidRDefault="00D52929" w:rsidP="002354D0">
      <w:pPr>
        <w:pStyle w:val="Heading3"/>
        <w:rPr>
          <w:sz w:val="24"/>
          <w:szCs w:val="24"/>
        </w:rPr>
      </w:pPr>
      <w:r w:rsidRPr="00347076">
        <w:rPr>
          <w:sz w:val="24"/>
          <w:szCs w:val="24"/>
        </w:rPr>
        <w:t>Calculation</w:t>
      </w:r>
    </w:p>
    <w:p w:rsidR="00DE7C4F" w:rsidRPr="002354D0" w:rsidRDefault="00D52929" w:rsidP="002354D0">
      <w:pPr>
        <w:pStyle w:val="ListParagraph"/>
        <w:ind w:left="0"/>
        <w:rPr>
          <w:rFonts w:cstheme="minorHAnsi"/>
          <w:sz w:val="22"/>
          <w:szCs w:val="22"/>
        </w:rPr>
      </w:pPr>
      <w:r w:rsidRPr="002354D0">
        <w:rPr>
          <w:rFonts w:cstheme="minorHAnsi"/>
          <w:sz w:val="22"/>
          <w:szCs w:val="22"/>
        </w:rPr>
        <w:t>The calculation of the four</w:t>
      </w:r>
      <w:r w:rsidR="00DE7C4F" w:rsidRPr="002354D0">
        <w:rPr>
          <w:rFonts w:cstheme="minorHAnsi"/>
          <w:sz w:val="22"/>
          <w:szCs w:val="22"/>
        </w:rPr>
        <w:t xml:space="preserve">-year and </w:t>
      </w:r>
      <w:r w:rsidRPr="002354D0">
        <w:rPr>
          <w:rFonts w:cstheme="minorHAnsi"/>
          <w:sz w:val="22"/>
          <w:szCs w:val="22"/>
        </w:rPr>
        <w:t>five</w:t>
      </w:r>
      <w:r w:rsidR="00DE7C4F" w:rsidRPr="002354D0">
        <w:rPr>
          <w:rFonts w:cstheme="minorHAnsi"/>
          <w:sz w:val="22"/>
          <w:szCs w:val="22"/>
        </w:rPr>
        <w:t xml:space="preserve">-year graduation rates </w:t>
      </w:r>
      <w:r w:rsidR="00F86AF7">
        <w:rPr>
          <w:rFonts w:cstheme="minorHAnsi"/>
          <w:sz w:val="22"/>
          <w:szCs w:val="22"/>
        </w:rPr>
        <w:t>(1 yr. or 2 yr. lagged data respectively)</w:t>
      </w:r>
      <w:r w:rsidR="00F86AF7" w:rsidRPr="00D52929">
        <w:rPr>
          <w:rFonts w:cstheme="minorHAnsi"/>
          <w:sz w:val="22"/>
          <w:szCs w:val="22"/>
        </w:rPr>
        <w:t xml:space="preserve"> are</w:t>
      </w:r>
      <w:r w:rsidRPr="002354D0">
        <w:rPr>
          <w:rFonts w:cstheme="minorHAnsi"/>
          <w:sz w:val="22"/>
          <w:szCs w:val="22"/>
        </w:rPr>
        <w:t xml:space="preserve"> </w:t>
      </w:r>
      <w:r w:rsidR="00DE7C4F" w:rsidRPr="002354D0">
        <w:rPr>
          <w:rFonts w:cstheme="minorHAnsi"/>
          <w:sz w:val="22"/>
          <w:szCs w:val="22"/>
        </w:rPr>
        <w:t>based on the adjusted cohort graduation rate calculation methodology.  Graduation rates are calculated for each district, each school, and each subgroup.</w:t>
      </w:r>
      <w:r w:rsidR="000510E9" w:rsidRPr="002354D0">
        <w:rPr>
          <w:rFonts w:cstheme="minorHAnsi"/>
          <w:sz w:val="22"/>
          <w:szCs w:val="22"/>
        </w:rPr>
        <w:t xml:space="preserve">  </w:t>
      </w:r>
      <w:r w:rsidR="00DE7C4F" w:rsidRPr="002354D0">
        <w:rPr>
          <w:rFonts w:cstheme="minorHAnsi"/>
          <w:sz w:val="22"/>
          <w:szCs w:val="22"/>
        </w:rPr>
        <w:t xml:space="preserve">More information about the adjusted cohort graduation rate calculation can be found on the </w:t>
      </w:r>
      <w:hyperlink r:id="rId15" w:history="1">
        <w:r w:rsidR="00DE7C4F" w:rsidRPr="002354D0">
          <w:rPr>
            <w:rStyle w:val="Hyperlink"/>
            <w:rFonts w:cstheme="minorHAnsi"/>
            <w:sz w:val="22"/>
            <w:szCs w:val="22"/>
          </w:rPr>
          <w:t>NJDOE website</w:t>
        </w:r>
      </w:hyperlink>
      <w:r w:rsidRPr="002354D0">
        <w:rPr>
          <w:rFonts w:cstheme="minorHAnsi"/>
          <w:sz w:val="22"/>
          <w:szCs w:val="22"/>
        </w:rPr>
        <w:t>.</w:t>
      </w:r>
    </w:p>
    <w:p w:rsidR="000510E9" w:rsidRPr="009A2B1E" w:rsidRDefault="000510E9" w:rsidP="00DE7C4F">
      <w:pPr>
        <w:pStyle w:val="ListParagraph"/>
        <w:ind w:left="180"/>
        <w:rPr>
          <w:rFonts w:asciiTheme="majorHAnsi" w:hAnsiTheme="majorHAnsi"/>
          <w:sz w:val="22"/>
          <w:szCs w:val="22"/>
        </w:rPr>
      </w:pPr>
    </w:p>
    <w:p w:rsidR="00D52929" w:rsidRPr="00347076" w:rsidRDefault="00D52929" w:rsidP="002354D0">
      <w:pPr>
        <w:pStyle w:val="Heading3"/>
        <w:rPr>
          <w:sz w:val="24"/>
          <w:szCs w:val="24"/>
        </w:rPr>
      </w:pPr>
      <w:r w:rsidRPr="00347076">
        <w:rPr>
          <w:sz w:val="24"/>
          <w:szCs w:val="24"/>
        </w:rPr>
        <w:t>Long-Term Goal</w:t>
      </w:r>
    </w:p>
    <w:p w:rsidR="000510E9" w:rsidRPr="002354D0" w:rsidRDefault="000378DE" w:rsidP="002354D0">
      <w:pPr>
        <w:pStyle w:val="ListParagraph"/>
        <w:ind w:left="0"/>
        <w:rPr>
          <w:rFonts w:cstheme="minorHAnsi"/>
          <w:sz w:val="22"/>
          <w:szCs w:val="22"/>
        </w:rPr>
      </w:pPr>
      <w:r w:rsidRPr="00F35412">
        <w:rPr>
          <w:rFonts w:cstheme="minorHAnsi"/>
          <w:sz w:val="22"/>
          <w:szCs w:val="22"/>
        </w:rPr>
        <w:t xml:space="preserve">New Jersey’s approved </w:t>
      </w:r>
      <w:r w:rsidRPr="00CA030E">
        <w:rPr>
          <w:rFonts w:cstheme="minorHAnsi"/>
          <w:i/>
          <w:sz w:val="22"/>
          <w:szCs w:val="22"/>
        </w:rPr>
        <w:t>ESSA</w:t>
      </w:r>
      <w:r w:rsidRPr="00F35412">
        <w:rPr>
          <w:rFonts w:cstheme="minorHAnsi"/>
          <w:sz w:val="22"/>
          <w:szCs w:val="22"/>
        </w:rPr>
        <w:t xml:space="preserve"> plan states that </w:t>
      </w:r>
      <w:r w:rsidRPr="00F82E01">
        <w:rPr>
          <w:rFonts w:cstheme="minorHAnsi"/>
          <w:sz w:val="22"/>
          <w:szCs w:val="22"/>
        </w:rPr>
        <w:t>b</w:t>
      </w:r>
      <w:r w:rsidRPr="00F35412">
        <w:rPr>
          <w:rFonts w:cstheme="minorHAnsi"/>
          <w:sz w:val="22"/>
          <w:szCs w:val="22"/>
        </w:rPr>
        <w:t xml:space="preserve">y </w:t>
      </w:r>
      <w:r w:rsidR="000510E9" w:rsidRPr="002354D0">
        <w:rPr>
          <w:rFonts w:cstheme="minorHAnsi"/>
          <w:sz w:val="22"/>
          <w:szCs w:val="22"/>
        </w:rPr>
        <w:t>2030, at least 95</w:t>
      </w:r>
      <w:r w:rsidR="009D4EA7">
        <w:rPr>
          <w:rFonts w:cstheme="minorHAnsi"/>
          <w:sz w:val="22"/>
          <w:szCs w:val="22"/>
        </w:rPr>
        <w:t>%</w:t>
      </w:r>
      <w:r w:rsidR="000510E9" w:rsidRPr="002354D0">
        <w:rPr>
          <w:rFonts w:cstheme="minorHAnsi"/>
          <w:sz w:val="22"/>
          <w:szCs w:val="22"/>
        </w:rPr>
        <w:t xml:space="preserve"> of all students and at least 95</w:t>
      </w:r>
      <w:r w:rsidR="009D4EA7">
        <w:rPr>
          <w:rFonts w:cstheme="minorHAnsi"/>
          <w:sz w:val="22"/>
          <w:szCs w:val="22"/>
        </w:rPr>
        <w:t>%</w:t>
      </w:r>
      <w:r w:rsidR="000510E9" w:rsidRPr="002354D0">
        <w:rPr>
          <w:rFonts w:cstheme="minorHAnsi"/>
          <w:sz w:val="22"/>
          <w:szCs w:val="22"/>
        </w:rPr>
        <w:t xml:space="preserve"> of students in each </w:t>
      </w:r>
      <w:r w:rsidR="00CA030E">
        <w:rPr>
          <w:rFonts w:cstheme="minorHAnsi"/>
          <w:sz w:val="22"/>
          <w:szCs w:val="22"/>
        </w:rPr>
        <w:t>student group</w:t>
      </w:r>
      <w:r w:rsidR="00CA030E" w:rsidRPr="002354D0">
        <w:rPr>
          <w:rFonts w:cstheme="minorHAnsi"/>
          <w:sz w:val="22"/>
          <w:szCs w:val="22"/>
        </w:rPr>
        <w:t xml:space="preserve"> </w:t>
      </w:r>
      <w:r w:rsidR="000510E9" w:rsidRPr="002354D0">
        <w:rPr>
          <w:rFonts w:cstheme="minorHAnsi"/>
          <w:sz w:val="22"/>
          <w:szCs w:val="22"/>
        </w:rPr>
        <w:t>will graduate within four years of entering ninth grade.  In addition, at least 96</w:t>
      </w:r>
      <w:r w:rsidR="009D4EA7">
        <w:rPr>
          <w:rFonts w:cstheme="minorHAnsi"/>
          <w:sz w:val="22"/>
          <w:szCs w:val="22"/>
        </w:rPr>
        <w:t>%</w:t>
      </w:r>
      <w:r w:rsidR="000510E9" w:rsidRPr="002354D0">
        <w:rPr>
          <w:rFonts w:cstheme="minorHAnsi"/>
          <w:sz w:val="22"/>
          <w:szCs w:val="22"/>
        </w:rPr>
        <w:t xml:space="preserve"> of all students and at least 96</w:t>
      </w:r>
      <w:r w:rsidR="009D4EA7">
        <w:rPr>
          <w:rFonts w:cstheme="minorHAnsi"/>
          <w:sz w:val="22"/>
          <w:szCs w:val="22"/>
        </w:rPr>
        <w:t>%</w:t>
      </w:r>
      <w:r w:rsidR="000510E9" w:rsidRPr="002354D0">
        <w:rPr>
          <w:rFonts w:cstheme="minorHAnsi"/>
          <w:sz w:val="22"/>
          <w:szCs w:val="22"/>
        </w:rPr>
        <w:t xml:space="preserve"> of students in each group will graduate within five years of entering ninth grade.  </w:t>
      </w:r>
    </w:p>
    <w:p w:rsidR="000510E9" w:rsidRPr="009A2B1E" w:rsidRDefault="000510E9" w:rsidP="00DE7C4F">
      <w:pPr>
        <w:pStyle w:val="ListParagraph"/>
        <w:ind w:left="180"/>
        <w:rPr>
          <w:rFonts w:asciiTheme="majorHAnsi" w:hAnsiTheme="majorHAnsi"/>
          <w:sz w:val="22"/>
          <w:szCs w:val="22"/>
        </w:rPr>
      </w:pPr>
    </w:p>
    <w:p w:rsidR="00DE7C4F" w:rsidRPr="00347076" w:rsidRDefault="008A3B27" w:rsidP="002354D0">
      <w:pPr>
        <w:pStyle w:val="Heading3"/>
        <w:rPr>
          <w:sz w:val="24"/>
          <w:szCs w:val="24"/>
        </w:rPr>
      </w:pPr>
      <w:r w:rsidRPr="00347076">
        <w:rPr>
          <w:sz w:val="24"/>
          <w:szCs w:val="24"/>
        </w:rPr>
        <w:t xml:space="preserve">Annual </w:t>
      </w:r>
      <w:r w:rsidR="00D52929" w:rsidRPr="00347076">
        <w:rPr>
          <w:sz w:val="24"/>
          <w:szCs w:val="24"/>
        </w:rPr>
        <w:t xml:space="preserve">Targets </w:t>
      </w:r>
    </w:p>
    <w:p w:rsidR="003C1168" w:rsidRDefault="008A3B27" w:rsidP="002354D0">
      <w:pPr>
        <w:pStyle w:val="ListParagraph"/>
        <w:ind w:left="0"/>
        <w:rPr>
          <w:rFonts w:cstheme="minorHAnsi"/>
          <w:sz w:val="22"/>
          <w:szCs w:val="22"/>
        </w:rPr>
      </w:pPr>
      <w:r w:rsidRPr="009D4EA7">
        <w:rPr>
          <w:sz w:val="22"/>
          <w:szCs w:val="22"/>
        </w:rPr>
        <w:t xml:space="preserve">Annual </w:t>
      </w:r>
      <w:r w:rsidR="003C1168" w:rsidRPr="009D4EA7">
        <w:rPr>
          <w:sz w:val="22"/>
          <w:szCs w:val="22"/>
        </w:rPr>
        <w:t xml:space="preserve">targets were calculated through the year 2030 for all districts, schools and student </w:t>
      </w:r>
      <w:r w:rsidRPr="009D4EA7">
        <w:rPr>
          <w:sz w:val="22"/>
          <w:szCs w:val="22"/>
        </w:rPr>
        <w:t>groups</w:t>
      </w:r>
      <w:r w:rsidR="003C1168" w:rsidRPr="009D4EA7">
        <w:rPr>
          <w:sz w:val="22"/>
          <w:szCs w:val="22"/>
        </w:rPr>
        <w:t xml:space="preserve">, based on four-year graduation rates for students in the </w:t>
      </w:r>
      <w:r w:rsidR="00A24CE5" w:rsidRPr="009D4EA7">
        <w:rPr>
          <w:sz w:val="22"/>
          <w:szCs w:val="22"/>
        </w:rPr>
        <w:t>Class of 17</w:t>
      </w:r>
      <w:r w:rsidR="003C1168" w:rsidRPr="009D4EA7">
        <w:rPr>
          <w:sz w:val="22"/>
          <w:szCs w:val="22"/>
        </w:rPr>
        <w:t xml:space="preserve"> cohort and five-year graduation rates for students in the </w:t>
      </w:r>
      <w:r w:rsidR="00A24CE5" w:rsidRPr="009D4EA7">
        <w:rPr>
          <w:sz w:val="22"/>
          <w:szCs w:val="22"/>
        </w:rPr>
        <w:t>Class of 16</w:t>
      </w:r>
      <w:r w:rsidR="003C1168" w:rsidRPr="009D4EA7">
        <w:rPr>
          <w:sz w:val="22"/>
          <w:szCs w:val="22"/>
        </w:rPr>
        <w:t xml:space="preserve"> cohort. </w:t>
      </w:r>
      <w:r w:rsidR="00F86AF7" w:rsidRPr="009D4EA7">
        <w:rPr>
          <w:sz w:val="22"/>
          <w:szCs w:val="22"/>
        </w:rPr>
        <w:t xml:space="preserve"> </w:t>
      </w:r>
      <w:r w:rsidR="00A24CE5" w:rsidRPr="009D4EA7">
        <w:rPr>
          <w:sz w:val="22"/>
          <w:szCs w:val="22"/>
        </w:rPr>
        <w:t xml:space="preserve">If baseline data was not available </w:t>
      </w:r>
      <w:r w:rsidR="00F86AF7" w:rsidRPr="009D4EA7">
        <w:rPr>
          <w:sz w:val="22"/>
          <w:szCs w:val="22"/>
        </w:rPr>
        <w:t xml:space="preserve">for the </w:t>
      </w:r>
      <w:r w:rsidR="00A24CE5" w:rsidRPr="009D4EA7">
        <w:rPr>
          <w:sz w:val="22"/>
          <w:szCs w:val="22"/>
        </w:rPr>
        <w:t xml:space="preserve">four-year cohort or the five-year cohort, annual targets will be based on the </w:t>
      </w:r>
      <w:r w:rsidR="00985F5F" w:rsidRPr="009D4EA7">
        <w:rPr>
          <w:sz w:val="22"/>
          <w:szCs w:val="22"/>
        </w:rPr>
        <w:t>first</w:t>
      </w:r>
      <w:r w:rsidR="009D4EA7" w:rsidRPr="009D4EA7">
        <w:rPr>
          <w:sz w:val="22"/>
          <w:szCs w:val="22"/>
        </w:rPr>
        <w:t xml:space="preserve"> </w:t>
      </w:r>
      <w:r w:rsidR="00985F5F" w:rsidRPr="009D4EA7">
        <w:rPr>
          <w:sz w:val="22"/>
          <w:szCs w:val="22"/>
        </w:rPr>
        <w:t>year</w:t>
      </w:r>
      <w:r w:rsidR="00A24CE5" w:rsidRPr="009D4EA7">
        <w:rPr>
          <w:sz w:val="22"/>
          <w:szCs w:val="22"/>
        </w:rPr>
        <w:t xml:space="preserve"> data was available after that cohort</w:t>
      </w:r>
      <w:r w:rsidR="00F86AF7" w:rsidRPr="009D4EA7">
        <w:rPr>
          <w:sz w:val="22"/>
          <w:szCs w:val="22"/>
        </w:rPr>
        <w:t xml:space="preserve">.  </w:t>
      </w:r>
      <w:r w:rsidRPr="009D4EA7">
        <w:rPr>
          <w:sz w:val="22"/>
          <w:szCs w:val="22"/>
        </w:rPr>
        <w:t>Annual</w:t>
      </w:r>
      <w:r w:rsidR="003C1168" w:rsidRPr="009D4EA7">
        <w:rPr>
          <w:sz w:val="22"/>
          <w:szCs w:val="22"/>
        </w:rPr>
        <w:t xml:space="preserve"> targets were calculated to ensure that the 2030 long-term goal would be met while differentiating for baseline performance.  Although schools and </w:t>
      </w:r>
      <w:r w:rsidRPr="009D4EA7">
        <w:rPr>
          <w:sz w:val="22"/>
          <w:szCs w:val="22"/>
        </w:rPr>
        <w:t xml:space="preserve">student groups </w:t>
      </w:r>
      <w:r w:rsidR="003C1168" w:rsidRPr="009D4EA7">
        <w:rPr>
          <w:sz w:val="22"/>
          <w:szCs w:val="22"/>
        </w:rPr>
        <w:t xml:space="preserve">have different starting points and </w:t>
      </w:r>
      <w:r w:rsidRPr="009D4EA7">
        <w:rPr>
          <w:sz w:val="22"/>
          <w:szCs w:val="22"/>
        </w:rPr>
        <w:t xml:space="preserve">annual </w:t>
      </w:r>
      <w:r w:rsidR="003C1168" w:rsidRPr="009D4EA7">
        <w:rPr>
          <w:sz w:val="22"/>
          <w:szCs w:val="22"/>
        </w:rPr>
        <w:t>targets</w:t>
      </w:r>
      <w:r w:rsidR="003C1168" w:rsidRPr="00A24CE5">
        <w:rPr>
          <w:sz w:val="22"/>
        </w:rPr>
        <w:t xml:space="preserve">, the long-term goal is the same for all schools and </w:t>
      </w:r>
      <w:r w:rsidRPr="00A24CE5">
        <w:rPr>
          <w:sz w:val="22"/>
        </w:rPr>
        <w:t>student groups</w:t>
      </w:r>
      <w:r w:rsidR="003C1168" w:rsidRPr="00A24CE5">
        <w:rPr>
          <w:sz w:val="22"/>
        </w:rPr>
        <w:t xml:space="preserve">.  A description of how </w:t>
      </w:r>
      <w:r w:rsidRPr="00A24CE5">
        <w:rPr>
          <w:sz w:val="22"/>
        </w:rPr>
        <w:t>annual</w:t>
      </w:r>
      <w:r w:rsidR="003C1168" w:rsidRPr="00A24CE5">
        <w:rPr>
          <w:sz w:val="22"/>
        </w:rPr>
        <w:t xml:space="preserve"> targets are </w:t>
      </w:r>
      <w:r w:rsidR="00834428" w:rsidRPr="00A24CE5">
        <w:rPr>
          <w:sz w:val="22"/>
        </w:rPr>
        <w:t>calculated,</w:t>
      </w:r>
      <w:r w:rsidR="003C1168" w:rsidRPr="00A24CE5">
        <w:rPr>
          <w:sz w:val="22"/>
        </w:rPr>
        <w:t xml:space="preserve"> and an example are below</w:t>
      </w:r>
      <w:r w:rsidR="003C1168" w:rsidRPr="00A24CE5">
        <w:rPr>
          <w:rFonts w:cstheme="minorHAnsi"/>
          <w:sz w:val="22"/>
          <w:szCs w:val="22"/>
        </w:rPr>
        <w:t>:</w:t>
      </w:r>
    </w:p>
    <w:p w:rsidR="002354D0" w:rsidRDefault="002354D0" w:rsidP="002354D0">
      <w:pPr>
        <w:pStyle w:val="ListParagraph"/>
        <w:ind w:left="0"/>
        <w:rPr>
          <w:rFonts w:cstheme="minorHAnsi"/>
          <w:sz w:val="22"/>
          <w:szCs w:val="22"/>
        </w:rPr>
      </w:pPr>
    </w:p>
    <w:p w:rsidR="00BE1EAD" w:rsidRDefault="00BE1EAD" w:rsidP="00DD3C06">
      <w:pPr>
        <w:jc w:val="center"/>
        <w:rPr>
          <w:rFonts w:cstheme="minorHAnsi"/>
          <w:b/>
          <w:sz w:val="22"/>
          <w:szCs w:val="22"/>
        </w:rPr>
      </w:pPr>
      <w:r>
        <w:rPr>
          <w:rFonts w:cstheme="minorHAnsi"/>
          <w:b/>
          <w:sz w:val="22"/>
          <w:szCs w:val="22"/>
        </w:rPr>
        <w:t>District and School Graduation Rate Annual Targets</w:t>
      </w:r>
    </w:p>
    <w:tbl>
      <w:tblPr>
        <w:tblStyle w:val="TableGrid"/>
        <w:tblpPr w:leftFromText="180" w:rightFromText="180" w:vertAnchor="text" w:horzAnchor="margin" w:tblpXSpec="center" w:tblpY="-55"/>
        <w:tblW w:w="0" w:type="auto"/>
        <w:tblLook w:val="04A0" w:firstRow="1" w:lastRow="0" w:firstColumn="1" w:lastColumn="0" w:noHBand="0" w:noVBand="1"/>
      </w:tblPr>
      <w:tblGrid>
        <w:gridCol w:w="1710"/>
        <w:gridCol w:w="3330"/>
        <w:gridCol w:w="3330"/>
      </w:tblGrid>
      <w:tr w:rsidR="00BE1EAD" w:rsidRPr="007C3F6A" w:rsidTr="00BE1EAD">
        <w:tc>
          <w:tcPr>
            <w:tcW w:w="1710" w:type="dxa"/>
          </w:tcPr>
          <w:p w:rsidR="00BE1EAD" w:rsidRPr="002354D0" w:rsidRDefault="00BE1EAD" w:rsidP="00BE1EAD">
            <w:pPr>
              <w:rPr>
                <w:rFonts w:cstheme="minorHAnsi"/>
                <w:b/>
                <w:sz w:val="22"/>
                <w:szCs w:val="22"/>
              </w:rPr>
            </w:pPr>
          </w:p>
        </w:tc>
        <w:tc>
          <w:tcPr>
            <w:tcW w:w="3330" w:type="dxa"/>
            <w:vAlign w:val="center"/>
          </w:tcPr>
          <w:p w:rsidR="00BE1EAD" w:rsidRPr="002354D0" w:rsidRDefault="00BE1EAD" w:rsidP="00BE1EAD">
            <w:pPr>
              <w:jc w:val="center"/>
              <w:rPr>
                <w:rFonts w:cstheme="minorHAnsi"/>
                <w:b/>
                <w:sz w:val="22"/>
                <w:szCs w:val="22"/>
              </w:rPr>
            </w:pPr>
            <w:r>
              <w:rPr>
                <w:rFonts w:cstheme="minorHAnsi"/>
                <w:b/>
                <w:sz w:val="22"/>
                <w:szCs w:val="22"/>
              </w:rPr>
              <w:t>Four</w:t>
            </w:r>
            <w:r w:rsidRPr="002354D0">
              <w:rPr>
                <w:rFonts w:cstheme="minorHAnsi"/>
                <w:b/>
                <w:sz w:val="22"/>
                <w:szCs w:val="22"/>
              </w:rPr>
              <w:t>-Year Rate</w:t>
            </w:r>
          </w:p>
        </w:tc>
        <w:tc>
          <w:tcPr>
            <w:tcW w:w="3330" w:type="dxa"/>
            <w:vAlign w:val="center"/>
          </w:tcPr>
          <w:p w:rsidR="00BE1EAD" w:rsidRPr="002354D0" w:rsidRDefault="00BE1EAD" w:rsidP="00BE1EAD">
            <w:pPr>
              <w:jc w:val="center"/>
              <w:rPr>
                <w:rFonts w:cstheme="minorHAnsi"/>
                <w:b/>
                <w:sz w:val="22"/>
                <w:szCs w:val="22"/>
              </w:rPr>
            </w:pPr>
            <w:r>
              <w:rPr>
                <w:rFonts w:cstheme="minorHAnsi"/>
                <w:b/>
                <w:sz w:val="22"/>
                <w:szCs w:val="22"/>
              </w:rPr>
              <w:t>Five</w:t>
            </w:r>
            <w:r w:rsidRPr="002354D0">
              <w:rPr>
                <w:rFonts w:cstheme="minorHAnsi"/>
                <w:b/>
                <w:sz w:val="22"/>
                <w:szCs w:val="22"/>
              </w:rPr>
              <w:t>-Year Rate</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Baseline:</w:t>
            </w:r>
            <w:r w:rsidRPr="002354D0">
              <w:rPr>
                <w:rFonts w:cstheme="minorHAnsi"/>
                <w:sz w:val="22"/>
                <w:szCs w:val="22"/>
              </w:rPr>
              <w:tab/>
            </w:r>
          </w:p>
        </w:tc>
        <w:tc>
          <w:tcPr>
            <w:tcW w:w="3330" w:type="dxa"/>
          </w:tcPr>
          <w:p w:rsidR="00BE1EAD" w:rsidRPr="002354D0" w:rsidRDefault="00BE1EAD" w:rsidP="00BE1EAD">
            <w:pPr>
              <w:rPr>
                <w:rFonts w:cstheme="minorHAnsi"/>
                <w:sz w:val="22"/>
                <w:szCs w:val="22"/>
              </w:rPr>
            </w:pPr>
            <w:r w:rsidRPr="002354D0">
              <w:rPr>
                <w:rFonts w:cstheme="minorHAnsi"/>
                <w:sz w:val="22"/>
                <w:szCs w:val="22"/>
              </w:rPr>
              <w:t>4-Year Graduation Rate</w:t>
            </w:r>
          </w:p>
        </w:tc>
        <w:tc>
          <w:tcPr>
            <w:tcW w:w="3330" w:type="dxa"/>
          </w:tcPr>
          <w:p w:rsidR="00BE1EAD" w:rsidRPr="002354D0" w:rsidRDefault="00BE1EAD" w:rsidP="00BE1EAD">
            <w:pPr>
              <w:rPr>
                <w:rFonts w:cstheme="minorHAnsi"/>
                <w:sz w:val="22"/>
                <w:szCs w:val="22"/>
              </w:rPr>
            </w:pPr>
            <w:r w:rsidRPr="002354D0">
              <w:rPr>
                <w:rFonts w:cstheme="minorHAnsi"/>
                <w:sz w:val="22"/>
                <w:szCs w:val="22"/>
              </w:rPr>
              <w:t>5-Year Graduation Rate</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 xml:space="preserve">Year 1: </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5%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5%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 xml:space="preserve">Year 2: </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+ 10%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+ 10%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 xml:space="preserve">Year 3: </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+ 15%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+ 15%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Year 4:</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+ 20%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+ 20%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Year 5:</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+ 25%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+ 25%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Year 6:</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+ 32%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+ 32% Goal Progress</w:t>
            </w:r>
          </w:p>
        </w:tc>
      </w:tr>
      <w:tr w:rsidR="00BE1EAD" w:rsidRPr="007C3F6A" w:rsidTr="00BE1EAD">
        <w:tc>
          <w:tcPr>
            <w:tcW w:w="1710" w:type="dxa"/>
          </w:tcPr>
          <w:p w:rsidR="00BE1EAD" w:rsidRPr="002354D0" w:rsidRDefault="00BE1EAD" w:rsidP="00BE1EAD">
            <w:pPr>
              <w:rPr>
                <w:rFonts w:cstheme="minorHAnsi"/>
                <w:b/>
                <w:sz w:val="22"/>
                <w:szCs w:val="22"/>
              </w:rPr>
            </w:pPr>
            <w:r w:rsidRPr="002354D0">
              <w:rPr>
                <w:rFonts w:cstheme="minorHAnsi"/>
                <w:sz w:val="22"/>
                <w:szCs w:val="22"/>
              </w:rPr>
              <w:t>Year 7:</w:t>
            </w:r>
          </w:p>
        </w:tc>
        <w:tc>
          <w:tcPr>
            <w:tcW w:w="3330" w:type="dxa"/>
          </w:tcPr>
          <w:p w:rsidR="00BE1EAD" w:rsidRPr="002354D0" w:rsidRDefault="00BE1EAD" w:rsidP="00BE1EAD">
            <w:pPr>
              <w:rPr>
                <w:rFonts w:cstheme="minorHAnsi"/>
                <w:b/>
                <w:sz w:val="22"/>
                <w:szCs w:val="22"/>
              </w:rPr>
            </w:pPr>
            <w:r w:rsidRPr="002354D0">
              <w:rPr>
                <w:rFonts w:cstheme="minorHAnsi"/>
                <w:sz w:val="22"/>
                <w:szCs w:val="22"/>
              </w:rPr>
              <w:t>Baseline + 39%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+ 39%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Year 8:</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+ 46%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+ 46%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Year 9:</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+ 53%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+ 53%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 xml:space="preserve">Year 10: </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+ 60%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+ 60%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 xml:space="preserve">Year 11: </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+ 70%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+ 70%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 xml:space="preserve">Year 12: </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+ 80%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+ 80% Goal Progress</w:t>
            </w:r>
          </w:p>
        </w:tc>
      </w:tr>
      <w:tr w:rsidR="00BE1EAD" w:rsidRPr="007C3F6A" w:rsidTr="00BE1EAD">
        <w:tc>
          <w:tcPr>
            <w:tcW w:w="1710" w:type="dxa"/>
          </w:tcPr>
          <w:p w:rsidR="00BE1EAD" w:rsidRPr="002354D0" w:rsidRDefault="00BE1EAD" w:rsidP="00BE1EAD">
            <w:pPr>
              <w:rPr>
                <w:rFonts w:cstheme="minorHAnsi"/>
                <w:sz w:val="22"/>
                <w:szCs w:val="22"/>
              </w:rPr>
            </w:pPr>
            <w:r w:rsidRPr="002354D0">
              <w:rPr>
                <w:rFonts w:cstheme="minorHAnsi"/>
                <w:sz w:val="22"/>
                <w:szCs w:val="22"/>
              </w:rPr>
              <w:t xml:space="preserve">Year 13: </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+ 90% Goal Progress</w:t>
            </w:r>
          </w:p>
        </w:tc>
        <w:tc>
          <w:tcPr>
            <w:tcW w:w="3330" w:type="dxa"/>
          </w:tcPr>
          <w:p w:rsidR="00BE1EAD" w:rsidRPr="002354D0" w:rsidRDefault="00BE1EAD" w:rsidP="00BE1EAD">
            <w:pPr>
              <w:rPr>
                <w:rFonts w:cstheme="minorHAnsi"/>
                <w:sz w:val="22"/>
                <w:szCs w:val="22"/>
              </w:rPr>
            </w:pPr>
            <w:r w:rsidRPr="002354D0">
              <w:rPr>
                <w:rFonts w:cstheme="minorHAnsi"/>
                <w:sz w:val="22"/>
                <w:szCs w:val="22"/>
              </w:rPr>
              <w:t>Baseline + 90% Goal Progress</w:t>
            </w:r>
          </w:p>
        </w:tc>
      </w:tr>
      <w:tr w:rsidR="00BE1EAD" w:rsidRPr="007C3F6A" w:rsidTr="00BE1EAD">
        <w:tc>
          <w:tcPr>
            <w:tcW w:w="1710" w:type="dxa"/>
          </w:tcPr>
          <w:p w:rsidR="00BE1EAD" w:rsidRPr="002354D0" w:rsidRDefault="00BE1EAD" w:rsidP="00BE1EAD">
            <w:pPr>
              <w:rPr>
                <w:rFonts w:cstheme="minorHAnsi"/>
                <w:b/>
                <w:sz w:val="22"/>
                <w:szCs w:val="22"/>
              </w:rPr>
            </w:pPr>
            <w:r w:rsidRPr="002354D0">
              <w:rPr>
                <w:rFonts w:cstheme="minorHAnsi"/>
                <w:b/>
                <w:sz w:val="22"/>
                <w:szCs w:val="22"/>
              </w:rPr>
              <w:t xml:space="preserve">GOAL – Year 14: </w:t>
            </w:r>
          </w:p>
        </w:tc>
        <w:tc>
          <w:tcPr>
            <w:tcW w:w="3330" w:type="dxa"/>
          </w:tcPr>
          <w:p w:rsidR="00BE1EAD" w:rsidRPr="002354D0" w:rsidRDefault="00BE1EAD" w:rsidP="00BE1EAD">
            <w:pPr>
              <w:jc w:val="center"/>
              <w:rPr>
                <w:rFonts w:cstheme="minorHAnsi"/>
                <w:b/>
                <w:sz w:val="22"/>
                <w:szCs w:val="22"/>
              </w:rPr>
            </w:pPr>
            <w:r w:rsidRPr="002354D0">
              <w:rPr>
                <w:rFonts w:cstheme="minorHAnsi"/>
                <w:b/>
                <w:sz w:val="22"/>
                <w:szCs w:val="22"/>
              </w:rPr>
              <w:t>95%</w:t>
            </w:r>
          </w:p>
        </w:tc>
        <w:tc>
          <w:tcPr>
            <w:tcW w:w="3330" w:type="dxa"/>
          </w:tcPr>
          <w:p w:rsidR="00BE1EAD" w:rsidRPr="002354D0" w:rsidRDefault="00BE1EAD" w:rsidP="00BE1EAD">
            <w:pPr>
              <w:jc w:val="center"/>
              <w:rPr>
                <w:rFonts w:cstheme="minorHAnsi"/>
                <w:b/>
                <w:sz w:val="22"/>
                <w:szCs w:val="22"/>
              </w:rPr>
            </w:pPr>
            <w:r w:rsidRPr="002354D0">
              <w:rPr>
                <w:rFonts w:cstheme="minorHAnsi"/>
                <w:b/>
                <w:sz w:val="22"/>
                <w:szCs w:val="22"/>
              </w:rPr>
              <w:t>96%</w:t>
            </w:r>
          </w:p>
        </w:tc>
      </w:tr>
    </w:tbl>
    <w:p w:rsidR="00BE1EAD" w:rsidRPr="002354D0" w:rsidRDefault="00BE1EAD" w:rsidP="002354D0">
      <w:pPr>
        <w:pStyle w:val="ListParagraph"/>
        <w:ind w:left="0"/>
        <w:rPr>
          <w:rFonts w:cstheme="minorHAnsi"/>
          <w:sz w:val="22"/>
          <w:szCs w:val="22"/>
        </w:rPr>
      </w:pPr>
    </w:p>
    <w:p w:rsidR="003C1168" w:rsidRPr="009A2B1E" w:rsidRDefault="003C1168" w:rsidP="003C1168">
      <w:pPr>
        <w:pStyle w:val="ListParagraph"/>
        <w:ind w:left="0"/>
        <w:rPr>
          <w:rFonts w:asciiTheme="majorHAnsi" w:hAnsiTheme="majorHAnsi"/>
          <w:b/>
          <w:sz w:val="22"/>
          <w:szCs w:val="22"/>
        </w:rPr>
      </w:pPr>
    </w:p>
    <w:p w:rsidR="003C1168" w:rsidRPr="002354D0" w:rsidRDefault="003C1168" w:rsidP="003C1168">
      <w:pPr>
        <w:pStyle w:val="ListParagraph"/>
        <w:ind w:left="0"/>
        <w:rPr>
          <w:rFonts w:cstheme="minorHAnsi"/>
          <w:b/>
          <w:sz w:val="22"/>
          <w:szCs w:val="22"/>
        </w:rPr>
      </w:pPr>
      <w:r w:rsidRPr="002354D0">
        <w:rPr>
          <w:rFonts w:cstheme="minorHAnsi"/>
          <w:b/>
          <w:sz w:val="22"/>
          <w:szCs w:val="22"/>
        </w:rPr>
        <w:t>Example:</w:t>
      </w:r>
    </w:p>
    <w:p w:rsidR="003C1168" w:rsidRPr="002354D0" w:rsidRDefault="003C1168" w:rsidP="003C1168">
      <w:pPr>
        <w:pStyle w:val="ListParagraph"/>
        <w:ind w:left="0"/>
        <w:rPr>
          <w:rFonts w:cstheme="minorHAnsi"/>
          <w:sz w:val="22"/>
          <w:szCs w:val="22"/>
        </w:rPr>
      </w:pPr>
      <w:r w:rsidRPr="002354D0">
        <w:rPr>
          <w:rFonts w:cstheme="minorHAnsi"/>
          <w:sz w:val="22"/>
          <w:szCs w:val="22"/>
        </w:rPr>
        <w:t xml:space="preserve">School A’s </w:t>
      </w:r>
      <w:r w:rsidR="00625071" w:rsidRPr="002354D0">
        <w:rPr>
          <w:rFonts w:cstheme="minorHAnsi"/>
          <w:sz w:val="22"/>
          <w:szCs w:val="22"/>
        </w:rPr>
        <w:t xml:space="preserve">baseline </w:t>
      </w:r>
      <w:r w:rsidR="009D0CC3">
        <w:rPr>
          <w:rFonts w:cstheme="minorHAnsi"/>
          <w:sz w:val="22"/>
          <w:szCs w:val="22"/>
        </w:rPr>
        <w:t>four</w:t>
      </w:r>
      <w:r w:rsidR="00625071" w:rsidRPr="002354D0">
        <w:rPr>
          <w:rFonts w:cstheme="minorHAnsi"/>
          <w:sz w:val="22"/>
          <w:szCs w:val="22"/>
        </w:rPr>
        <w:t xml:space="preserve">-year graduation rate </w:t>
      </w:r>
      <w:r w:rsidR="00A07C9A">
        <w:rPr>
          <w:rFonts w:cstheme="minorHAnsi"/>
          <w:sz w:val="22"/>
          <w:szCs w:val="22"/>
        </w:rPr>
        <w:t xml:space="preserve">(for school year 2014-2015) </w:t>
      </w:r>
      <w:r w:rsidRPr="002354D0">
        <w:rPr>
          <w:rFonts w:cstheme="minorHAnsi"/>
          <w:sz w:val="22"/>
          <w:szCs w:val="22"/>
        </w:rPr>
        <w:t xml:space="preserve">was </w:t>
      </w:r>
      <w:r w:rsidR="00625071" w:rsidRPr="002354D0">
        <w:rPr>
          <w:rFonts w:cstheme="minorHAnsi"/>
          <w:sz w:val="22"/>
          <w:szCs w:val="22"/>
        </w:rPr>
        <w:t>85</w:t>
      </w:r>
      <w:r w:rsidRPr="002354D0">
        <w:rPr>
          <w:rFonts w:cstheme="minorHAnsi"/>
          <w:sz w:val="22"/>
          <w:szCs w:val="22"/>
        </w:rPr>
        <w:t xml:space="preserve">%.  The long-term goal of </w:t>
      </w:r>
      <w:r w:rsidR="00625071" w:rsidRPr="002354D0">
        <w:rPr>
          <w:rFonts w:cstheme="minorHAnsi"/>
          <w:sz w:val="22"/>
          <w:szCs w:val="22"/>
        </w:rPr>
        <w:t>95</w:t>
      </w:r>
      <w:r w:rsidRPr="002354D0">
        <w:rPr>
          <w:rFonts w:cstheme="minorHAnsi"/>
          <w:sz w:val="22"/>
          <w:szCs w:val="22"/>
        </w:rPr>
        <w:t>% must be achieved by the 2029-2030</w:t>
      </w:r>
      <w:r w:rsidR="00625071" w:rsidRPr="002354D0">
        <w:rPr>
          <w:rFonts w:cstheme="minorHAnsi"/>
          <w:sz w:val="22"/>
          <w:szCs w:val="22"/>
        </w:rPr>
        <w:t xml:space="preserve"> school year.  School A </w:t>
      </w:r>
      <w:r w:rsidR="00C97018" w:rsidRPr="002354D0">
        <w:rPr>
          <w:rFonts w:cstheme="minorHAnsi"/>
          <w:sz w:val="22"/>
          <w:szCs w:val="22"/>
        </w:rPr>
        <w:t xml:space="preserve">must make progress of 10 percentage points to meet the long-term goal.  </w:t>
      </w:r>
      <w:r w:rsidR="00625071" w:rsidRPr="002354D0">
        <w:rPr>
          <w:rFonts w:cstheme="minorHAnsi"/>
          <w:sz w:val="22"/>
          <w:szCs w:val="22"/>
        </w:rPr>
        <w:t xml:space="preserve"> </w:t>
      </w:r>
    </w:p>
    <w:p w:rsidR="007C3F6A" w:rsidRDefault="007C3F6A" w:rsidP="003C1168">
      <w:pPr>
        <w:pStyle w:val="ListParagraph"/>
        <w:ind w:left="0"/>
        <w:rPr>
          <w:rFonts w:cstheme="minorHAnsi"/>
          <w:sz w:val="22"/>
          <w:szCs w:val="22"/>
        </w:rPr>
      </w:pPr>
    </w:p>
    <w:p w:rsidR="003C1168" w:rsidRPr="002354D0" w:rsidRDefault="003C1168" w:rsidP="003C1168">
      <w:pPr>
        <w:pStyle w:val="ListParagraph"/>
        <w:ind w:left="0"/>
        <w:rPr>
          <w:rFonts w:cstheme="minorHAnsi"/>
          <w:sz w:val="22"/>
          <w:szCs w:val="22"/>
        </w:rPr>
      </w:pPr>
      <w:r w:rsidRPr="002354D0">
        <w:rPr>
          <w:rFonts w:cstheme="minorHAnsi"/>
          <w:sz w:val="22"/>
          <w:szCs w:val="22"/>
        </w:rPr>
        <w:t xml:space="preserve">School A’s </w:t>
      </w:r>
      <w:r w:rsidR="00A07C9A">
        <w:rPr>
          <w:rFonts w:cstheme="minorHAnsi"/>
          <w:sz w:val="22"/>
          <w:szCs w:val="22"/>
        </w:rPr>
        <w:t>a</w:t>
      </w:r>
      <w:r w:rsidR="008A3B27">
        <w:rPr>
          <w:rFonts w:cstheme="minorHAnsi"/>
          <w:sz w:val="22"/>
          <w:szCs w:val="22"/>
        </w:rPr>
        <w:t>nnual</w:t>
      </w:r>
      <w:r w:rsidR="00625071" w:rsidRPr="002354D0">
        <w:rPr>
          <w:rFonts w:cstheme="minorHAnsi"/>
          <w:sz w:val="22"/>
          <w:szCs w:val="22"/>
        </w:rPr>
        <w:t xml:space="preserve"> target for Year 1 is 85.5</w:t>
      </w:r>
      <w:r w:rsidR="00C97018" w:rsidRPr="002354D0">
        <w:rPr>
          <w:rFonts w:cstheme="minorHAnsi"/>
          <w:sz w:val="22"/>
          <w:szCs w:val="22"/>
        </w:rPr>
        <w:t xml:space="preserve">%, which represents having made 5% of the progress necessary to reach the long-term goal, based on its baseline performance.  </w:t>
      </w:r>
    </w:p>
    <w:p w:rsidR="003C1168" w:rsidRPr="002354D0" w:rsidRDefault="003C1168" w:rsidP="003C1168">
      <w:pPr>
        <w:ind w:firstLine="720"/>
        <w:rPr>
          <w:rFonts w:cstheme="minorHAnsi"/>
          <w:sz w:val="22"/>
          <w:szCs w:val="22"/>
        </w:rPr>
      </w:pPr>
      <w:r w:rsidRPr="002354D0">
        <w:rPr>
          <w:rFonts w:cstheme="minorHAnsi"/>
          <w:sz w:val="22"/>
          <w:szCs w:val="22"/>
        </w:rPr>
        <w:t xml:space="preserve">Baseline +    5% </w:t>
      </w:r>
      <w:r w:rsidR="00C97018" w:rsidRPr="002354D0">
        <w:rPr>
          <w:rFonts w:cstheme="minorHAnsi"/>
          <w:sz w:val="22"/>
          <w:szCs w:val="22"/>
        </w:rPr>
        <w:t>Goal Progress</w:t>
      </w:r>
      <w:r w:rsidRPr="002354D0">
        <w:rPr>
          <w:rFonts w:cstheme="minorHAnsi"/>
          <w:sz w:val="22"/>
          <w:szCs w:val="22"/>
        </w:rPr>
        <w:t xml:space="preserve">     =     Year 1 </w:t>
      </w:r>
      <w:r w:rsidR="008A3B27">
        <w:rPr>
          <w:rFonts w:cstheme="minorHAnsi"/>
          <w:sz w:val="22"/>
          <w:szCs w:val="22"/>
        </w:rPr>
        <w:t>Annual</w:t>
      </w:r>
      <w:r w:rsidRPr="002354D0">
        <w:rPr>
          <w:rFonts w:cstheme="minorHAnsi"/>
          <w:sz w:val="22"/>
          <w:szCs w:val="22"/>
        </w:rPr>
        <w:t xml:space="preserve"> Target</w:t>
      </w:r>
    </w:p>
    <w:p w:rsidR="003C1168" w:rsidRPr="002354D0" w:rsidRDefault="00625071" w:rsidP="003C1168">
      <w:pPr>
        <w:ind w:firstLine="720"/>
        <w:rPr>
          <w:rFonts w:cstheme="minorHAnsi"/>
          <w:sz w:val="22"/>
          <w:szCs w:val="22"/>
        </w:rPr>
      </w:pPr>
      <w:r w:rsidRPr="002354D0">
        <w:rPr>
          <w:rFonts w:cstheme="minorHAnsi"/>
          <w:sz w:val="22"/>
          <w:szCs w:val="22"/>
        </w:rPr>
        <w:t>85.0</w:t>
      </w:r>
      <w:r w:rsidR="003C1168" w:rsidRPr="002354D0">
        <w:rPr>
          <w:rFonts w:cstheme="minorHAnsi"/>
          <w:sz w:val="22"/>
          <w:szCs w:val="22"/>
        </w:rPr>
        <w:tab/>
        <w:t xml:space="preserve"> +     </w:t>
      </w:r>
      <w:r w:rsidRPr="002354D0">
        <w:rPr>
          <w:rFonts w:cstheme="minorHAnsi"/>
          <w:sz w:val="22"/>
          <w:szCs w:val="22"/>
        </w:rPr>
        <w:t>(.05 * 10</w:t>
      </w:r>
      <w:r w:rsidR="003C1168" w:rsidRPr="002354D0">
        <w:rPr>
          <w:rFonts w:cstheme="minorHAnsi"/>
          <w:sz w:val="22"/>
          <w:szCs w:val="22"/>
        </w:rPr>
        <w:t xml:space="preserve">.0)         =            </w:t>
      </w:r>
      <w:r w:rsidRPr="002354D0">
        <w:rPr>
          <w:rFonts w:cstheme="minorHAnsi"/>
          <w:sz w:val="22"/>
          <w:szCs w:val="22"/>
        </w:rPr>
        <w:t>85.5</w:t>
      </w:r>
    </w:p>
    <w:p w:rsidR="003C1168" w:rsidRPr="002354D0" w:rsidRDefault="003C1168" w:rsidP="003C1168">
      <w:pPr>
        <w:pStyle w:val="ListParagraph"/>
        <w:ind w:left="0"/>
        <w:rPr>
          <w:rFonts w:cstheme="minorHAnsi"/>
          <w:sz w:val="22"/>
          <w:szCs w:val="22"/>
        </w:rPr>
      </w:pPr>
      <w:r w:rsidRPr="002354D0">
        <w:rPr>
          <w:rFonts w:cstheme="minorHAnsi"/>
          <w:sz w:val="22"/>
          <w:szCs w:val="22"/>
        </w:rPr>
        <w:t xml:space="preserve">The rest of School A’s </w:t>
      </w:r>
      <w:r w:rsidR="00A07C9A">
        <w:rPr>
          <w:rFonts w:cstheme="minorHAnsi"/>
          <w:sz w:val="22"/>
          <w:szCs w:val="22"/>
        </w:rPr>
        <w:t>a</w:t>
      </w:r>
      <w:r w:rsidR="008A3B27">
        <w:rPr>
          <w:rFonts w:cstheme="minorHAnsi"/>
          <w:sz w:val="22"/>
          <w:szCs w:val="22"/>
        </w:rPr>
        <w:t>nnual</w:t>
      </w:r>
      <w:r w:rsidRPr="002354D0">
        <w:rPr>
          <w:rFonts w:cstheme="minorHAnsi"/>
          <w:sz w:val="22"/>
          <w:szCs w:val="22"/>
        </w:rPr>
        <w:t xml:space="preserve"> targets are listed below.</w:t>
      </w:r>
    </w:p>
    <w:tbl>
      <w:tblPr>
        <w:tblStyle w:val="TableGrid"/>
        <w:tblW w:w="10001" w:type="dxa"/>
        <w:tblLayout w:type="fixed"/>
        <w:tblLook w:val="04A0" w:firstRow="1" w:lastRow="0" w:firstColumn="1" w:lastColumn="0" w:noHBand="0" w:noVBand="1"/>
      </w:tblPr>
      <w:tblGrid>
        <w:gridCol w:w="666"/>
        <w:gridCol w:w="667"/>
        <w:gridCol w:w="667"/>
        <w:gridCol w:w="666"/>
        <w:gridCol w:w="667"/>
        <w:gridCol w:w="667"/>
        <w:gridCol w:w="667"/>
        <w:gridCol w:w="666"/>
        <w:gridCol w:w="667"/>
        <w:gridCol w:w="667"/>
        <w:gridCol w:w="667"/>
        <w:gridCol w:w="666"/>
        <w:gridCol w:w="667"/>
        <w:gridCol w:w="667"/>
        <w:gridCol w:w="667"/>
      </w:tblGrid>
      <w:tr w:rsidR="003C1168" w:rsidRPr="007C3F6A" w:rsidTr="00DD2F40">
        <w:tc>
          <w:tcPr>
            <w:tcW w:w="666" w:type="dxa"/>
          </w:tcPr>
          <w:p w:rsidR="003C1168" w:rsidRPr="002354D0" w:rsidRDefault="003C1168" w:rsidP="002354D0">
            <w:pPr>
              <w:jc w:val="center"/>
              <w:rPr>
                <w:rFonts w:cstheme="minorHAnsi"/>
                <w:sz w:val="22"/>
                <w:szCs w:val="22"/>
              </w:rPr>
            </w:pPr>
            <w:r w:rsidRPr="002354D0">
              <w:rPr>
                <w:rFonts w:cstheme="minorHAnsi"/>
                <w:sz w:val="22"/>
                <w:szCs w:val="22"/>
              </w:rPr>
              <w:t>Base-line</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1</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2</w:t>
            </w:r>
          </w:p>
        </w:tc>
        <w:tc>
          <w:tcPr>
            <w:tcW w:w="666" w:type="dxa"/>
          </w:tcPr>
          <w:p w:rsidR="003C1168" w:rsidRPr="002354D0" w:rsidRDefault="003C1168" w:rsidP="002354D0">
            <w:pPr>
              <w:jc w:val="center"/>
              <w:rPr>
                <w:rFonts w:cstheme="minorHAnsi"/>
                <w:sz w:val="22"/>
                <w:szCs w:val="22"/>
              </w:rPr>
            </w:pPr>
            <w:r w:rsidRPr="002354D0">
              <w:rPr>
                <w:rFonts w:cstheme="minorHAnsi"/>
                <w:sz w:val="22"/>
                <w:szCs w:val="22"/>
              </w:rPr>
              <w:t>Year 3</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4</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5</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6</w:t>
            </w:r>
          </w:p>
        </w:tc>
        <w:tc>
          <w:tcPr>
            <w:tcW w:w="666" w:type="dxa"/>
          </w:tcPr>
          <w:p w:rsidR="003C1168" w:rsidRPr="002354D0" w:rsidRDefault="003C1168" w:rsidP="002354D0">
            <w:pPr>
              <w:jc w:val="center"/>
              <w:rPr>
                <w:rFonts w:cstheme="minorHAnsi"/>
                <w:sz w:val="22"/>
                <w:szCs w:val="22"/>
              </w:rPr>
            </w:pPr>
            <w:r w:rsidRPr="002354D0">
              <w:rPr>
                <w:rFonts w:cstheme="minorHAnsi"/>
                <w:sz w:val="22"/>
                <w:szCs w:val="22"/>
              </w:rPr>
              <w:t>Year 7</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8</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9</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10</w:t>
            </w:r>
          </w:p>
        </w:tc>
        <w:tc>
          <w:tcPr>
            <w:tcW w:w="666" w:type="dxa"/>
          </w:tcPr>
          <w:p w:rsidR="003C1168" w:rsidRPr="002354D0" w:rsidRDefault="003C1168" w:rsidP="002354D0">
            <w:pPr>
              <w:jc w:val="center"/>
              <w:rPr>
                <w:rFonts w:cstheme="minorHAnsi"/>
                <w:sz w:val="22"/>
                <w:szCs w:val="22"/>
              </w:rPr>
            </w:pPr>
            <w:r w:rsidRPr="002354D0">
              <w:rPr>
                <w:rFonts w:cstheme="minorHAnsi"/>
                <w:sz w:val="22"/>
                <w:szCs w:val="22"/>
              </w:rPr>
              <w:t>Year 11</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12</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13</w:t>
            </w:r>
          </w:p>
        </w:tc>
        <w:tc>
          <w:tcPr>
            <w:tcW w:w="667" w:type="dxa"/>
          </w:tcPr>
          <w:p w:rsidR="003C1168" w:rsidRPr="002354D0" w:rsidRDefault="003C1168" w:rsidP="002354D0">
            <w:pPr>
              <w:jc w:val="center"/>
              <w:rPr>
                <w:rFonts w:cstheme="minorHAnsi"/>
                <w:sz w:val="22"/>
                <w:szCs w:val="22"/>
              </w:rPr>
            </w:pPr>
            <w:r w:rsidRPr="002354D0">
              <w:rPr>
                <w:rFonts w:cstheme="minorHAnsi"/>
                <w:sz w:val="22"/>
                <w:szCs w:val="22"/>
              </w:rPr>
              <w:t>Year  14</w:t>
            </w:r>
          </w:p>
        </w:tc>
      </w:tr>
      <w:tr w:rsidR="003C1168" w:rsidRPr="007C3F6A" w:rsidTr="00DD2F40">
        <w:tc>
          <w:tcPr>
            <w:tcW w:w="666" w:type="dxa"/>
          </w:tcPr>
          <w:p w:rsidR="003C1168" w:rsidRPr="002354D0" w:rsidRDefault="00625071" w:rsidP="00DD2F40">
            <w:pPr>
              <w:rPr>
                <w:rFonts w:cstheme="minorHAnsi"/>
                <w:sz w:val="22"/>
                <w:szCs w:val="22"/>
              </w:rPr>
            </w:pPr>
            <w:r w:rsidRPr="002354D0">
              <w:rPr>
                <w:rFonts w:cstheme="minorHAnsi"/>
                <w:sz w:val="22"/>
                <w:szCs w:val="22"/>
              </w:rPr>
              <w:t>85</w:t>
            </w:r>
            <w:r w:rsidR="003C1168" w:rsidRPr="002354D0">
              <w:rPr>
                <w:rFonts w:cstheme="minorHAnsi"/>
                <w:sz w:val="22"/>
                <w:szCs w:val="22"/>
              </w:rPr>
              <w:t>.0</w:t>
            </w:r>
          </w:p>
        </w:tc>
        <w:tc>
          <w:tcPr>
            <w:tcW w:w="667" w:type="dxa"/>
          </w:tcPr>
          <w:p w:rsidR="003C1168" w:rsidRPr="002354D0" w:rsidRDefault="00625071" w:rsidP="00DD2F40">
            <w:pPr>
              <w:rPr>
                <w:rFonts w:cstheme="minorHAnsi"/>
                <w:sz w:val="22"/>
                <w:szCs w:val="22"/>
              </w:rPr>
            </w:pPr>
            <w:r w:rsidRPr="002354D0">
              <w:rPr>
                <w:rFonts w:cstheme="minorHAnsi"/>
                <w:sz w:val="22"/>
                <w:szCs w:val="22"/>
              </w:rPr>
              <w:t>85.5</w:t>
            </w:r>
          </w:p>
        </w:tc>
        <w:tc>
          <w:tcPr>
            <w:tcW w:w="667" w:type="dxa"/>
          </w:tcPr>
          <w:p w:rsidR="003C1168" w:rsidRPr="002354D0" w:rsidRDefault="00625071" w:rsidP="00DD2F40">
            <w:pPr>
              <w:rPr>
                <w:rFonts w:cstheme="minorHAnsi"/>
                <w:sz w:val="22"/>
                <w:szCs w:val="22"/>
              </w:rPr>
            </w:pPr>
            <w:r w:rsidRPr="002354D0">
              <w:rPr>
                <w:rFonts w:cstheme="minorHAnsi"/>
                <w:sz w:val="22"/>
                <w:szCs w:val="22"/>
              </w:rPr>
              <w:t>86.0</w:t>
            </w:r>
          </w:p>
        </w:tc>
        <w:tc>
          <w:tcPr>
            <w:tcW w:w="666" w:type="dxa"/>
          </w:tcPr>
          <w:p w:rsidR="003C1168" w:rsidRPr="002354D0" w:rsidRDefault="00625071" w:rsidP="00DD2F40">
            <w:pPr>
              <w:rPr>
                <w:rFonts w:cstheme="minorHAnsi"/>
                <w:sz w:val="22"/>
                <w:szCs w:val="22"/>
              </w:rPr>
            </w:pPr>
            <w:r w:rsidRPr="002354D0">
              <w:rPr>
                <w:rFonts w:cstheme="minorHAnsi"/>
                <w:sz w:val="22"/>
                <w:szCs w:val="22"/>
              </w:rPr>
              <w:t>86.5</w:t>
            </w:r>
          </w:p>
        </w:tc>
        <w:tc>
          <w:tcPr>
            <w:tcW w:w="667" w:type="dxa"/>
          </w:tcPr>
          <w:p w:rsidR="003C1168" w:rsidRPr="002354D0" w:rsidRDefault="00625071" w:rsidP="00DD2F40">
            <w:pPr>
              <w:rPr>
                <w:rFonts w:cstheme="minorHAnsi"/>
                <w:sz w:val="22"/>
                <w:szCs w:val="22"/>
              </w:rPr>
            </w:pPr>
            <w:r w:rsidRPr="002354D0">
              <w:rPr>
                <w:rFonts w:cstheme="minorHAnsi"/>
                <w:sz w:val="22"/>
                <w:szCs w:val="22"/>
              </w:rPr>
              <w:t>87.0</w:t>
            </w:r>
          </w:p>
        </w:tc>
        <w:tc>
          <w:tcPr>
            <w:tcW w:w="667" w:type="dxa"/>
          </w:tcPr>
          <w:p w:rsidR="003C1168" w:rsidRPr="002354D0" w:rsidRDefault="00625071" w:rsidP="00DD2F40">
            <w:pPr>
              <w:rPr>
                <w:rFonts w:cstheme="minorHAnsi"/>
                <w:sz w:val="22"/>
                <w:szCs w:val="22"/>
              </w:rPr>
            </w:pPr>
            <w:r w:rsidRPr="002354D0">
              <w:rPr>
                <w:rFonts w:cstheme="minorHAnsi"/>
                <w:sz w:val="22"/>
                <w:szCs w:val="22"/>
              </w:rPr>
              <w:t>87.5</w:t>
            </w:r>
          </w:p>
        </w:tc>
        <w:tc>
          <w:tcPr>
            <w:tcW w:w="667" w:type="dxa"/>
          </w:tcPr>
          <w:p w:rsidR="003C1168" w:rsidRPr="002354D0" w:rsidRDefault="00625071" w:rsidP="00DD2F40">
            <w:pPr>
              <w:rPr>
                <w:rFonts w:cstheme="minorHAnsi"/>
                <w:sz w:val="22"/>
                <w:szCs w:val="22"/>
              </w:rPr>
            </w:pPr>
            <w:r w:rsidRPr="002354D0">
              <w:rPr>
                <w:rFonts w:cstheme="minorHAnsi"/>
                <w:sz w:val="22"/>
                <w:szCs w:val="22"/>
              </w:rPr>
              <w:t>88.2</w:t>
            </w:r>
          </w:p>
        </w:tc>
        <w:tc>
          <w:tcPr>
            <w:tcW w:w="666" w:type="dxa"/>
          </w:tcPr>
          <w:p w:rsidR="003C1168" w:rsidRPr="002354D0" w:rsidRDefault="00625071" w:rsidP="00DD2F40">
            <w:pPr>
              <w:rPr>
                <w:rFonts w:cstheme="minorHAnsi"/>
                <w:sz w:val="22"/>
                <w:szCs w:val="22"/>
              </w:rPr>
            </w:pPr>
            <w:r w:rsidRPr="002354D0">
              <w:rPr>
                <w:rFonts w:cstheme="minorHAnsi"/>
                <w:sz w:val="22"/>
                <w:szCs w:val="22"/>
              </w:rPr>
              <w:t>88.9</w:t>
            </w:r>
          </w:p>
        </w:tc>
        <w:tc>
          <w:tcPr>
            <w:tcW w:w="667" w:type="dxa"/>
          </w:tcPr>
          <w:p w:rsidR="003C1168" w:rsidRPr="002354D0" w:rsidRDefault="00625071" w:rsidP="00DD2F40">
            <w:pPr>
              <w:rPr>
                <w:rFonts w:cstheme="minorHAnsi"/>
                <w:sz w:val="22"/>
                <w:szCs w:val="22"/>
              </w:rPr>
            </w:pPr>
            <w:r w:rsidRPr="002354D0">
              <w:rPr>
                <w:rFonts w:cstheme="minorHAnsi"/>
                <w:sz w:val="22"/>
                <w:szCs w:val="22"/>
              </w:rPr>
              <w:t>89.6</w:t>
            </w:r>
          </w:p>
        </w:tc>
        <w:tc>
          <w:tcPr>
            <w:tcW w:w="667" w:type="dxa"/>
          </w:tcPr>
          <w:p w:rsidR="003C1168" w:rsidRPr="002354D0" w:rsidRDefault="00625071" w:rsidP="00DD2F40">
            <w:pPr>
              <w:rPr>
                <w:rFonts w:cstheme="minorHAnsi"/>
                <w:sz w:val="22"/>
                <w:szCs w:val="22"/>
              </w:rPr>
            </w:pPr>
            <w:r w:rsidRPr="002354D0">
              <w:rPr>
                <w:rFonts w:cstheme="minorHAnsi"/>
                <w:sz w:val="22"/>
                <w:szCs w:val="22"/>
              </w:rPr>
              <w:t>90.3</w:t>
            </w:r>
          </w:p>
        </w:tc>
        <w:tc>
          <w:tcPr>
            <w:tcW w:w="667" w:type="dxa"/>
          </w:tcPr>
          <w:p w:rsidR="003C1168" w:rsidRPr="002354D0" w:rsidRDefault="00625071" w:rsidP="00DD2F40">
            <w:pPr>
              <w:rPr>
                <w:rFonts w:cstheme="minorHAnsi"/>
                <w:sz w:val="22"/>
                <w:szCs w:val="22"/>
              </w:rPr>
            </w:pPr>
            <w:r w:rsidRPr="002354D0">
              <w:rPr>
                <w:rFonts w:cstheme="minorHAnsi"/>
                <w:sz w:val="22"/>
                <w:szCs w:val="22"/>
              </w:rPr>
              <w:t>91.0</w:t>
            </w:r>
          </w:p>
        </w:tc>
        <w:tc>
          <w:tcPr>
            <w:tcW w:w="666" w:type="dxa"/>
          </w:tcPr>
          <w:p w:rsidR="003C1168" w:rsidRPr="002354D0" w:rsidRDefault="00625071" w:rsidP="00DD2F40">
            <w:pPr>
              <w:rPr>
                <w:rFonts w:cstheme="minorHAnsi"/>
                <w:sz w:val="22"/>
                <w:szCs w:val="22"/>
              </w:rPr>
            </w:pPr>
            <w:r w:rsidRPr="002354D0">
              <w:rPr>
                <w:rFonts w:cstheme="minorHAnsi"/>
                <w:sz w:val="22"/>
                <w:szCs w:val="22"/>
              </w:rPr>
              <w:t>92.0</w:t>
            </w:r>
          </w:p>
        </w:tc>
        <w:tc>
          <w:tcPr>
            <w:tcW w:w="667" w:type="dxa"/>
          </w:tcPr>
          <w:p w:rsidR="003C1168" w:rsidRPr="002354D0" w:rsidRDefault="00625071" w:rsidP="00DD2F40">
            <w:pPr>
              <w:rPr>
                <w:rFonts w:cstheme="minorHAnsi"/>
                <w:sz w:val="22"/>
                <w:szCs w:val="22"/>
              </w:rPr>
            </w:pPr>
            <w:r w:rsidRPr="002354D0">
              <w:rPr>
                <w:rFonts w:cstheme="minorHAnsi"/>
                <w:sz w:val="22"/>
                <w:szCs w:val="22"/>
              </w:rPr>
              <w:t>93.0</w:t>
            </w:r>
          </w:p>
        </w:tc>
        <w:tc>
          <w:tcPr>
            <w:tcW w:w="667" w:type="dxa"/>
          </w:tcPr>
          <w:p w:rsidR="003C1168" w:rsidRPr="002354D0" w:rsidRDefault="00625071" w:rsidP="00DD2F40">
            <w:pPr>
              <w:rPr>
                <w:rFonts w:cstheme="minorHAnsi"/>
                <w:sz w:val="22"/>
                <w:szCs w:val="22"/>
              </w:rPr>
            </w:pPr>
            <w:r w:rsidRPr="002354D0">
              <w:rPr>
                <w:rFonts w:cstheme="minorHAnsi"/>
                <w:sz w:val="22"/>
                <w:szCs w:val="22"/>
              </w:rPr>
              <w:t>94.0</w:t>
            </w:r>
          </w:p>
        </w:tc>
        <w:tc>
          <w:tcPr>
            <w:tcW w:w="667" w:type="dxa"/>
          </w:tcPr>
          <w:p w:rsidR="003C1168" w:rsidRPr="002354D0" w:rsidRDefault="00625071" w:rsidP="00DD2F40">
            <w:pPr>
              <w:rPr>
                <w:rFonts w:cstheme="minorHAnsi"/>
                <w:sz w:val="22"/>
                <w:szCs w:val="22"/>
              </w:rPr>
            </w:pPr>
            <w:r w:rsidRPr="002354D0">
              <w:rPr>
                <w:rFonts w:cstheme="minorHAnsi"/>
                <w:sz w:val="22"/>
                <w:szCs w:val="22"/>
              </w:rPr>
              <w:t>95.0</w:t>
            </w:r>
          </w:p>
        </w:tc>
      </w:tr>
    </w:tbl>
    <w:p w:rsidR="00031AE5" w:rsidRDefault="004C1B6B">
      <w:pPr>
        <w:rPr>
          <w:sz w:val="22"/>
          <w:szCs w:val="22"/>
        </w:rPr>
      </w:pPr>
      <w:r w:rsidRPr="004C1B6B">
        <w:rPr>
          <w:sz w:val="22"/>
          <w:szCs w:val="22"/>
        </w:rPr>
        <w:t xml:space="preserve">The same methodology may be applied to determine annual targets toward the five-year graduation rate goal of 96%. </w:t>
      </w:r>
    </w:p>
    <w:p w:rsidR="006662B3" w:rsidRDefault="006662B3">
      <w:pPr>
        <w:rPr>
          <w:sz w:val="22"/>
          <w:szCs w:val="22"/>
        </w:rPr>
      </w:pPr>
    </w:p>
    <w:p w:rsidR="00516DA2" w:rsidRPr="00AF7B02" w:rsidRDefault="00F96E8C" w:rsidP="00516DA2">
      <w:pPr>
        <w:pStyle w:val="Heading2"/>
        <w:rPr>
          <w:caps w:val="0"/>
          <w:sz w:val="24"/>
          <w:szCs w:val="24"/>
        </w:rPr>
      </w:pPr>
      <w:r w:rsidRPr="00AF7B02">
        <w:rPr>
          <w:caps w:val="0"/>
          <w:sz w:val="24"/>
          <w:szCs w:val="24"/>
        </w:rPr>
        <w:t>English</w:t>
      </w:r>
      <w:r w:rsidR="00EA6F60" w:rsidRPr="00AF7B02">
        <w:rPr>
          <w:caps w:val="0"/>
          <w:sz w:val="24"/>
          <w:szCs w:val="24"/>
        </w:rPr>
        <w:t xml:space="preserve"> L</w:t>
      </w:r>
      <w:r w:rsidRPr="00AF7B02">
        <w:rPr>
          <w:caps w:val="0"/>
          <w:sz w:val="24"/>
          <w:szCs w:val="24"/>
        </w:rPr>
        <w:t>anguage</w:t>
      </w:r>
      <w:r w:rsidR="00EA6F60" w:rsidRPr="00AF7B02">
        <w:rPr>
          <w:caps w:val="0"/>
          <w:sz w:val="24"/>
          <w:szCs w:val="24"/>
        </w:rPr>
        <w:t xml:space="preserve"> </w:t>
      </w:r>
      <w:r w:rsidR="000A03B0" w:rsidRPr="00AF7B02">
        <w:rPr>
          <w:caps w:val="0"/>
          <w:sz w:val="24"/>
          <w:szCs w:val="24"/>
        </w:rPr>
        <w:t>Progress</w:t>
      </w:r>
      <w:r w:rsidR="00EA6F60" w:rsidRPr="00AF7B02">
        <w:rPr>
          <w:caps w:val="0"/>
          <w:sz w:val="24"/>
          <w:szCs w:val="24"/>
        </w:rPr>
        <w:t xml:space="preserve"> </w:t>
      </w:r>
      <w:r w:rsidR="00AF7B02">
        <w:rPr>
          <w:caps w:val="0"/>
          <w:sz w:val="24"/>
          <w:szCs w:val="24"/>
        </w:rPr>
        <w:t>to</w:t>
      </w:r>
      <w:r w:rsidR="00EA6F60" w:rsidRPr="00AF7B02">
        <w:rPr>
          <w:caps w:val="0"/>
          <w:sz w:val="24"/>
          <w:szCs w:val="24"/>
        </w:rPr>
        <w:t xml:space="preserve"> P</w:t>
      </w:r>
      <w:r w:rsidRPr="00AF7B02">
        <w:rPr>
          <w:caps w:val="0"/>
          <w:sz w:val="24"/>
          <w:szCs w:val="24"/>
        </w:rPr>
        <w:t>roficiency</w:t>
      </w:r>
      <w:r w:rsidR="00EA6F60" w:rsidRPr="00AF7B02">
        <w:rPr>
          <w:caps w:val="0"/>
          <w:sz w:val="24"/>
          <w:szCs w:val="24"/>
        </w:rPr>
        <w:t xml:space="preserve"> </w:t>
      </w:r>
    </w:p>
    <w:p w:rsidR="00516DA2" w:rsidRPr="00347076" w:rsidRDefault="00516DA2" w:rsidP="00516DA2">
      <w:pPr>
        <w:pStyle w:val="Heading3"/>
        <w:rPr>
          <w:sz w:val="24"/>
          <w:szCs w:val="24"/>
        </w:rPr>
      </w:pPr>
      <w:r w:rsidRPr="00347076">
        <w:rPr>
          <w:sz w:val="24"/>
          <w:szCs w:val="24"/>
        </w:rPr>
        <w:t xml:space="preserve">Definition </w:t>
      </w:r>
    </w:p>
    <w:p w:rsidR="00516DA2" w:rsidRDefault="00516DA2" w:rsidP="00516DA2">
      <w:pPr>
        <w:pStyle w:val="ListParagraph"/>
        <w:ind w:left="0"/>
        <w:rPr>
          <w:sz w:val="22"/>
          <w:szCs w:val="22"/>
        </w:rPr>
      </w:pPr>
      <w:r w:rsidRPr="00AD2E04">
        <w:rPr>
          <w:sz w:val="22"/>
          <w:szCs w:val="22"/>
        </w:rPr>
        <w:t xml:space="preserve">To establish student-level targets for English Language Proficiency (ELP), </w:t>
      </w:r>
      <w:r>
        <w:rPr>
          <w:sz w:val="22"/>
          <w:szCs w:val="22"/>
        </w:rPr>
        <w:t xml:space="preserve">the </w:t>
      </w:r>
      <w:r w:rsidRPr="00AD2E04">
        <w:rPr>
          <w:sz w:val="22"/>
          <w:szCs w:val="22"/>
        </w:rPr>
        <w:t xml:space="preserve">NJDOE considered two student characteristics: the student’s initial level of ELP and the number of years the student has been enrolled in a district. Starting with the 2017-2018 assessment cycle, for currently identified </w:t>
      </w:r>
      <w:r w:rsidR="00476F60">
        <w:rPr>
          <w:sz w:val="22"/>
          <w:szCs w:val="22"/>
        </w:rPr>
        <w:t>English language</w:t>
      </w:r>
      <w:r w:rsidRPr="00AD2E04">
        <w:rPr>
          <w:sz w:val="22"/>
          <w:szCs w:val="22"/>
        </w:rPr>
        <w:t xml:space="preserve"> learners in grade </w:t>
      </w:r>
      <w:r w:rsidR="00B9710F">
        <w:rPr>
          <w:sz w:val="22"/>
          <w:szCs w:val="22"/>
        </w:rPr>
        <w:t>K</w:t>
      </w:r>
      <w:r w:rsidRPr="00AD2E04">
        <w:rPr>
          <w:sz w:val="22"/>
          <w:szCs w:val="22"/>
        </w:rPr>
        <w:t xml:space="preserve"> through grade 12, </w:t>
      </w:r>
      <w:r>
        <w:rPr>
          <w:sz w:val="22"/>
          <w:szCs w:val="22"/>
        </w:rPr>
        <w:t xml:space="preserve">the </w:t>
      </w:r>
      <w:r w:rsidRPr="00AD2E04">
        <w:rPr>
          <w:sz w:val="22"/>
          <w:szCs w:val="22"/>
        </w:rPr>
        <w:t xml:space="preserve">NJDOE will define increases in the percentage of all </w:t>
      </w:r>
      <w:r w:rsidR="00476F60">
        <w:rPr>
          <w:sz w:val="22"/>
          <w:szCs w:val="22"/>
        </w:rPr>
        <w:t xml:space="preserve">English language </w:t>
      </w:r>
      <w:r w:rsidRPr="00AD2E04">
        <w:rPr>
          <w:sz w:val="22"/>
          <w:szCs w:val="22"/>
        </w:rPr>
        <w:t>learners making progress in achieving ELP as measured by the assessments described in Section 1111(b)(2)(G) of ESSA, as “</w:t>
      </w:r>
      <w:r w:rsidR="00476F60">
        <w:rPr>
          <w:sz w:val="22"/>
          <w:szCs w:val="22"/>
        </w:rPr>
        <w:t xml:space="preserve">English language </w:t>
      </w:r>
      <w:r w:rsidRPr="00AD2E04">
        <w:rPr>
          <w:sz w:val="22"/>
          <w:szCs w:val="22"/>
        </w:rPr>
        <w:t>learners that demonstrate a pre-determined level of cumulative growth for five years or English language learners that meet the ELP cut score within the established timeframe that is consistent with the student’s ELP level at the time of identification as measured by the assessment described in Section 1111(b)(2)(G)”. Thus,</w:t>
      </w:r>
      <w:r>
        <w:rPr>
          <w:sz w:val="22"/>
          <w:szCs w:val="22"/>
        </w:rPr>
        <w:t xml:space="preserve"> the</w:t>
      </w:r>
      <w:r w:rsidRPr="00AD2E04">
        <w:rPr>
          <w:sz w:val="22"/>
          <w:szCs w:val="22"/>
        </w:rPr>
        <w:t xml:space="preserve"> NJDOE will consider a student’s ELP level at the time of </w:t>
      </w:r>
      <w:r>
        <w:rPr>
          <w:sz w:val="22"/>
          <w:szCs w:val="22"/>
        </w:rPr>
        <w:t>the first administration of the ACCESS for ELLs and the time enrolled in a district</w:t>
      </w:r>
      <w:r w:rsidRPr="00AD2E04">
        <w:rPr>
          <w:sz w:val="22"/>
          <w:szCs w:val="22"/>
        </w:rPr>
        <w:t xml:space="preserve"> to determine the number of years that a student has to reach proficiency and set measurements of interim progress accordingly.</w:t>
      </w:r>
    </w:p>
    <w:p w:rsidR="00516DA2" w:rsidRPr="00347076" w:rsidRDefault="00516DA2" w:rsidP="00516DA2">
      <w:pPr>
        <w:pStyle w:val="Heading3"/>
        <w:rPr>
          <w:sz w:val="24"/>
          <w:szCs w:val="24"/>
        </w:rPr>
      </w:pPr>
      <w:r w:rsidRPr="00347076">
        <w:rPr>
          <w:sz w:val="24"/>
          <w:szCs w:val="24"/>
        </w:rPr>
        <w:t xml:space="preserve">Purpose </w:t>
      </w:r>
    </w:p>
    <w:p w:rsidR="00132E3A" w:rsidRDefault="00132E3A" w:rsidP="00132E3A">
      <w:pPr>
        <w:pStyle w:val="ListParagraph"/>
        <w:ind w:left="0"/>
        <w:rPr>
          <w:rFonts w:cstheme="minorHAnsi"/>
          <w:sz w:val="22"/>
          <w:szCs w:val="22"/>
        </w:rPr>
      </w:pPr>
      <w:r w:rsidRPr="002354D0">
        <w:rPr>
          <w:rFonts w:cstheme="minorHAnsi"/>
          <w:sz w:val="22"/>
          <w:szCs w:val="22"/>
        </w:rPr>
        <w:t xml:space="preserve">The </w:t>
      </w:r>
      <w:r>
        <w:rPr>
          <w:rFonts w:cstheme="minorHAnsi"/>
          <w:sz w:val="22"/>
          <w:szCs w:val="22"/>
        </w:rPr>
        <w:t>English language proficiency</w:t>
      </w:r>
      <w:r w:rsidRPr="002354D0">
        <w:rPr>
          <w:rFonts w:cstheme="minorHAnsi"/>
          <w:sz w:val="22"/>
          <w:szCs w:val="22"/>
        </w:rPr>
        <w:t xml:space="preserve"> </w:t>
      </w:r>
      <w:r>
        <w:rPr>
          <w:rFonts w:cstheme="minorHAnsi"/>
          <w:sz w:val="22"/>
          <w:szCs w:val="22"/>
        </w:rPr>
        <w:t>calculation for</w:t>
      </w:r>
      <w:r w:rsidRPr="002354D0">
        <w:rPr>
          <w:rFonts w:cstheme="minorHAnsi"/>
          <w:sz w:val="22"/>
          <w:szCs w:val="22"/>
        </w:rPr>
        <w:t xml:space="preserve"> a school is an indicator of </w:t>
      </w:r>
      <w:r>
        <w:rPr>
          <w:rFonts w:cstheme="minorHAnsi"/>
          <w:sz w:val="22"/>
          <w:szCs w:val="22"/>
        </w:rPr>
        <w:t xml:space="preserve">whether schools are creating an environment in which an appropriate percent of their English language learners are progressing toward English language proficiency at the rate established by the NJDOE in the </w:t>
      </w:r>
      <w:r>
        <w:rPr>
          <w:rFonts w:cstheme="minorHAnsi"/>
          <w:i/>
          <w:sz w:val="22"/>
          <w:szCs w:val="22"/>
        </w:rPr>
        <w:t xml:space="preserve">ESSA </w:t>
      </w:r>
      <w:r>
        <w:rPr>
          <w:rFonts w:cstheme="minorHAnsi"/>
          <w:sz w:val="22"/>
          <w:szCs w:val="22"/>
        </w:rPr>
        <w:t>state plan</w:t>
      </w:r>
      <w:r w:rsidRPr="002354D0">
        <w:rPr>
          <w:rFonts w:cstheme="minorHAnsi"/>
          <w:sz w:val="22"/>
          <w:szCs w:val="22"/>
        </w:rPr>
        <w:t>.</w:t>
      </w:r>
    </w:p>
    <w:p w:rsidR="00516DA2" w:rsidRPr="00347076" w:rsidRDefault="00516DA2" w:rsidP="00363E3B">
      <w:pPr>
        <w:pStyle w:val="Heading3"/>
        <w:rPr>
          <w:sz w:val="24"/>
          <w:szCs w:val="24"/>
        </w:rPr>
      </w:pPr>
      <w:r w:rsidRPr="00347076">
        <w:rPr>
          <w:sz w:val="24"/>
          <w:szCs w:val="24"/>
        </w:rPr>
        <w:t>Calculation</w:t>
      </w:r>
    </w:p>
    <w:p w:rsidR="008100EA" w:rsidRPr="00750AB7" w:rsidRDefault="008100EA" w:rsidP="008100EA">
      <w:pPr>
        <w:rPr>
          <w:i/>
          <w:sz w:val="22"/>
        </w:rPr>
      </w:pPr>
      <w:r w:rsidRPr="00AD2E04">
        <w:rPr>
          <w:sz w:val="22"/>
          <w:szCs w:val="22"/>
        </w:rPr>
        <w:t xml:space="preserve">All </w:t>
      </w:r>
      <w:r>
        <w:rPr>
          <w:sz w:val="22"/>
          <w:szCs w:val="22"/>
        </w:rPr>
        <w:t>grade</w:t>
      </w:r>
      <w:r w:rsidRPr="00AD2E04">
        <w:rPr>
          <w:sz w:val="22"/>
          <w:szCs w:val="22"/>
        </w:rPr>
        <w:t xml:space="preserve"> </w:t>
      </w:r>
      <w:r>
        <w:rPr>
          <w:sz w:val="22"/>
          <w:szCs w:val="22"/>
        </w:rPr>
        <w:t>K</w:t>
      </w:r>
      <w:r w:rsidRPr="00AD2E04">
        <w:rPr>
          <w:sz w:val="22"/>
          <w:szCs w:val="22"/>
        </w:rPr>
        <w:t xml:space="preserve">-12 students </w:t>
      </w:r>
      <w:r w:rsidR="00295428">
        <w:rPr>
          <w:sz w:val="22"/>
          <w:szCs w:val="22"/>
        </w:rPr>
        <w:t>are</w:t>
      </w:r>
      <w:r w:rsidRPr="00AD2E04">
        <w:rPr>
          <w:sz w:val="22"/>
          <w:szCs w:val="22"/>
        </w:rPr>
        <w:t xml:space="preserve"> expected to meet an ELP score of 4.5, the proficient cut score on the ACCESS for ELLs test, within a maximum of 5 years after entering a district.  If a </w:t>
      </w:r>
      <w:r w:rsidR="008C7CD8">
        <w:rPr>
          <w:sz w:val="22"/>
          <w:szCs w:val="22"/>
        </w:rPr>
        <w:t>K-12</w:t>
      </w:r>
      <w:r w:rsidRPr="00AD2E04">
        <w:rPr>
          <w:sz w:val="22"/>
          <w:szCs w:val="22"/>
        </w:rPr>
        <w:t xml:space="preserve"> student meets a 4.5 or higher in their initial year of administration, they </w:t>
      </w:r>
      <w:r w:rsidR="00295428">
        <w:rPr>
          <w:sz w:val="22"/>
          <w:szCs w:val="22"/>
        </w:rPr>
        <w:t>are</w:t>
      </w:r>
      <w:r w:rsidRPr="00AD2E04">
        <w:rPr>
          <w:sz w:val="22"/>
          <w:szCs w:val="22"/>
        </w:rPr>
        <w:t xml:space="preserve"> counted as </w:t>
      </w:r>
      <w:r w:rsidR="000A03B0">
        <w:rPr>
          <w:sz w:val="22"/>
          <w:szCs w:val="22"/>
        </w:rPr>
        <w:t>proficient</w:t>
      </w:r>
      <w:r w:rsidRPr="00AD2E04">
        <w:rPr>
          <w:sz w:val="22"/>
          <w:szCs w:val="22"/>
        </w:rPr>
        <w:t xml:space="preserve"> for the ELP indicator. </w:t>
      </w:r>
      <w:r w:rsidR="008C7CD8">
        <w:rPr>
          <w:sz w:val="22"/>
          <w:szCs w:val="22"/>
        </w:rPr>
        <w:t>English language learners</w:t>
      </w:r>
      <w:r w:rsidR="00295428" w:rsidRPr="00295428">
        <w:rPr>
          <w:sz w:val="22"/>
          <w:szCs w:val="22"/>
        </w:rPr>
        <w:t xml:space="preserve"> in grades 1-12 who have two or more consecutive ACCESS for ELLs scores in their accountable district and have demonstrated the expected amount of growth on the ACCESS for ELL assessment</w:t>
      </w:r>
      <w:r w:rsidR="00295428">
        <w:rPr>
          <w:sz w:val="22"/>
          <w:szCs w:val="22"/>
        </w:rPr>
        <w:t xml:space="preserve"> are also counted </w:t>
      </w:r>
      <w:r w:rsidR="000A03B0">
        <w:rPr>
          <w:sz w:val="22"/>
          <w:szCs w:val="22"/>
        </w:rPr>
        <w:t xml:space="preserve">as proficient </w:t>
      </w:r>
      <w:r w:rsidR="00295428">
        <w:rPr>
          <w:sz w:val="22"/>
          <w:szCs w:val="22"/>
        </w:rPr>
        <w:t>for the ELP indicator</w:t>
      </w:r>
      <w:r w:rsidR="00295428" w:rsidRPr="00295428">
        <w:rPr>
          <w:sz w:val="22"/>
          <w:szCs w:val="22"/>
        </w:rPr>
        <w:t>.</w:t>
      </w:r>
      <w:r w:rsidRPr="00AD2E04">
        <w:rPr>
          <w:sz w:val="22"/>
          <w:szCs w:val="22"/>
        </w:rPr>
        <w:t xml:space="preserve"> </w:t>
      </w:r>
      <w:r w:rsidRPr="008F1F71">
        <w:rPr>
          <w:sz w:val="22"/>
          <w:szCs w:val="22"/>
        </w:rPr>
        <w:t>When calculating y</w:t>
      </w:r>
      <w:r>
        <w:rPr>
          <w:sz w:val="22"/>
          <w:szCs w:val="22"/>
        </w:rPr>
        <w:t>early, student-level growth targets,</w:t>
      </w:r>
      <w:r w:rsidRPr="008F1F71">
        <w:rPr>
          <w:sz w:val="22"/>
          <w:szCs w:val="22"/>
        </w:rPr>
        <w:t xml:space="preserve"> </w:t>
      </w:r>
      <w:r>
        <w:rPr>
          <w:sz w:val="22"/>
          <w:szCs w:val="22"/>
        </w:rPr>
        <w:t xml:space="preserve">expected </w:t>
      </w:r>
      <w:r w:rsidRPr="008F1F71">
        <w:rPr>
          <w:sz w:val="22"/>
          <w:szCs w:val="22"/>
        </w:rPr>
        <w:t xml:space="preserve">growth </w:t>
      </w:r>
      <w:r w:rsidR="00295428">
        <w:rPr>
          <w:sz w:val="22"/>
          <w:szCs w:val="22"/>
        </w:rPr>
        <w:t>is</w:t>
      </w:r>
      <w:r w:rsidRPr="008F1F71">
        <w:rPr>
          <w:sz w:val="22"/>
          <w:szCs w:val="22"/>
        </w:rPr>
        <w:t xml:space="preserve"> rounded up from the hundredths place to the nearest tenth.</w:t>
      </w:r>
      <w:r w:rsidR="00A35251">
        <w:rPr>
          <w:sz w:val="22"/>
          <w:szCs w:val="22"/>
        </w:rPr>
        <w:t xml:space="preserve"> </w:t>
      </w:r>
      <w:r w:rsidR="008C7CD8">
        <w:rPr>
          <w:sz w:val="22"/>
          <w:szCs w:val="22"/>
        </w:rPr>
        <w:t xml:space="preserve">To view information about the specific methods used to calculate student-level progress toward proficiency, see page 53 through 55 of the of New Jersey’s </w:t>
      </w:r>
      <w:r w:rsidR="008C7CD8">
        <w:rPr>
          <w:i/>
          <w:sz w:val="22"/>
          <w:szCs w:val="22"/>
        </w:rPr>
        <w:t>ESSA state plan.</w:t>
      </w:r>
    </w:p>
    <w:p w:rsidR="00363E3B" w:rsidRPr="00347076" w:rsidRDefault="00363E3B">
      <w:pPr>
        <w:pStyle w:val="Heading3"/>
        <w:rPr>
          <w:sz w:val="24"/>
          <w:szCs w:val="24"/>
        </w:rPr>
      </w:pPr>
      <w:r w:rsidRPr="00347076">
        <w:rPr>
          <w:sz w:val="24"/>
          <w:szCs w:val="24"/>
        </w:rPr>
        <w:t>English Language Proficiency Student Data Spreadsheets</w:t>
      </w:r>
    </w:p>
    <w:p w:rsidR="00363E3B" w:rsidRDefault="00363E3B" w:rsidP="00363E3B">
      <w:pPr>
        <w:pStyle w:val="ListParagraph"/>
        <w:ind w:left="0"/>
        <w:rPr>
          <w:rFonts w:cstheme="minorHAnsi"/>
          <w:sz w:val="22"/>
          <w:szCs w:val="22"/>
        </w:rPr>
      </w:pPr>
      <w:r w:rsidRPr="00522F96">
        <w:rPr>
          <w:rFonts w:cstheme="minorHAnsi"/>
          <w:sz w:val="22"/>
          <w:szCs w:val="22"/>
        </w:rPr>
        <w:t xml:space="preserve">Starting in fall 2018, school-level accountability information related to this indicator will be available for the first time.  The ESEA ELP Student Data Spreadsheet can be found on the </w:t>
      </w:r>
      <w:hyperlink r:id="rId16" w:history="1">
        <w:r w:rsidRPr="00522F96">
          <w:rPr>
            <w:rFonts w:cstheme="minorHAnsi"/>
            <w:sz w:val="22"/>
            <w:szCs w:val="22"/>
          </w:rPr>
          <w:t>NJDOE Homeroom</w:t>
        </w:r>
      </w:hyperlink>
      <w:r w:rsidRPr="00522F96">
        <w:rPr>
          <w:rFonts w:cstheme="minorHAnsi"/>
          <w:sz w:val="22"/>
          <w:szCs w:val="22"/>
        </w:rPr>
        <w:t xml:space="preserve"> page at the “ELP Data” link.  This folder will contain student-level data for all of the students included in the ELP Indicator.  This report will only include English language learners in grades 1—12 who have two or more consecutive ACCESS for ELLs scores or English language learners in Kindergarten—grade 12 who meet proficiency during their first year in their accountable district.  The district-level spreadsheet will contain students listed by accountable districts and school.  All student-level ELP indicator calculations will be calculated using a 2017 or later baseline year, since 2017 was the first administration of the post-standards-setting ACCESS for ELLs assessment.  The district Web User Administrator can request a district- or charter-specific login for their site.    </w:t>
      </w:r>
    </w:p>
    <w:p w:rsidR="00363E3B" w:rsidRPr="00522F96" w:rsidRDefault="00363E3B" w:rsidP="00363E3B">
      <w:pPr>
        <w:pStyle w:val="ListParagraph"/>
        <w:ind w:left="0"/>
        <w:rPr>
          <w:rFonts w:cstheme="minorHAnsi"/>
          <w:sz w:val="22"/>
          <w:szCs w:val="22"/>
        </w:rPr>
      </w:pPr>
      <w:r w:rsidRPr="00522F96">
        <w:rPr>
          <w:rFonts w:cstheme="minorHAnsi"/>
          <w:sz w:val="22"/>
          <w:szCs w:val="22"/>
        </w:rPr>
        <w:t>    </w:t>
      </w:r>
    </w:p>
    <w:p w:rsidR="00363E3B" w:rsidRDefault="00363E3B" w:rsidP="00363E3B">
      <w:pPr>
        <w:pStyle w:val="ListParagraph"/>
        <w:ind w:left="0"/>
        <w:rPr>
          <w:rFonts w:cstheme="minorHAnsi"/>
          <w:sz w:val="22"/>
          <w:szCs w:val="22"/>
        </w:rPr>
      </w:pPr>
      <w:r w:rsidRPr="00522F96">
        <w:rPr>
          <w:rFonts w:cstheme="minorHAnsi"/>
          <w:sz w:val="22"/>
          <w:szCs w:val="22"/>
        </w:rPr>
        <w:t>The spreadsheet will include the following information at the individual student level:</w:t>
      </w:r>
    </w:p>
    <w:p w:rsidR="000C318C" w:rsidRPr="00522F96" w:rsidRDefault="000C318C" w:rsidP="00363E3B">
      <w:pPr>
        <w:pStyle w:val="ListParagraph"/>
        <w:ind w:left="0"/>
        <w:rPr>
          <w:rFonts w:cstheme="minorHAnsi"/>
          <w:sz w:val="22"/>
          <w:szCs w:val="22"/>
        </w:rPr>
      </w:pP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Student Identifiers</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Accountable District/School</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District Entry Date and Baseline Year</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Number of Years to Proficient Cut Score</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Baseline Composite Proficiency</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Growth Expectations</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Current Year Growth and Expected Composite Score</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Actual Composite Score</w:t>
      </w:r>
    </w:p>
    <w:p w:rsidR="00363E3B" w:rsidRPr="00522F96" w:rsidRDefault="00363E3B" w:rsidP="000A03B0">
      <w:pPr>
        <w:pStyle w:val="ListParagraph"/>
        <w:numPr>
          <w:ilvl w:val="0"/>
          <w:numId w:val="50"/>
        </w:numPr>
        <w:rPr>
          <w:rFonts w:cstheme="minorHAnsi"/>
          <w:sz w:val="22"/>
          <w:szCs w:val="22"/>
        </w:rPr>
      </w:pPr>
      <w:r w:rsidRPr="00522F96">
        <w:rPr>
          <w:rFonts w:cstheme="minorHAnsi"/>
          <w:sz w:val="22"/>
          <w:szCs w:val="22"/>
        </w:rPr>
        <w:t>Growth to Target Measure Status</w:t>
      </w:r>
    </w:p>
    <w:p w:rsidR="00363E3B" w:rsidRDefault="00363E3B" w:rsidP="00363E3B">
      <w:pPr>
        <w:pStyle w:val="ListParagraph"/>
        <w:ind w:left="0"/>
        <w:rPr>
          <w:rFonts w:cstheme="minorHAnsi"/>
          <w:sz w:val="22"/>
          <w:szCs w:val="22"/>
        </w:rPr>
      </w:pPr>
    </w:p>
    <w:p w:rsidR="00363E3B" w:rsidRDefault="00363E3B" w:rsidP="00363E3B">
      <w:pPr>
        <w:pStyle w:val="ListParagraph"/>
        <w:ind w:left="0"/>
      </w:pPr>
      <w:r w:rsidRPr="00522F96">
        <w:rPr>
          <w:rFonts w:cstheme="minorHAnsi"/>
          <w:sz w:val="22"/>
          <w:szCs w:val="22"/>
        </w:rPr>
        <w:t xml:space="preserve">As stated in the March 6, 2018 “Update on ACCESS for ELLs 2018 Test Administration” broadcast memo, any student-level ACCESS for ELLs data corrections needed to be made on or before May 17, 2018.  </w:t>
      </w:r>
      <w:r w:rsidR="000C318C">
        <w:rPr>
          <w:rFonts w:cstheme="minorHAnsi"/>
          <w:sz w:val="22"/>
          <w:szCs w:val="22"/>
        </w:rPr>
        <w:t>O</w:t>
      </w:r>
      <w:r w:rsidR="000C318C" w:rsidRPr="00522F96">
        <w:rPr>
          <w:rFonts w:cstheme="minorHAnsi"/>
          <w:sz w:val="22"/>
          <w:szCs w:val="22"/>
        </w:rPr>
        <w:t xml:space="preserve">nce </w:t>
      </w:r>
      <w:r w:rsidRPr="00522F96">
        <w:rPr>
          <w:rFonts w:cstheme="minorHAnsi"/>
          <w:sz w:val="22"/>
          <w:szCs w:val="22"/>
        </w:rPr>
        <w:t xml:space="preserve">the </w:t>
      </w:r>
      <w:r w:rsidR="000C318C">
        <w:rPr>
          <w:rFonts w:cstheme="minorHAnsi"/>
          <w:sz w:val="22"/>
          <w:szCs w:val="22"/>
        </w:rPr>
        <w:t xml:space="preserve">identified </w:t>
      </w:r>
      <w:r w:rsidRPr="00522F96">
        <w:rPr>
          <w:rFonts w:cstheme="minorHAnsi"/>
          <w:sz w:val="22"/>
          <w:szCs w:val="22"/>
        </w:rPr>
        <w:t>pre-reporting window has passed, student-level data cannot be corrected for accountability</w:t>
      </w:r>
      <w:r w:rsidRPr="00476F60">
        <w:t xml:space="preserve"> purposes.</w:t>
      </w:r>
    </w:p>
    <w:p w:rsidR="00830424" w:rsidRPr="00476F60" w:rsidRDefault="00830424" w:rsidP="00363E3B">
      <w:pPr>
        <w:pStyle w:val="ListParagraph"/>
        <w:ind w:left="0"/>
      </w:pPr>
    </w:p>
    <w:p w:rsidR="00363E3B" w:rsidRPr="00F96E8C" w:rsidRDefault="00363E3B" w:rsidP="00363E3B">
      <w:pPr>
        <w:pBdr>
          <w:top w:val="single" w:sz="6" w:space="2" w:color="4472C4" w:themeColor="accent1"/>
        </w:pBdr>
        <w:spacing w:before="300" w:after="0"/>
        <w:outlineLvl w:val="2"/>
      </w:pPr>
      <w:r w:rsidRPr="00F96E8C">
        <w:rPr>
          <w:color w:val="1F3763" w:themeColor="accent1" w:themeShade="7F"/>
          <w:spacing w:val="15"/>
          <w:sz w:val="22"/>
          <w:szCs w:val="22"/>
        </w:rPr>
        <w:t>A</w:t>
      </w:r>
      <w:r w:rsidR="00F96E8C">
        <w:rPr>
          <w:color w:val="1F3763" w:themeColor="accent1" w:themeShade="7F"/>
          <w:spacing w:val="15"/>
          <w:sz w:val="22"/>
          <w:szCs w:val="22"/>
        </w:rPr>
        <w:t>nnual</w:t>
      </w:r>
      <w:r>
        <w:rPr>
          <w:caps/>
          <w:color w:val="1F3763" w:themeColor="accent1" w:themeShade="7F"/>
          <w:spacing w:val="15"/>
          <w:sz w:val="22"/>
          <w:szCs w:val="22"/>
        </w:rPr>
        <w:t xml:space="preserve"> T</w:t>
      </w:r>
      <w:r w:rsidR="00F96E8C">
        <w:rPr>
          <w:color w:val="1F3763" w:themeColor="accent1" w:themeShade="7F"/>
          <w:spacing w:val="15"/>
          <w:sz w:val="22"/>
          <w:szCs w:val="22"/>
        </w:rPr>
        <w:t>arget</w:t>
      </w:r>
    </w:p>
    <w:p w:rsidR="00363E3B" w:rsidRDefault="00363E3B" w:rsidP="00363E3B">
      <w:pPr>
        <w:pStyle w:val="ListParagraph"/>
        <w:ind w:left="0"/>
        <w:rPr>
          <w:rFonts w:cstheme="minorHAnsi"/>
          <w:sz w:val="22"/>
          <w:szCs w:val="22"/>
        </w:rPr>
      </w:pPr>
      <w:r w:rsidRPr="007C269F">
        <w:rPr>
          <w:rFonts w:cstheme="minorHAnsi"/>
          <w:sz w:val="22"/>
          <w:szCs w:val="22"/>
        </w:rPr>
        <w:t>Schools with an n-size of 20 or more eligible E</w:t>
      </w:r>
      <w:r w:rsidR="003D7F84">
        <w:rPr>
          <w:rFonts w:cstheme="minorHAnsi"/>
          <w:sz w:val="22"/>
          <w:szCs w:val="22"/>
        </w:rPr>
        <w:t>LL</w:t>
      </w:r>
      <w:r w:rsidRPr="007C269F">
        <w:rPr>
          <w:rFonts w:cstheme="minorHAnsi"/>
          <w:sz w:val="22"/>
          <w:szCs w:val="22"/>
        </w:rPr>
        <w:t xml:space="preserve">s </w:t>
      </w:r>
      <w:r w:rsidR="00295428">
        <w:rPr>
          <w:rFonts w:cstheme="minorHAnsi"/>
          <w:sz w:val="22"/>
          <w:szCs w:val="22"/>
        </w:rPr>
        <w:t>are</w:t>
      </w:r>
      <w:r w:rsidRPr="007C269F">
        <w:rPr>
          <w:rFonts w:cstheme="minorHAnsi"/>
          <w:sz w:val="22"/>
          <w:szCs w:val="22"/>
        </w:rPr>
        <w:t xml:space="preserve"> included in accountability calculations.  </w:t>
      </w:r>
      <w:r w:rsidR="00295428" w:rsidRPr="007C269F">
        <w:rPr>
          <w:rFonts w:cstheme="minorHAnsi"/>
          <w:sz w:val="22"/>
          <w:szCs w:val="22"/>
        </w:rPr>
        <w:t xml:space="preserve">For these </w:t>
      </w:r>
      <w:r w:rsidR="00295428">
        <w:rPr>
          <w:rFonts w:cstheme="minorHAnsi"/>
          <w:sz w:val="22"/>
          <w:szCs w:val="22"/>
        </w:rPr>
        <w:t>schools</w:t>
      </w:r>
      <w:r w:rsidR="00295428" w:rsidRPr="007C269F">
        <w:rPr>
          <w:rFonts w:cstheme="minorHAnsi"/>
          <w:sz w:val="22"/>
          <w:szCs w:val="22"/>
        </w:rPr>
        <w:t xml:space="preserve">, the number of </w:t>
      </w:r>
      <w:r w:rsidR="00295428">
        <w:rPr>
          <w:rFonts w:cstheme="minorHAnsi"/>
          <w:sz w:val="22"/>
          <w:szCs w:val="22"/>
        </w:rPr>
        <w:t>ELL</w:t>
      </w:r>
      <w:r w:rsidR="003D7F84">
        <w:rPr>
          <w:rFonts w:cstheme="minorHAnsi"/>
          <w:sz w:val="22"/>
          <w:szCs w:val="22"/>
        </w:rPr>
        <w:t>s mee</w:t>
      </w:r>
      <w:r w:rsidR="00295428" w:rsidRPr="007C269F">
        <w:rPr>
          <w:rFonts w:cstheme="minorHAnsi"/>
          <w:sz w:val="22"/>
          <w:szCs w:val="22"/>
        </w:rPr>
        <w:t xml:space="preserve">ting </w:t>
      </w:r>
      <w:r w:rsidR="003D7F84">
        <w:rPr>
          <w:rFonts w:cstheme="minorHAnsi"/>
          <w:sz w:val="22"/>
          <w:szCs w:val="22"/>
        </w:rPr>
        <w:t xml:space="preserve">the </w:t>
      </w:r>
      <w:r w:rsidR="00295428">
        <w:rPr>
          <w:rFonts w:cstheme="minorHAnsi"/>
          <w:sz w:val="22"/>
          <w:szCs w:val="22"/>
        </w:rPr>
        <w:t>ELP</w:t>
      </w:r>
      <w:r w:rsidR="003D7F84">
        <w:rPr>
          <w:rFonts w:cstheme="minorHAnsi"/>
          <w:sz w:val="22"/>
          <w:szCs w:val="22"/>
        </w:rPr>
        <w:t xml:space="preserve"> progress</w:t>
      </w:r>
      <w:r w:rsidR="00295428">
        <w:rPr>
          <w:rFonts w:cstheme="minorHAnsi"/>
          <w:sz w:val="22"/>
          <w:szCs w:val="22"/>
        </w:rPr>
        <w:t xml:space="preserve"> </w:t>
      </w:r>
      <w:r w:rsidR="00295428" w:rsidRPr="007C269F">
        <w:rPr>
          <w:rFonts w:cstheme="minorHAnsi"/>
          <w:sz w:val="22"/>
          <w:szCs w:val="22"/>
        </w:rPr>
        <w:t xml:space="preserve">target will be divided by the total number of </w:t>
      </w:r>
      <w:r w:rsidR="00295428">
        <w:rPr>
          <w:rFonts w:cstheme="minorHAnsi"/>
          <w:sz w:val="22"/>
          <w:szCs w:val="22"/>
        </w:rPr>
        <w:t>ELL</w:t>
      </w:r>
      <w:r w:rsidR="003D7F84">
        <w:rPr>
          <w:rFonts w:cstheme="minorHAnsi"/>
          <w:sz w:val="22"/>
          <w:szCs w:val="22"/>
        </w:rPr>
        <w:t>s</w:t>
      </w:r>
      <w:r w:rsidR="00295428">
        <w:rPr>
          <w:rFonts w:cstheme="minorHAnsi"/>
          <w:sz w:val="22"/>
          <w:szCs w:val="22"/>
        </w:rPr>
        <w:t xml:space="preserve"> </w:t>
      </w:r>
      <w:r w:rsidR="00295428" w:rsidRPr="007C269F">
        <w:rPr>
          <w:rFonts w:cstheme="minorHAnsi"/>
          <w:sz w:val="22"/>
          <w:szCs w:val="22"/>
        </w:rPr>
        <w:t>to determine the percentage</w:t>
      </w:r>
      <w:r w:rsidR="000A5B74">
        <w:rPr>
          <w:rFonts w:cstheme="minorHAnsi"/>
          <w:sz w:val="22"/>
          <w:szCs w:val="22"/>
        </w:rPr>
        <w:t xml:space="preserve"> of ELL’s making progress to proficiency and used</w:t>
      </w:r>
      <w:r w:rsidR="00295428">
        <w:rPr>
          <w:rFonts w:cstheme="minorHAnsi"/>
          <w:sz w:val="22"/>
          <w:szCs w:val="22"/>
        </w:rPr>
        <w:t xml:space="preserve"> </w:t>
      </w:r>
      <w:r w:rsidR="00295428" w:rsidRPr="007C269F">
        <w:rPr>
          <w:rFonts w:cstheme="minorHAnsi"/>
          <w:sz w:val="22"/>
          <w:szCs w:val="22"/>
        </w:rPr>
        <w:t>for accountability.</w:t>
      </w:r>
      <w:r w:rsidR="00295428">
        <w:rPr>
          <w:rFonts w:cstheme="minorHAnsi"/>
          <w:sz w:val="22"/>
          <w:szCs w:val="22"/>
        </w:rPr>
        <w:t xml:space="preserve"> </w:t>
      </w:r>
      <w:r w:rsidR="003A1AB2">
        <w:rPr>
          <w:rFonts w:cstheme="minorHAnsi"/>
          <w:sz w:val="22"/>
          <w:szCs w:val="22"/>
        </w:rPr>
        <w:t xml:space="preserve">Because of the significant difference in the percent of </w:t>
      </w:r>
      <w:r w:rsidR="00A44E66">
        <w:rPr>
          <w:rFonts w:cstheme="minorHAnsi"/>
          <w:sz w:val="22"/>
          <w:szCs w:val="22"/>
        </w:rPr>
        <w:t>ELLs</w:t>
      </w:r>
      <w:r w:rsidR="00F97D6D">
        <w:rPr>
          <w:rFonts w:cstheme="minorHAnsi"/>
          <w:sz w:val="22"/>
          <w:szCs w:val="22"/>
        </w:rPr>
        <w:t xml:space="preserve"> </w:t>
      </w:r>
      <w:r w:rsidR="00A44E66">
        <w:rPr>
          <w:rFonts w:cstheme="minorHAnsi"/>
          <w:sz w:val="22"/>
          <w:szCs w:val="22"/>
        </w:rPr>
        <w:t xml:space="preserve">who made progress </w:t>
      </w:r>
      <w:r w:rsidR="003A1AB2">
        <w:rPr>
          <w:rFonts w:cstheme="minorHAnsi"/>
          <w:sz w:val="22"/>
          <w:szCs w:val="22"/>
        </w:rPr>
        <w:t>by grade, d</w:t>
      </w:r>
      <w:r w:rsidRPr="00522F96">
        <w:rPr>
          <w:rFonts w:cstheme="minorHAnsi"/>
          <w:sz w:val="22"/>
          <w:szCs w:val="22"/>
        </w:rPr>
        <w:t xml:space="preserve">ichotomous targets </w:t>
      </w:r>
      <w:r w:rsidR="000A5B74">
        <w:rPr>
          <w:rFonts w:cstheme="minorHAnsi"/>
          <w:sz w:val="22"/>
          <w:szCs w:val="22"/>
        </w:rPr>
        <w:t>are</w:t>
      </w:r>
      <w:r w:rsidRPr="00522F96">
        <w:rPr>
          <w:rFonts w:cstheme="minorHAnsi"/>
          <w:sz w:val="22"/>
          <w:szCs w:val="22"/>
        </w:rPr>
        <w:t xml:space="preserve"> established for this indicator.  One target </w:t>
      </w:r>
      <w:r w:rsidR="003A1AB2">
        <w:rPr>
          <w:rFonts w:cstheme="minorHAnsi"/>
          <w:sz w:val="22"/>
          <w:szCs w:val="22"/>
        </w:rPr>
        <w:t>is</w:t>
      </w:r>
      <w:r w:rsidRPr="00522F96">
        <w:rPr>
          <w:rFonts w:cstheme="minorHAnsi"/>
          <w:sz w:val="22"/>
          <w:szCs w:val="22"/>
        </w:rPr>
        <w:t xml:space="preserve"> for schools </w:t>
      </w:r>
      <w:bookmarkStart w:id="8" w:name="_Hlk528252043"/>
      <w:r w:rsidR="00A44E66">
        <w:rPr>
          <w:rFonts w:cstheme="minorHAnsi"/>
          <w:sz w:val="22"/>
          <w:szCs w:val="22"/>
        </w:rPr>
        <w:t>ending with</w:t>
      </w:r>
      <w:r w:rsidRPr="00522F96">
        <w:rPr>
          <w:rFonts w:cstheme="minorHAnsi"/>
          <w:sz w:val="22"/>
          <w:szCs w:val="22"/>
        </w:rPr>
        <w:t xml:space="preserve"> 5th </w:t>
      </w:r>
      <w:r w:rsidR="00A44E66">
        <w:rPr>
          <w:rFonts w:cstheme="minorHAnsi"/>
          <w:sz w:val="22"/>
          <w:szCs w:val="22"/>
        </w:rPr>
        <w:t xml:space="preserve">grade </w:t>
      </w:r>
      <w:bookmarkEnd w:id="8"/>
      <w:r w:rsidRPr="00522F96">
        <w:rPr>
          <w:rFonts w:cstheme="minorHAnsi"/>
          <w:sz w:val="22"/>
          <w:szCs w:val="22"/>
        </w:rPr>
        <w:t xml:space="preserve">or lower and </w:t>
      </w:r>
      <w:r w:rsidR="000A5B74">
        <w:rPr>
          <w:rFonts w:cstheme="minorHAnsi"/>
          <w:sz w:val="22"/>
          <w:szCs w:val="22"/>
        </w:rPr>
        <w:t>a second</w:t>
      </w:r>
      <w:r w:rsidRPr="00522F96">
        <w:rPr>
          <w:rFonts w:cstheme="minorHAnsi"/>
          <w:sz w:val="22"/>
          <w:szCs w:val="22"/>
        </w:rPr>
        <w:t xml:space="preserve"> target </w:t>
      </w:r>
      <w:r w:rsidR="00A44E66">
        <w:rPr>
          <w:rFonts w:cstheme="minorHAnsi"/>
          <w:sz w:val="22"/>
          <w:szCs w:val="22"/>
        </w:rPr>
        <w:t>is</w:t>
      </w:r>
      <w:r w:rsidR="000A5B74">
        <w:rPr>
          <w:rFonts w:cstheme="minorHAnsi"/>
          <w:sz w:val="22"/>
          <w:szCs w:val="22"/>
        </w:rPr>
        <w:t xml:space="preserve"> for </w:t>
      </w:r>
      <w:r w:rsidR="003A1AB2">
        <w:rPr>
          <w:rFonts w:cstheme="minorHAnsi"/>
          <w:sz w:val="22"/>
          <w:szCs w:val="22"/>
        </w:rPr>
        <w:t xml:space="preserve">all other </w:t>
      </w:r>
      <w:r w:rsidRPr="00522F96">
        <w:rPr>
          <w:rFonts w:cstheme="minorHAnsi"/>
          <w:sz w:val="22"/>
          <w:szCs w:val="22"/>
        </w:rPr>
        <w:t xml:space="preserve">schools.  Examples of </w:t>
      </w:r>
      <w:r w:rsidRPr="007C269F">
        <w:rPr>
          <w:rFonts w:cstheme="minorHAnsi"/>
          <w:sz w:val="22"/>
          <w:szCs w:val="22"/>
        </w:rPr>
        <w:t xml:space="preserve">schools </w:t>
      </w:r>
      <w:r w:rsidR="00F97D6D">
        <w:rPr>
          <w:rFonts w:cstheme="minorHAnsi"/>
          <w:sz w:val="22"/>
          <w:szCs w:val="22"/>
        </w:rPr>
        <w:t>ending with</w:t>
      </w:r>
      <w:r w:rsidR="00F97D6D" w:rsidRPr="00522F96">
        <w:rPr>
          <w:rFonts w:cstheme="minorHAnsi"/>
          <w:sz w:val="22"/>
          <w:szCs w:val="22"/>
        </w:rPr>
        <w:t xml:space="preserve"> 5th </w:t>
      </w:r>
      <w:r w:rsidR="00F97D6D">
        <w:rPr>
          <w:rFonts w:cstheme="minorHAnsi"/>
          <w:sz w:val="22"/>
          <w:szCs w:val="22"/>
        </w:rPr>
        <w:t xml:space="preserve">grade </w:t>
      </w:r>
      <w:r w:rsidRPr="007C269F">
        <w:rPr>
          <w:rFonts w:cstheme="minorHAnsi"/>
          <w:sz w:val="22"/>
          <w:szCs w:val="22"/>
        </w:rPr>
        <w:t xml:space="preserve">or lower includes grades K-5 schools, grades PreK-3 schools, grades 4-5 schools, etc.  Examples of </w:t>
      </w:r>
      <w:r w:rsidR="00F97D6D">
        <w:rPr>
          <w:rFonts w:cstheme="minorHAnsi"/>
          <w:sz w:val="22"/>
          <w:szCs w:val="22"/>
        </w:rPr>
        <w:t xml:space="preserve">all other </w:t>
      </w:r>
      <w:r w:rsidRPr="007C269F">
        <w:rPr>
          <w:rFonts w:cstheme="minorHAnsi"/>
          <w:sz w:val="22"/>
          <w:szCs w:val="22"/>
        </w:rPr>
        <w:t>schools includes grades PreK-8 schools, grades 9-12 schools, grades K-12 schools, and grades 5-8 schools.</w:t>
      </w:r>
    </w:p>
    <w:p w:rsidR="00363E3B" w:rsidRPr="007B02FF" w:rsidRDefault="003D7F84" w:rsidP="00363E3B">
      <w:pPr>
        <w:rPr>
          <w:rFonts w:cstheme="minorHAnsi"/>
          <w:sz w:val="22"/>
          <w:szCs w:val="22"/>
        </w:rPr>
      </w:pPr>
      <w:r>
        <w:rPr>
          <w:rFonts w:cstheme="minorHAnsi"/>
          <w:sz w:val="22"/>
          <w:szCs w:val="22"/>
        </w:rPr>
        <w:t xml:space="preserve">The table below </w:t>
      </w:r>
      <w:r w:rsidR="00363E3B" w:rsidRPr="003D7F84">
        <w:rPr>
          <w:sz w:val="22"/>
          <w:szCs w:val="22"/>
        </w:rPr>
        <w:t xml:space="preserve">shows </w:t>
      </w:r>
      <w:r w:rsidR="00F97D6D">
        <w:rPr>
          <w:sz w:val="22"/>
          <w:szCs w:val="22"/>
        </w:rPr>
        <w:t xml:space="preserve">the mean </w:t>
      </w:r>
      <w:r w:rsidR="00F97D6D" w:rsidRPr="003D7F84">
        <w:rPr>
          <w:sz w:val="22"/>
          <w:szCs w:val="22"/>
        </w:rPr>
        <w:t>percentage</w:t>
      </w:r>
      <w:r w:rsidR="00F97D6D">
        <w:rPr>
          <w:sz w:val="22"/>
          <w:szCs w:val="22"/>
        </w:rPr>
        <w:t xml:space="preserve"> of</w:t>
      </w:r>
      <w:r w:rsidR="00F97D6D" w:rsidRPr="003D7F84">
        <w:rPr>
          <w:sz w:val="22"/>
          <w:szCs w:val="22"/>
        </w:rPr>
        <w:t xml:space="preserve"> </w:t>
      </w:r>
      <w:r w:rsidR="00F97D6D">
        <w:rPr>
          <w:rFonts w:cstheme="minorHAnsi"/>
          <w:sz w:val="22"/>
          <w:szCs w:val="22"/>
        </w:rPr>
        <w:t>ELLs mee</w:t>
      </w:r>
      <w:r w:rsidR="00F97D6D" w:rsidRPr="007C269F">
        <w:rPr>
          <w:rFonts w:cstheme="minorHAnsi"/>
          <w:sz w:val="22"/>
          <w:szCs w:val="22"/>
        </w:rPr>
        <w:t xml:space="preserve">ting </w:t>
      </w:r>
      <w:r w:rsidR="00F97D6D">
        <w:rPr>
          <w:rFonts w:cstheme="minorHAnsi"/>
          <w:sz w:val="22"/>
          <w:szCs w:val="22"/>
        </w:rPr>
        <w:t xml:space="preserve">progress </w:t>
      </w:r>
      <w:r w:rsidR="007B02FF">
        <w:rPr>
          <w:rFonts w:cstheme="minorHAnsi"/>
          <w:sz w:val="22"/>
          <w:szCs w:val="22"/>
        </w:rPr>
        <w:t>for</w:t>
      </w:r>
      <w:r w:rsidR="00F97D6D">
        <w:rPr>
          <w:sz w:val="22"/>
          <w:szCs w:val="22"/>
        </w:rPr>
        <w:t xml:space="preserve"> schools with </w:t>
      </w:r>
      <w:r w:rsidR="007B02FF">
        <w:rPr>
          <w:sz w:val="22"/>
          <w:szCs w:val="22"/>
        </w:rPr>
        <w:t>a n</w:t>
      </w:r>
      <w:r w:rsidR="00F97D6D">
        <w:rPr>
          <w:sz w:val="22"/>
          <w:szCs w:val="22"/>
        </w:rPr>
        <w:t xml:space="preserve">-size </w:t>
      </w:r>
      <w:r w:rsidR="00F97D6D" w:rsidRPr="00F97D6D">
        <w:rPr>
          <w:sz w:val="22"/>
          <w:szCs w:val="22"/>
          <w:u w:val="single"/>
        </w:rPr>
        <w:t>&gt;</w:t>
      </w:r>
      <w:r w:rsidR="00F97D6D">
        <w:rPr>
          <w:sz w:val="22"/>
          <w:szCs w:val="22"/>
        </w:rPr>
        <w:t xml:space="preserve"> 20 </w:t>
      </w:r>
      <w:r w:rsidR="00F97D6D">
        <w:rPr>
          <w:rFonts w:cstheme="minorHAnsi"/>
          <w:sz w:val="22"/>
          <w:szCs w:val="22"/>
        </w:rPr>
        <w:t xml:space="preserve">under </w:t>
      </w:r>
      <w:r w:rsidR="00363E3B" w:rsidRPr="003D7F84">
        <w:rPr>
          <w:sz w:val="22"/>
          <w:szCs w:val="22"/>
        </w:rPr>
        <w:t>the two configurations</w:t>
      </w:r>
      <w:r w:rsidR="00F97D6D">
        <w:rPr>
          <w:sz w:val="22"/>
          <w:szCs w:val="22"/>
        </w:rPr>
        <w:t xml:space="preserve">. </w:t>
      </w:r>
      <w:r w:rsidR="00363E3B" w:rsidRPr="003D7F84">
        <w:rPr>
          <w:sz w:val="22"/>
          <w:szCs w:val="22"/>
        </w:rPr>
        <w:t>The mean</w:t>
      </w:r>
      <w:r w:rsidR="00F97D6D">
        <w:rPr>
          <w:sz w:val="22"/>
          <w:szCs w:val="22"/>
        </w:rPr>
        <w:t xml:space="preserve"> </w:t>
      </w:r>
      <w:r w:rsidR="00363E3B" w:rsidRPr="003D7F84">
        <w:rPr>
          <w:sz w:val="22"/>
          <w:szCs w:val="22"/>
        </w:rPr>
        <w:t xml:space="preserve">percentage for the K-5 schools is </w:t>
      </w:r>
      <w:r w:rsidR="003008DE" w:rsidRPr="003D7F84">
        <w:rPr>
          <w:sz w:val="22"/>
          <w:szCs w:val="22"/>
        </w:rPr>
        <w:t>60.7</w:t>
      </w:r>
      <w:r w:rsidR="00363E3B" w:rsidRPr="003D7F84">
        <w:rPr>
          <w:sz w:val="22"/>
          <w:szCs w:val="22"/>
        </w:rPr>
        <w:t xml:space="preserve">% with a standard deviation of </w:t>
      </w:r>
      <w:r w:rsidR="003008DE" w:rsidRPr="003D7F84">
        <w:rPr>
          <w:sz w:val="22"/>
          <w:szCs w:val="22"/>
        </w:rPr>
        <w:t>14.6</w:t>
      </w:r>
      <w:r w:rsidR="00363E3B" w:rsidRPr="003D7F84">
        <w:rPr>
          <w:sz w:val="22"/>
          <w:szCs w:val="22"/>
        </w:rPr>
        <w:t xml:space="preserve">% compared to all other schools </w:t>
      </w:r>
      <w:r w:rsidR="007B02FF">
        <w:rPr>
          <w:sz w:val="22"/>
          <w:szCs w:val="22"/>
        </w:rPr>
        <w:t xml:space="preserve">with a </w:t>
      </w:r>
      <w:r w:rsidR="00363E3B" w:rsidRPr="003D7F84">
        <w:rPr>
          <w:sz w:val="22"/>
          <w:szCs w:val="22"/>
        </w:rPr>
        <w:t xml:space="preserve">percentage of </w:t>
      </w:r>
      <w:r w:rsidR="003008DE" w:rsidRPr="003D7F84">
        <w:rPr>
          <w:sz w:val="22"/>
          <w:szCs w:val="22"/>
        </w:rPr>
        <w:t>46.8</w:t>
      </w:r>
      <w:r w:rsidR="00363E3B" w:rsidRPr="003D7F84">
        <w:rPr>
          <w:sz w:val="22"/>
          <w:szCs w:val="22"/>
        </w:rPr>
        <w:t>% and a standard deviation of</w:t>
      </w:r>
      <w:r w:rsidR="003008DE" w:rsidRPr="003D7F84">
        <w:rPr>
          <w:sz w:val="22"/>
          <w:szCs w:val="22"/>
        </w:rPr>
        <w:t xml:space="preserve"> 17</w:t>
      </w:r>
      <w:r w:rsidR="003A1AB2">
        <w:rPr>
          <w:sz w:val="22"/>
          <w:szCs w:val="22"/>
        </w:rPr>
        <w:t>.0</w:t>
      </w:r>
      <w:r w:rsidR="00363E3B" w:rsidRPr="007B02FF">
        <w:rPr>
          <w:sz w:val="22"/>
          <w:szCs w:val="22"/>
        </w:rPr>
        <w:t xml:space="preserve">%.  Using the mean and standard deviation, </w:t>
      </w:r>
      <w:r w:rsidR="003008DE" w:rsidRPr="007B02FF">
        <w:rPr>
          <w:sz w:val="22"/>
          <w:szCs w:val="22"/>
        </w:rPr>
        <w:t>f</w:t>
      </w:r>
      <w:r w:rsidR="00363E3B" w:rsidRPr="007B02FF">
        <w:rPr>
          <w:sz w:val="22"/>
          <w:szCs w:val="22"/>
        </w:rPr>
        <w:t>our performance categories are created for each of the two school configuration type</w:t>
      </w:r>
      <w:r w:rsidR="003008DE" w:rsidRPr="007B02FF">
        <w:rPr>
          <w:sz w:val="22"/>
          <w:szCs w:val="22"/>
        </w:rPr>
        <w:t>s: Exceeds (E), Met (Y), Met within 1 Standard Deviation (Y*), and Not Met (N).</w:t>
      </w:r>
      <w:r w:rsidR="00363E3B" w:rsidRPr="007B02FF">
        <w:rPr>
          <w:sz w:val="22"/>
          <w:szCs w:val="22"/>
        </w:rPr>
        <w:t xml:space="preserve">  </w:t>
      </w:r>
    </w:p>
    <w:tbl>
      <w:tblPr>
        <w:tblW w:w="8594" w:type="dxa"/>
        <w:tblInd w:w="-5" w:type="dxa"/>
        <w:tblLook w:val="04A0" w:firstRow="1" w:lastRow="0" w:firstColumn="1" w:lastColumn="0" w:noHBand="0" w:noVBand="1"/>
      </w:tblPr>
      <w:tblGrid>
        <w:gridCol w:w="5054"/>
        <w:gridCol w:w="1770"/>
        <w:gridCol w:w="1770"/>
      </w:tblGrid>
      <w:tr w:rsidR="000C318C" w:rsidRPr="004D671E" w:rsidTr="000C318C">
        <w:trPr>
          <w:trHeight w:val="203"/>
        </w:trPr>
        <w:tc>
          <w:tcPr>
            <w:tcW w:w="5054" w:type="dxa"/>
            <w:tcBorders>
              <w:top w:val="nil"/>
              <w:left w:val="single" w:sz="4" w:space="0" w:color="auto"/>
              <w:bottom w:val="single" w:sz="4" w:space="0" w:color="auto"/>
              <w:right w:val="single" w:sz="4" w:space="0" w:color="auto"/>
            </w:tcBorders>
            <w:shd w:val="clear" w:color="auto" w:fill="auto"/>
            <w:noWrap/>
            <w:vAlign w:val="bottom"/>
          </w:tcPr>
          <w:p w:rsidR="000C318C" w:rsidRPr="007B02FF" w:rsidRDefault="000C318C" w:rsidP="000A03B0">
            <w:pPr>
              <w:spacing w:before="0" w:after="0" w:line="240" w:lineRule="auto"/>
              <w:jc w:val="center"/>
              <w:rPr>
                <w:rFonts w:ascii="Calibri" w:eastAsia="Times New Roman" w:hAnsi="Calibri" w:cs="Times New Roman"/>
                <w:b/>
                <w:color w:val="000000"/>
                <w:sz w:val="22"/>
                <w:szCs w:val="22"/>
              </w:rPr>
            </w:pPr>
            <w:r w:rsidRPr="007B02FF">
              <w:rPr>
                <w:rFonts w:ascii="Calibri" w:eastAsia="Times New Roman" w:hAnsi="Calibri" w:cs="Times New Roman"/>
                <w:b/>
                <w:color w:val="000000"/>
                <w:sz w:val="22"/>
                <w:szCs w:val="22"/>
              </w:rPr>
              <w:t>School Type</w:t>
            </w:r>
          </w:p>
        </w:tc>
        <w:tc>
          <w:tcPr>
            <w:tcW w:w="1770" w:type="dxa"/>
            <w:tcBorders>
              <w:top w:val="nil"/>
              <w:left w:val="nil"/>
              <w:bottom w:val="single" w:sz="4" w:space="0" w:color="auto"/>
              <w:right w:val="single" w:sz="4" w:space="0" w:color="auto"/>
            </w:tcBorders>
            <w:shd w:val="clear" w:color="auto" w:fill="auto"/>
            <w:noWrap/>
            <w:vAlign w:val="bottom"/>
          </w:tcPr>
          <w:p w:rsidR="000C318C" w:rsidRPr="007B02FF" w:rsidRDefault="000C318C" w:rsidP="000A03B0">
            <w:pPr>
              <w:spacing w:before="0" w:after="0" w:line="240" w:lineRule="auto"/>
              <w:jc w:val="center"/>
              <w:rPr>
                <w:rFonts w:ascii="Calibri" w:eastAsia="Times New Roman" w:hAnsi="Calibri" w:cs="Times New Roman"/>
                <w:b/>
                <w:color w:val="000000"/>
                <w:sz w:val="22"/>
                <w:szCs w:val="22"/>
              </w:rPr>
            </w:pPr>
            <w:r w:rsidRPr="007B02FF">
              <w:rPr>
                <w:rFonts w:ascii="Calibri" w:eastAsia="Times New Roman" w:hAnsi="Calibri" w:cs="Times New Roman"/>
                <w:b/>
                <w:color w:val="000000"/>
                <w:sz w:val="22"/>
                <w:szCs w:val="22"/>
              </w:rPr>
              <w:t>Mean</w:t>
            </w:r>
          </w:p>
        </w:tc>
        <w:tc>
          <w:tcPr>
            <w:tcW w:w="1770" w:type="dxa"/>
            <w:tcBorders>
              <w:top w:val="nil"/>
              <w:left w:val="nil"/>
              <w:bottom w:val="single" w:sz="4" w:space="0" w:color="auto"/>
              <w:right w:val="single" w:sz="4" w:space="0" w:color="auto"/>
            </w:tcBorders>
            <w:shd w:val="clear" w:color="auto" w:fill="auto"/>
            <w:noWrap/>
            <w:vAlign w:val="bottom"/>
          </w:tcPr>
          <w:p w:rsidR="000C318C" w:rsidRPr="007B02FF" w:rsidRDefault="000C318C" w:rsidP="000A03B0">
            <w:pPr>
              <w:spacing w:before="0" w:after="0" w:line="240" w:lineRule="auto"/>
              <w:jc w:val="center"/>
              <w:rPr>
                <w:rFonts w:ascii="Calibri" w:eastAsia="Times New Roman" w:hAnsi="Calibri" w:cs="Times New Roman"/>
                <w:b/>
                <w:color w:val="000000"/>
                <w:sz w:val="22"/>
                <w:szCs w:val="22"/>
              </w:rPr>
            </w:pPr>
            <w:r w:rsidRPr="007B02FF">
              <w:rPr>
                <w:rFonts w:ascii="Calibri" w:eastAsia="Times New Roman" w:hAnsi="Calibri" w:cs="Times New Roman"/>
                <w:b/>
                <w:color w:val="000000"/>
                <w:sz w:val="22"/>
                <w:szCs w:val="22"/>
              </w:rPr>
              <w:t>Std. Dev.</w:t>
            </w:r>
          </w:p>
        </w:tc>
      </w:tr>
      <w:tr w:rsidR="000C318C" w:rsidRPr="004D671E" w:rsidTr="000C318C">
        <w:trPr>
          <w:trHeight w:val="203"/>
        </w:trPr>
        <w:tc>
          <w:tcPr>
            <w:tcW w:w="5054" w:type="dxa"/>
            <w:tcBorders>
              <w:top w:val="nil"/>
              <w:left w:val="single" w:sz="4" w:space="0" w:color="auto"/>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sidRPr="004D671E">
              <w:rPr>
                <w:rFonts w:ascii="Calibri" w:eastAsia="Times New Roman" w:hAnsi="Calibri" w:cs="Times New Roman"/>
                <w:color w:val="000000"/>
                <w:sz w:val="22"/>
                <w:szCs w:val="22"/>
              </w:rPr>
              <w:t xml:space="preserve">School ends with grade </w:t>
            </w:r>
            <w:r>
              <w:rPr>
                <w:rFonts w:ascii="Calibri" w:eastAsia="Times New Roman" w:hAnsi="Calibri" w:cs="Times New Roman"/>
                <w:color w:val="000000"/>
                <w:sz w:val="22"/>
                <w:szCs w:val="22"/>
              </w:rPr>
              <w:t>5 or lower</w:t>
            </w:r>
          </w:p>
        </w:tc>
        <w:tc>
          <w:tcPr>
            <w:tcW w:w="1770" w:type="dxa"/>
            <w:tcBorders>
              <w:top w:val="nil"/>
              <w:left w:val="nil"/>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60.7</w:t>
            </w:r>
          </w:p>
        </w:tc>
        <w:tc>
          <w:tcPr>
            <w:tcW w:w="1770" w:type="dxa"/>
            <w:tcBorders>
              <w:top w:val="nil"/>
              <w:left w:val="nil"/>
              <w:bottom w:val="single" w:sz="4" w:space="0" w:color="auto"/>
              <w:right w:val="single" w:sz="4" w:space="0" w:color="auto"/>
            </w:tcBorders>
            <w:shd w:val="clear" w:color="auto" w:fill="auto"/>
            <w:noWrap/>
            <w:vAlign w:val="bottom"/>
          </w:tcPr>
          <w:p w:rsidR="000C318C" w:rsidRPr="000C318C" w:rsidRDefault="000C318C" w:rsidP="000A03B0">
            <w:pPr>
              <w:spacing w:before="0" w:after="0" w:line="240" w:lineRule="auto"/>
              <w:jc w:val="center"/>
              <w:rPr>
                <w:rFonts w:ascii="Calibri" w:eastAsia="Times New Roman" w:hAnsi="Calibri" w:cs="Times New Roman"/>
                <w:color w:val="000000"/>
                <w:sz w:val="22"/>
                <w:szCs w:val="22"/>
              </w:rPr>
            </w:pPr>
            <w:r w:rsidRPr="000C318C">
              <w:rPr>
                <w:rFonts w:ascii="Calibri" w:eastAsia="Times New Roman" w:hAnsi="Calibri" w:cs="Times New Roman"/>
                <w:color w:val="000000"/>
                <w:sz w:val="22"/>
                <w:szCs w:val="22"/>
              </w:rPr>
              <w:t>14.6</w:t>
            </w:r>
          </w:p>
        </w:tc>
      </w:tr>
      <w:tr w:rsidR="000C318C" w:rsidRPr="004D671E" w:rsidTr="000C318C">
        <w:trPr>
          <w:trHeight w:val="203"/>
        </w:trPr>
        <w:tc>
          <w:tcPr>
            <w:tcW w:w="5054" w:type="dxa"/>
            <w:tcBorders>
              <w:top w:val="nil"/>
              <w:left w:val="single" w:sz="4" w:space="0" w:color="auto"/>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All Other Schools</w:t>
            </w:r>
          </w:p>
        </w:tc>
        <w:tc>
          <w:tcPr>
            <w:tcW w:w="1770" w:type="dxa"/>
            <w:tcBorders>
              <w:top w:val="nil"/>
              <w:left w:val="nil"/>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46.8</w:t>
            </w:r>
          </w:p>
        </w:tc>
        <w:tc>
          <w:tcPr>
            <w:tcW w:w="1770" w:type="dxa"/>
            <w:tcBorders>
              <w:top w:val="nil"/>
              <w:left w:val="nil"/>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17.0</w:t>
            </w:r>
          </w:p>
        </w:tc>
      </w:tr>
      <w:tr w:rsidR="000C318C" w:rsidRPr="004D671E" w:rsidTr="000C318C">
        <w:trPr>
          <w:trHeight w:val="203"/>
        </w:trPr>
        <w:tc>
          <w:tcPr>
            <w:tcW w:w="5054" w:type="dxa"/>
            <w:tcBorders>
              <w:top w:val="nil"/>
              <w:left w:val="single" w:sz="4" w:space="0" w:color="auto"/>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All Districts</w:t>
            </w:r>
          </w:p>
        </w:tc>
        <w:tc>
          <w:tcPr>
            <w:tcW w:w="1770" w:type="dxa"/>
            <w:tcBorders>
              <w:top w:val="nil"/>
              <w:left w:val="nil"/>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56.6</w:t>
            </w:r>
          </w:p>
        </w:tc>
        <w:tc>
          <w:tcPr>
            <w:tcW w:w="1770" w:type="dxa"/>
            <w:tcBorders>
              <w:top w:val="nil"/>
              <w:left w:val="nil"/>
              <w:bottom w:val="single" w:sz="4" w:space="0" w:color="auto"/>
              <w:right w:val="single" w:sz="4" w:space="0" w:color="auto"/>
            </w:tcBorders>
            <w:shd w:val="clear" w:color="auto" w:fill="auto"/>
            <w:noWrap/>
            <w:vAlign w:val="bottom"/>
          </w:tcPr>
          <w:p w:rsidR="000C318C" w:rsidRPr="004D671E" w:rsidRDefault="000C318C" w:rsidP="000A03B0">
            <w:pPr>
              <w:spacing w:before="0"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14.5</w:t>
            </w:r>
          </w:p>
        </w:tc>
      </w:tr>
    </w:tbl>
    <w:p w:rsidR="00052E6E" w:rsidRDefault="00052E6E" w:rsidP="00363E3B">
      <w:pPr>
        <w:pStyle w:val="ListParagraph"/>
        <w:ind w:left="0"/>
        <w:rPr>
          <w:rFonts w:cstheme="minorHAnsi"/>
          <w:sz w:val="22"/>
          <w:szCs w:val="22"/>
        </w:rPr>
      </w:pPr>
      <w:r>
        <w:rPr>
          <w:rFonts w:cstheme="minorHAnsi"/>
          <w:sz w:val="22"/>
          <w:szCs w:val="22"/>
        </w:rPr>
        <w:t xml:space="preserve">The performance rating a school receives is determined by the mean and standard deviation in the school type category.  </w:t>
      </w:r>
    </w:p>
    <w:p w:rsidR="00052E6E" w:rsidRDefault="00052E6E" w:rsidP="00042063">
      <w:pPr>
        <w:pStyle w:val="ListParagraph"/>
        <w:numPr>
          <w:ilvl w:val="0"/>
          <w:numId w:val="52"/>
        </w:numPr>
        <w:rPr>
          <w:rFonts w:cstheme="minorHAnsi"/>
          <w:sz w:val="22"/>
          <w:szCs w:val="22"/>
        </w:rPr>
      </w:pPr>
      <w:r>
        <w:rPr>
          <w:rFonts w:cstheme="minorHAnsi"/>
          <w:sz w:val="22"/>
          <w:szCs w:val="22"/>
        </w:rPr>
        <w:t xml:space="preserve">For schools ending in grade 5 or lower, an “E” would be received if the </w:t>
      </w:r>
      <w:r w:rsidR="007B02FF">
        <w:rPr>
          <w:rFonts w:cstheme="minorHAnsi"/>
          <w:sz w:val="22"/>
          <w:szCs w:val="22"/>
        </w:rPr>
        <w:t>p</w:t>
      </w:r>
      <w:r>
        <w:rPr>
          <w:rFonts w:cstheme="minorHAnsi"/>
          <w:sz w:val="22"/>
          <w:szCs w:val="22"/>
        </w:rPr>
        <w:t>ercentage</w:t>
      </w:r>
      <w:r w:rsidR="007B02FF">
        <w:rPr>
          <w:rFonts w:cstheme="minorHAnsi"/>
          <w:sz w:val="22"/>
          <w:szCs w:val="22"/>
        </w:rPr>
        <w:t xml:space="preserve"> of ELLs making progress </w:t>
      </w:r>
      <w:r>
        <w:rPr>
          <w:rFonts w:cstheme="minorHAnsi"/>
          <w:sz w:val="22"/>
          <w:szCs w:val="22"/>
        </w:rPr>
        <w:t>is greater than 75.3%</w:t>
      </w:r>
      <w:r w:rsidR="007B02FF">
        <w:rPr>
          <w:rFonts w:cstheme="minorHAnsi"/>
          <w:sz w:val="22"/>
          <w:szCs w:val="22"/>
        </w:rPr>
        <w:t>;</w:t>
      </w:r>
      <w:r>
        <w:rPr>
          <w:rFonts w:cstheme="minorHAnsi"/>
          <w:sz w:val="22"/>
          <w:szCs w:val="22"/>
        </w:rPr>
        <w:t xml:space="preserve"> </w:t>
      </w:r>
      <w:r w:rsidR="00293B1E">
        <w:rPr>
          <w:rFonts w:cstheme="minorHAnsi"/>
          <w:sz w:val="22"/>
          <w:szCs w:val="22"/>
        </w:rPr>
        <w:t>a “Y” represents</w:t>
      </w:r>
      <w:r>
        <w:rPr>
          <w:rFonts w:cstheme="minorHAnsi"/>
          <w:sz w:val="22"/>
          <w:szCs w:val="22"/>
        </w:rPr>
        <w:t xml:space="preserve"> a percentage of 60.7% to 75.3%</w:t>
      </w:r>
      <w:r w:rsidR="00293B1E">
        <w:rPr>
          <w:rFonts w:cstheme="minorHAnsi"/>
          <w:sz w:val="22"/>
          <w:szCs w:val="22"/>
        </w:rPr>
        <w:t xml:space="preserve">; a “Y*” represents </w:t>
      </w:r>
      <w:r>
        <w:rPr>
          <w:rFonts w:cstheme="minorHAnsi"/>
          <w:sz w:val="22"/>
          <w:szCs w:val="22"/>
        </w:rPr>
        <w:t xml:space="preserve">a percentage of 46.1% to 60.6%; and </w:t>
      </w:r>
      <w:r w:rsidR="00293B1E">
        <w:rPr>
          <w:rFonts w:cstheme="minorHAnsi"/>
          <w:sz w:val="22"/>
          <w:szCs w:val="22"/>
        </w:rPr>
        <w:t xml:space="preserve">an “N” represents </w:t>
      </w:r>
      <w:r w:rsidR="009D54BC">
        <w:rPr>
          <w:rFonts w:cstheme="minorHAnsi"/>
          <w:sz w:val="22"/>
          <w:szCs w:val="22"/>
        </w:rPr>
        <w:t>a percentage</w:t>
      </w:r>
      <w:r>
        <w:rPr>
          <w:rFonts w:cstheme="minorHAnsi"/>
          <w:sz w:val="22"/>
          <w:szCs w:val="22"/>
        </w:rPr>
        <w:t xml:space="preserve"> under 46.1%</w:t>
      </w:r>
      <w:r w:rsidR="00042063">
        <w:rPr>
          <w:rFonts w:cstheme="minorHAnsi"/>
          <w:sz w:val="22"/>
          <w:szCs w:val="22"/>
        </w:rPr>
        <w:t>.</w:t>
      </w:r>
    </w:p>
    <w:p w:rsidR="00042063" w:rsidRDefault="00042063" w:rsidP="00042063">
      <w:pPr>
        <w:pStyle w:val="ListParagraph"/>
        <w:rPr>
          <w:rFonts w:cstheme="minorHAnsi"/>
          <w:sz w:val="22"/>
          <w:szCs w:val="22"/>
        </w:rPr>
      </w:pPr>
    </w:p>
    <w:p w:rsidR="00042063" w:rsidRDefault="00052E6E" w:rsidP="00042063">
      <w:pPr>
        <w:pStyle w:val="ListParagraph"/>
        <w:numPr>
          <w:ilvl w:val="0"/>
          <w:numId w:val="52"/>
        </w:numPr>
        <w:rPr>
          <w:rFonts w:cstheme="minorHAnsi"/>
          <w:sz w:val="22"/>
          <w:szCs w:val="22"/>
        </w:rPr>
      </w:pPr>
      <w:r w:rsidRPr="00042063">
        <w:rPr>
          <w:rFonts w:cstheme="minorHAnsi"/>
          <w:sz w:val="22"/>
          <w:szCs w:val="22"/>
        </w:rPr>
        <w:t xml:space="preserve">For all other schools, an “E” would be received if </w:t>
      </w:r>
      <w:r w:rsidR="00042063" w:rsidRPr="00042063">
        <w:rPr>
          <w:rFonts w:cstheme="minorHAnsi"/>
          <w:sz w:val="22"/>
          <w:szCs w:val="22"/>
        </w:rPr>
        <w:t>the percentage of ELLs making progress</w:t>
      </w:r>
      <w:r w:rsidRPr="00042063">
        <w:rPr>
          <w:rFonts w:cstheme="minorHAnsi"/>
          <w:sz w:val="22"/>
          <w:szCs w:val="22"/>
        </w:rPr>
        <w:t xml:space="preserve"> is greater than 63.8%</w:t>
      </w:r>
      <w:r w:rsidR="00042063" w:rsidRPr="00042063">
        <w:rPr>
          <w:rFonts w:cstheme="minorHAnsi"/>
          <w:sz w:val="22"/>
          <w:szCs w:val="22"/>
        </w:rPr>
        <w:t>;</w:t>
      </w:r>
      <w:r w:rsidRPr="00042063">
        <w:rPr>
          <w:rFonts w:cstheme="minorHAnsi"/>
          <w:sz w:val="22"/>
          <w:szCs w:val="22"/>
        </w:rPr>
        <w:t xml:space="preserve"> a “Y” indicates </w:t>
      </w:r>
      <w:r w:rsidR="00042063" w:rsidRPr="00042063">
        <w:rPr>
          <w:rFonts w:cstheme="minorHAnsi"/>
          <w:sz w:val="22"/>
          <w:szCs w:val="22"/>
        </w:rPr>
        <w:t>a</w:t>
      </w:r>
      <w:r w:rsidRPr="00042063">
        <w:rPr>
          <w:rFonts w:cstheme="minorHAnsi"/>
          <w:sz w:val="22"/>
          <w:szCs w:val="22"/>
        </w:rPr>
        <w:t xml:space="preserve"> percentage of 46.8% to 63.8%; a “Y*” indicates </w:t>
      </w:r>
      <w:r w:rsidR="00042063" w:rsidRPr="00042063">
        <w:rPr>
          <w:rFonts w:cstheme="minorHAnsi"/>
          <w:sz w:val="22"/>
          <w:szCs w:val="22"/>
        </w:rPr>
        <w:t>a</w:t>
      </w:r>
      <w:r w:rsidRPr="00042063">
        <w:rPr>
          <w:rFonts w:cstheme="minorHAnsi"/>
          <w:sz w:val="22"/>
          <w:szCs w:val="22"/>
        </w:rPr>
        <w:t xml:space="preserve"> percentage of 29.8% to 46.7%; and an “N” indicates a percentage under 29.8%</w:t>
      </w:r>
      <w:r w:rsidR="00042063">
        <w:rPr>
          <w:rFonts w:cstheme="minorHAnsi"/>
          <w:sz w:val="22"/>
          <w:szCs w:val="22"/>
        </w:rPr>
        <w:t>.</w:t>
      </w:r>
    </w:p>
    <w:p w:rsidR="00042063" w:rsidRPr="00042063" w:rsidRDefault="00042063" w:rsidP="00042063">
      <w:pPr>
        <w:pStyle w:val="ListParagraph"/>
        <w:rPr>
          <w:rFonts w:cstheme="minorHAnsi"/>
          <w:sz w:val="22"/>
          <w:szCs w:val="22"/>
        </w:rPr>
      </w:pPr>
    </w:p>
    <w:p w:rsidR="00042063" w:rsidRPr="00042063" w:rsidRDefault="00042063" w:rsidP="00042063">
      <w:pPr>
        <w:pStyle w:val="ListParagraph"/>
        <w:numPr>
          <w:ilvl w:val="0"/>
          <w:numId w:val="52"/>
        </w:numPr>
        <w:rPr>
          <w:rFonts w:cstheme="minorHAnsi"/>
          <w:sz w:val="22"/>
          <w:szCs w:val="22"/>
        </w:rPr>
      </w:pPr>
      <w:r w:rsidRPr="00042063">
        <w:rPr>
          <w:rFonts w:cstheme="minorHAnsi"/>
          <w:sz w:val="22"/>
          <w:szCs w:val="22"/>
        </w:rPr>
        <w:t>Since virtually all of New Jersey’s school districts used for the ELP Indicator end with a grade higher than 5</w:t>
      </w:r>
      <w:r w:rsidRPr="00042063">
        <w:rPr>
          <w:rFonts w:cstheme="minorHAnsi"/>
          <w:sz w:val="22"/>
          <w:szCs w:val="22"/>
          <w:vertAlign w:val="superscript"/>
        </w:rPr>
        <w:t>th</w:t>
      </w:r>
      <w:r w:rsidRPr="00042063">
        <w:rPr>
          <w:rFonts w:cstheme="minorHAnsi"/>
          <w:sz w:val="22"/>
          <w:szCs w:val="22"/>
        </w:rPr>
        <w:t>, there is only one mean used for the district reports.  An “E” would be received on the district report if the percentage</w:t>
      </w:r>
      <w:r>
        <w:rPr>
          <w:rFonts w:cstheme="minorHAnsi"/>
          <w:sz w:val="22"/>
          <w:szCs w:val="22"/>
        </w:rPr>
        <w:t xml:space="preserve"> o</w:t>
      </w:r>
      <w:r w:rsidRPr="00042063">
        <w:rPr>
          <w:rFonts w:cstheme="minorHAnsi"/>
          <w:sz w:val="22"/>
          <w:szCs w:val="22"/>
        </w:rPr>
        <w:t>f ELLs making</w:t>
      </w:r>
      <w:r>
        <w:rPr>
          <w:rFonts w:cstheme="minorHAnsi"/>
          <w:sz w:val="22"/>
          <w:szCs w:val="22"/>
        </w:rPr>
        <w:t xml:space="preserve"> progress</w:t>
      </w:r>
      <w:r w:rsidRPr="00042063">
        <w:rPr>
          <w:rFonts w:cstheme="minorHAnsi"/>
          <w:sz w:val="22"/>
          <w:szCs w:val="22"/>
        </w:rPr>
        <w:t xml:space="preserve"> is greater than 71.1%</w:t>
      </w:r>
      <w:r>
        <w:rPr>
          <w:rFonts w:cstheme="minorHAnsi"/>
          <w:sz w:val="22"/>
          <w:szCs w:val="22"/>
        </w:rPr>
        <w:t>;</w:t>
      </w:r>
      <w:r w:rsidRPr="00042063">
        <w:rPr>
          <w:rFonts w:cstheme="minorHAnsi"/>
          <w:sz w:val="22"/>
          <w:szCs w:val="22"/>
        </w:rPr>
        <w:t xml:space="preserve"> a “Y” indicates a percentage of 56.6% to 71.1%; a “Y*” indicates a percentage of 42.1% to 56.5%; and an “N” indicates a percentage under 42.1%</w:t>
      </w:r>
      <w:r>
        <w:rPr>
          <w:rFonts w:cstheme="minorHAnsi"/>
          <w:sz w:val="22"/>
          <w:szCs w:val="22"/>
        </w:rPr>
        <w:t>.</w:t>
      </w:r>
    </w:p>
    <w:p w:rsidR="00363E3B" w:rsidRDefault="00363E3B" w:rsidP="00363E3B">
      <w:pPr>
        <w:pStyle w:val="ListParagraph"/>
        <w:ind w:left="0"/>
        <w:rPr>
          <w:rFonts w:cstheme="minorHAnsi"/>
          <w:sz w:val="22"/>
          <w:szCs w:val="22"/>
        </w:rPr>
      </w:pPr>
    </w:p>
    <w:p w:rsidR="00363E3B" w:rsidRPr="00347076" w:rsidRDefault="00BB5E19" w:rsidP="00363E3B">
      <w:pPr>
        <w:pBdr>
          <w:top w:val="single" w:sz="6" w:space="2" w:color="4472C4" w:themeColor="accent1"/>
        </w:pBdr>
        <w:spacing w:before="300" w:after="0"/>
        <w:outlineLvl w:val="2"/>
        <w:rPr>
          <w:caps/>
          <w:color w:val="1F3864" w:themeColor="accent1" w:themeShade="80"/>
          <w:spacing w:val="15"/>
          <w:sz w:val="24"/>
          <w:szCs w:val="24"/>
        </w:rPr>
      </w:pPr>
      <w:r w:rsidRPr="00347076">
        <w:rPr>
          <w:color w:val="1F3864" w:themeColor="accent1" w:themeShade="80"/>
          <w:spacing w:val="15"/>
          <w:sz w:val="24"/>
          <w:szCs w:val="24"/>
        </w:rPr>
        <w:t>Long</w:t>
      </w:r>
      <w:r w:rsidRPr="00347076">
        <w:rPr>
          <w:caps/>
          <w:color w:val="1F3864" w:themeColor="accent1" w:themeShade="80"/>
          <w:spacing w:val="15"/>
          <w:sz w:val="24"/>
          <w:szCs w:val="24"/>
        </w:rPr>
        <w:t>-T</w:t>
      </w:r>
      <w:r w:rsidRPr="00347076">
        <w:rPr>
          <w:color w:val="1F3864" w:themeColor="accent1" w:themeShade="80"/>
          <w:spacing w:val="15"/>
          <w:sz w:val="24"/>
          <w:szCs w:val="24"/>
        </w:rPr>
        <w:t>erm</w:t>
      </w:r>
      <w:r w:rsidR="00363E3B" w:rsidRPr="00347076">
        <w:rPr>
          <w:caps/>
          <w:color w:val="1F3864" w:themeColor="accent1" w:themeShade="80"/>
          <w:spacing w:val="15"/>
          <w:sz w:val="24"/>
          <w:szCs w:val="24"/>
        </w:rPr>
        <w:t xml:space="preserve"> </w:t>
      </w:r>
      <w:r w:rsidR="00363E3B" w:rsidRPr="00347076">
        <w:rPr>
          <w:color w:val="1F3864" w:themeColor="accent1" w:themeShade="80"/>
          <w:spacing w:val="15"/>
          <w:sz w:val="24"/>
          <w:szCs w:val="24"/>
        </w:rPr>
        <w:t>Goals</w:t>
      </w:r>
    </w:p>
    <w:p w:rsidR="00763094" w:rsidRPr="00F86AF7" w:rsidRDefault="00763094" w:rsidP="00363E3B">
      <w:pPr>
        <w:pBdr>
          <w:top w:val="single" w:sz="6" w:space="2" w:color="4472C4" w:themeColor="accent1"/>
        </w:pBdr>
        <w:spacing w:before="300" w:after="0"/>
        <w:outlineLvl w:val="2"/>
        <w:rPr>
          <w:color w:val="1F3864" w:themeColor="accent1" w:themeShade="80"/>
          <w:spacing w:val="15"/>
          <w:sz w:val="22"/>
        </w:rPr>
      </w:pPr>
      <w:r w:rsidRPr="00DE63C5">
        <w:rPr>
          <w:rFonts w:cs="Arial"/>
          <w:sz w:val="22"/>
          <w:szCs w:val="22"/>
        </w:rPr>
        <w:t xml:space="preserve">Separate annual targets are derived for two groups of schools – those that </w:t>
      </w:r>
      <w:r>
        <w:rPr>
          <w:rFonts w:cs="Arial"/>
          <w:sz w:val="22"/>
          <w:szCs w:val="22"/>
        </w:rPr>
        <w:t>contain grades 5</w:t>
      </w:r>
      <w:r w:rsidRPr="00D475CA">
        <w:rPr>
          <w:rFonts w:cs="Arial"/>
          <w:sz w:val="22"/>
          <w:szCs w:val="22"/>
        </w:rPr>
        <w:t>th</w:t>
      </w:r>
      <w:r>
        <w:rPr>
          <w:rFonts w:cs="Arial"/>
          <w:sz w:val="22"/>
          <w:szCs w:val="22"/>
        </w:rPr>
        <w:t xml:space="preserve"> o</w:t>
      </w:r>
      <w:r w:rsidR="00750AB7">
        <w:rPr>
          <w:rFonts w:cs="Arial"/>
          <w:sz w:val="22"/>
          <w:szCs w:val="22"/>
        </w:rPr>
        <w:t>r</w:t>
      </w:r>
      <w:r>
        <w:rPr>
          <w:rFonts w:cs="Arial"/>
          <w:sz w:val="22"/>
          <w:szCs w:val="22"/>
        </w:rPr>
        <w:t xml:space="preserve"> lower </w:t>
      </w:r>
      <w:r w:rsidRPr="00DE63C5">
        <w:rPr>
          <w:rFonts w:cs="Arial"/>
          <w:sz w:val="22"/>
          <w:szCs w:val="22"/>
        </w:rPr>
        <w:t>and all other schools.  In subsequent years for the ELP measure, the annual targe</w:t>
      </w:r>
      <w:r>
        <w:rPr>
          <w:rFonts w:cs="Arial"/>
          <w:sz w:val="22"/>
          <w:szCs w:val="22"/>
        </w:rPr>
        <w:t xml:space="preserve">t will increase </w:t>
      </w:r>
      <w:r w:rsidRPr="00DE63C5">
        <w:rPr>
          <w:rFonts w:cs="Arial"/>
          <w:sz w:val="22"/>
          <w:szCs w:val="22"/>
        </w:rPr>
        <w:t>1</w:t>
      </w:r>
      <w:r>
        <w:rPr>
          <w:rFonts w:cs="Arial"/>
          <w:sz w:val="22"/>
          <w:szCs w:val="22"/>
        </w:rPr>
        <w:t>% a year to establish a long-term goal.</w:t>
      </w:r>
    </w:p>
    <w:p w:rsidR="00363E3B" w:rsidRPr="00046602" w:rsidRDefault="00363E3B" w:rsidP="00363E3B">
      <w:pPr>
        <w:spacing w:after="120" w:line="240" w:lineRule="auto"/>
        <w:rPr>
          <w:b/>
          <w:u w:val="single"/>
        </w:rPr>
      </w:pPr>
    </w:p>
    <w:tbl>
      <w:tblPr>
        <w:tblW w:w="9313" w:type="dxa"/>
        <w:tblCellMar>
          <w:left w:w="0" w:type="dxa"/>
          <w:right w:w="0" w:type="dxa"/>
        </w:tblCellMar>
        <w:tblLook w:val="0420" w:firstRow="1" w:lastRow="0" w:firstColumn="0" w:lastColumn="0" w:noHBand="0" w:noVBand="1"/>
      </w:tblPr>
      <w:tblGrid>
        <w:gridCol w:w="1476"/>
        <w:gridCol w:w="1380"/>
        <w:gridCol w:w="1242"/>
        <w:gridCol w:w="1283"/>
        <w:gridCol w:w="1242"/>
        <w:gridCol w:w="1255"/>
        <w:gridCol w:w="1435"/>
      </w:tblGrid>
      <w:tr w:rsidR="00363E3B" w:rsidRPr="00EF50DA" w:rsidTr="00462BA7">
        <w:trPr>
          <w:trHeight w:val="771"/>
        </w:trPr>
        <w:tc>
          <w:tcPr>
            <w:tcW w:w="1476" w:type="dxa"/>
            <w:tcBorders>
              <w:top w:val="nil"/>
              <w:left w:val="nil"/>
              <w:bottom w:val="nil"/>
              <w:right w:val="nil"/>
            </w:tcBorders>
            <w:shd w:val="clear" w:color="auto" w:fill="auto"/>
            <w:tcMar>
              <w:top w:w="54" w:type="dxa"/>
              <w:left w:w="108" w:type="dxa"/>
              <w:bottom w:w="54" w:type="dxa"/>
              <w:right w:w="108" w:type="dxa"/>
            </w:tcMar>
            <w:hideMark/>
          </w:tcPr>
          <w:p w:rsidR="00363E3B" w:rsidRPr="00046602" w:rsidRDefault="00363E3B" w:rsidP="00462BA7">
            <w:pPr>
              <w:spacing w:after="120" w:line="240" w:lineRule="auto"/>
              <w:rPr>
                <w:sz w:val="22"/>
                <w:szCs w:val="22"/>
                <w:u w:val="single"/>
              </w:rPr>
            </w:pPr>
          </w:p>
        </w:tc>
        <w:tc>
          <w:tcPr>
            <w:tcW w:w="1380" w:type="dxa"/>
            <w:tcBorders>
              <w:top w:val="single" w:sz="8" w:space="0" w:color="FFFFFF"/>
              <w:left w:val="nil"/>
              <w:bottom w:val="single" w:sz="24" w:space="0" w:color="FFFFFF"/>
              <w:right w:val="single" w:sz="8" w:space="0" w:color="FFFFFF"/>
            </w:tcBorders>
            <w:shd w:val="clear" w:color="auto" w:fill="5B9BD5"/>
            <w:tcMar>
              <w:top w:w="54" w:type="dxa"/>
              <w:left w:w="108" w:type="dxa"/>
              <w:bottom w:w="54" w:type="dxa"/>
              <w:right w:w="108" w:type="dxa"/>
            </w:tcMar>
            <w:hideMark/>
          </w:tcPr>
          <w:p w:rsidR="00363E3B" w:rsidRPr="00046602" w:rsidRDefault="00363E3B" w:rsidP="00462BA7">
            <w:pPr>
              <w:spacing w:after="120" w:line="240" w:lineRule="auto"/>
              <w:rPr>
                <w:sz w:val="22"/>
                <w:szCs w:val="22"/>
                <w:u w:val="single"/>
              </w:rPr>
            </w:pPr>
            <w:r w:rsidRPr="00046602">
              <w:rPr>
                <w:b/>
                <w:bCs/>
                <w:sz w:val="22"/>
                <w:szCs w:val="22"/>
                <w:u w:val="single"/>
              </w:rPr>
              <w:t xml:space="preserve">2018 </w:t>
            </w:r>
          </w:p>
          <w:p w:rsidR="00363E3B" w:rsidRPr="00046602" w:rsidRDefault="00363E3B" w:rsidP="00462BA7">
            <w:pPr>
              <w:spacing w:after="120" w:line="240" w:lineRule="auto"/>
              <w:rPr>
                <w:sz w:val="22"/>
                <w:szCs w:val="22"/>
                <w:u w:val="single"/>
              </w:rPr>
            </w:pPr>
            <w:r w:rsidRPr="00046602">
              <w:rPr>
                <w:b/>
                <w:bCs/>
                <w:sz w:val="22"/>
                <w:szCs w:val="22"/>
                <w:u w:val="single"/>
              </w:rPr>
              <w:t>(Baseline Target)</w:t>
            </w:r>
          </w:p>
        </w:tc>
        <w:tc>
          <w:tcPr>
            <w:tcW w:w="1242" w:type="dxa"/>
            <w:tcBorders>
              <w:top w:val="single" w:sz="8" w:space="0" w:color="FFFFFF"/>
              <w:left w:val="single" w:sz="8" w:space="0" w:color="FFFFFF"/>
              <w:bottom w:val="single" w:sz="24" w:space="0" w:color="FFFFFF"/>
              <w:right w:val="single" w:sz="8" w:space="0" w:color="FFFFFF"/>
            </w:tcBorders>
            <w:shd w:val="clear" w:color="auto" w:fill="5B9BD5"/>
            <w:tcMar>
              <w:top w:w="54" w:type="dxa"/>
              <w:left w:w="108" w:type="dxa"/>
              <w:bottom w:w="54" w:type="dxa"/>
              <w:right w:w="108" w:type="dxa"/>
            </w:tcMar>
            <w:hideMark/>
          </w:tcPr>
          <w:p w:rsidR="00363E3B" w:rsidRPr="00046602" w:rsidRDefault="00363E3B" w:rsidP="00462BA7">
            <w:pPr>
              <w:spacing w:after="120" w:line="240" w:lineRule="auto"/>
              <w:rPr>
                <w:sz w:val="22"/>
                <w:szCs w:val="22"/>
                <w:u w:val="single"/>
              </w:rPr>
            </w:pPr>
            <w:r w:rsidRPr="00046602">
              <w:rPr>
                <w:b/>
                <w:bCs/>
                <w:sz w:val="22"/>
                <w:szCs w:val="22"/>
                <w:u w:val="single"/>
              </w:rPr>
              <w:t>2019</w:t>
            </w:r>
          </w:p>
          <w:p w:rsidR="00363E3B" w:rsidRPr="00046602" w:rsidRDefault="00363E3B" w:rsidP="00462BA7">
            <w:pPr>
              <w:spacing w:after="120" w:line="240" w:lineRule="auto"/>
              <w:rPr>
                <w:sz w:val="22"/>
                <w:szCs w:val="22"/>
                <w:u w:val="single"/>
              </w:rPr>
            </w:pPr>
            <w:r w:rsidRPr="00046602">
              <w:rPr>
                <w:b/>
                <w:bCs/>
                <w:sz w:val="22"/>
                <w:szCs w:val="22"/>
                <w:u w:val="single"/>
              </w:rPr>
              <w:t>(Year 1)</w:t>
            </w:r>
          </w:p>
        </w:tc>
        <w:tc>
          <w:tcPr>
            <w:tcW w:w="1283" w:type="dxa"/>
            <w:tcBorders>
              <w:top w:val="single" w:sz="8" w:space="0" w:color="FFFFFF"/>
              <w:left w:val="single" w:sz="8" w:space="0" w:color="FFFFFF"/>
              <w:bottom w:val="single" w:sz="24" w:space="0" w:color="FFFFFF"/>
              <w:right w:val="single" w:sz="8" w:space="0" w:color="FFFFFF"/>
            </w:tcBorders>
            <w:shd w:val="clear" w:color="auto" w:fill="5B9BD5"/>
            <w:tcMar>
              <w:top w:w="54" w:type="dxa"/>
              <w:left w:w="108" w:type="dxa"/>
              <w:bottom w:w="54" w:type="dxa"/>
              <w:right w:w="108" w:type="dxa"/>
            </w:tcMar>
            <w:hideMark/>
          </w:tcPr>
          <w:p w:rsidR="00363E3B" w:rsidRPr="00046602" w:rsidRDefault="00363E3B" w:rsidP="00462BA7">
            <w:pPr>
              <w:spacing w:after="120" w:line="240" w:lineRule="auto"/>
              <w:rPr>
                <w:sz w:val="22"/>
                <w:szCs w:val="22"/>
                <w:u w:val="single"/>
              </w:rPr>
            </w:pPr>
            <w:r w:rsidRPr="00046602">
              <w:rPr>
                <w:b/>
                <w:bCs/>
                <w:sz w:val="22"/>
                <w:szCs w:val="22"/>
                <w:u w:val="single"/>
              </w:rPr>
              <w:t>2020</w:t>
            </w:r>
          </w:p>
          <w:p w:rsidR="00363E3B" w:rsidRPr="00046602" w:rsidRDefault="00363E3B" w:rsidP="00462BA7">
            <w:pPr>
              <w:spacing w:after="120" w:line="240" w:lineRule="auto"/>
              <w:rPr>
                <w:sz w:val="22"/>
                <w:szCs w:val="22"/>
                <w:u w:val="single"/>
              </w:rPr>
            </w:pPr>
            <w:r w:rsidRPr="00046602">
              <w:rPr>
                <w:b/>
                <w:bCs/>
                <w:sz w:val="22"/>
                <w:szCs w:val="22"/>
                <w:u w:val="single"/>
              </w:rPr>
              <w:t>(Year 2)</w:t>
            </w:r>
          </w:p>
        </w:tc>
        <w:tc>
          <w:tcPr>
            <w:tcW w:w="1242" w:type="dxa"/>
            <w:tcBorders>
              <w:top w:val="single" w:sz="8" w:space="0" w:color="FFFFFF"/>
              <w:left w:val="single" w:sz="8" w:space="0" w:color="FFFFFF"/>
              <w:bottom w:val="single" w:sz="24" w:space="0" w:color="FFFFFF"/>
              <w:right w:val="single" w:sz="8" w:space="0" w:color="FFFFFF"/>
            </w:tcBorders>
            <w:shd w:val="clear" w:color="auto" w:fill="5B9BD5"/>
            <w:tcMar>
              <w:top w:w="54" w:type="dxa"/>
              <w:left w:w="108" w:type="dxa"/>
              <w:bottom w:w="54" w:type="dxa"/>
              <w:right w:w="108" w:type="dxa"/>
            </w:tcMar>
            <w:hideMark/>
          </w:tcPr>
          <w:p w:rsidR="00363E3B" w:rsidRPr="00046602" w:rsidRDefault="00363E3B" w:rsidP="00462BA7">
            <w:pPr>
              <w:spacing w:after="120" w:line="240" w:lineRule="auto"/>
              <w:rPr>
                <w:sz w:val="22"/>
                <w:szCs w:val="22"/>
                <w:u w:val="single"/>
              </w:rPr>
            </w:pPr>
            <w:r w:rsidRPr="00046602">
              <w:rPr>
                <w:b/>
                <w:bCs/>
                <w:sz w:val="22"/>
                <w:szCs w:val="22"/>
                <w:u w:val="single"/>
              </w:rPr>
              <w:t>2021</w:t>
            </w:r>
          </w:p>
          <w:p w:rsidR="00363E3B" w:rsidRPr="00046602" w:rsidRDefault="00363E3B" w:rsidP="00462BA7">
            <w:pPr>
              <w:spacing w:after="120" w:line="240" w:lineRule="auto"/>
              <w:rPr>
                <w:sz w:val="22"/>
                <w:szCs w:val="22"/>
                <w:u w:val="single"/>
              </w:rPr>
            </w:pPr>
            <w:r w:rsidRPr="00046602">
              <w:rPr>
                <w:b/>
                <w:bCs/>
                <w:sz w:val="22"/>
                <w:szCs w:val="22"/>
                <w:u w:val="single"/>
              </w:rPr>
              <w:t>(Year 3)</w:t>
            </w:r>
          </w:p>
        </w:tc>
        <w:tc>
          <w:tcPr>
            <w:tcW w:w="1255" w:type="dxa"/>
            <w:tcBorders>
              <w:top w:val="single" w:sz="8" w:space="0" w:color="FFFFFF"/>
              <w:left w:val="single" w:sz="8" w:space="0" w:color="FFFFFF"/>
              <w:bottom w:val="single" w:sz="24" w:space="0" w:color="FFFFFF"/>
              <w:right w:val="single" w:sz="8" w:space="0" w:color="FFFFFF"/>
            </w:tcBorders>
            <w:shd w:val="clear" w:color="auto" w:fill="5B9BD5"/>
            <w:tcMar>
              <w:top w:w="54" w:type="dxa"/>
              <w:left w:w="108" w:type="dxa"/>
              <w:bottom w:w="54" w:type="dxa"/>
              <w:right w:w="108" w:type="dxa"/>
            </w:tcMar>
            <w:hideMark/>
          </w:tcPr>
          <w:p w:rsidR="00363E3B" w:rsidRPr="00046602" w:rsidRDefault="00363E3B" w:rsidP="00462BA7">
            <w:pPr>
              <w:spacing w:after="120" w:line="240" w:lineRule="auto"/>
              <w:rPr>
                <w:sz w:val="22"/>
                <w:szCs w:val="22"/>
                <w:u w:val="single"/>
              </w:rPr>
            </w:pPr>
            <w:r w:rsidRPr="00046602">
              <w:rPr>
                <w:b/>
                <w:bCs/>
                <w:sz w:val="22"/>
                <w:szCs w:val="22"/>
                <w:u w:val="single"/>
              </w:rPr>
              <w:t>2022</w:t>
            </w:r>
          </w:p>
          <w:p w:rsidR="00363E3B" w:rsidRPr="00046602" w:rsidRDefault="00363E3B" w:rsidP="00462BA7">
            <w:pPr>
              <w:spacing w:after="120" w:line="240" w:lineRule="auto"/>
              <w:rPr>
                <w:sz w:val="22"/>
                <w:szCs w:val="22"/>
                <w:u w:val="single"/>
              </w:rPr>
            </w:pPr>
            <w:r w:rsidRPr="00046602">
              <w:rPr>
                <w:b/>
                <w:bCs/>
                <w:sz w:val="22"/>
                <w:szCs w:val="22"/>
                <w:u w:val="single"/>
              </w:rPr>
              <w:t>(Year 4)</w:t>
            </w:r>
          </w:p>
        </w:tc>
        <w:tc>
          <w:tcPr>
            <w:tcW w:w="1435" w:type="dxa"/>
            <w:tcBorders>
              <w:top w:val="single" w:sz="8" w:space="0" w:color="FFFFFF"/>
              <w:left w:val="single" w:sz="8" w:space="0" w:color="FFFFFF"/>
              <w:bottom w:val="single" w:sz="24" w:space="0" w:color="FFFFFF"/>
              <w:right w:val="single" w:sz="8" w:space="0" w:color="FFFFFF"/>
            </w:tcBorders>
            <w:shd w:val="clear" w:color="auto" w:fill="5B9BD5"/>
            <w:tcMar>
              <w:top w:w="54" w:type="dxa"/>
              <w:left w:w="108" w:type="dxa"/>
              <w:bottom w:w="54" w:type="dxa"/>
              <w:right w:w="108" w:type="dxa"/>
            </w:tcMar>
            <w:hideMark/>
          </w:tcPr>
          <w:p w:rsidR="00363E3B" w:rsidRPr="00046602" w:rsidRDefault="00363E3B" w:rsidP="00462BA7">
            <w:pPr>
              <w:spacing w:after="120" w:line="240" w:lineRule="auto"/>
              <w:rPr>
                <w:sz w:val="22"/>
                <w:szCs w:val="22"/>
                <w:u w:val="single"/>
              </w:rPr>
            </w:pPr>
            <w:r w:rsidRPr="00046602">
              <w:rPr>
                <w:b/>
                <w:bCs/>
                <w:sz w:val="22"/>
                <w:szCs w:val="22"/>
                <w:u w:val="single"/>
              </w:rPr>
              <w:t>2023</w:t>
            </w:r>
          </w:p>
          <w:p w:rsidR="00363E3B" w:rsidRPr="00046602" w:rsidRDefault="00363E3B" w:rsidP="00462BA7">
            <w:pPr>
              <w:spacing w:after="120" w:line="240" w:lineRule="auto"/>
              <w:rPr>
                <w:sz w:val="22"/>
                <w:szCs w:val="22"/>
                <w:u w:val="single"/>
              </w:rPr>
            </w:pPr>
            <w:r w:rsidRPr="00046602">
              <w:rPr>
                <w:b/>
                <w:bCs/>
                <w:sz w:val="22"/>
                <w:szCs w:val="22"/>
                <w:u w:val="single"/>
              </w:rPr>
              <w:t>(Long Term Goal)</w:t>
            </w:r>
          </w:p>
        </w:tc>
      </w:tr>
      <w:tr w:rsidR="001A4029" w:rsidRPr="00EF50DA" w:rsidTr="001A4029">
        <w:trPr>
          <w:trHeight w:val="697"/>
        </w:trPr>
        <w:tc>
          <w:tcPr>
            <w:tcW w:w="1476" w:type="dxa"/>
            <w:tcBorders>
              <w:top w:val="nil"/>
              <w:left w:val="single" w:sz="8" w:space="0" w:color="FFFFFF"/>
              <w:bottom w:val="single" w:sz="8" w:space="0" w:color="FFFFFF"/>
              <w:right w:val="single" w:sz="8" w:space="0" w:color="FFFFFF"/>
            </w:tcBorders>
            <w:shd w:val="clear" w:color="auto" w:fill="5B9BD5"/>
            <w:tcMar>
              <w:top w:w="54" w:type="dxa"/>
              <w:left w:w="108" w:type="dxa"/>
              <w:bottom w:w="54" w:type="dxa"/>
              <w:right w:w="108" w:type="dxa"/>
            </w:tcMar>
            <w:hideMark/>
          </w:tcPr>
          <w:p w:rsidR="001A4029" w:rsidRPr="00046602" w:rsidRDefault="001A4029" w:rsidP="001A4029">
            <w:pPr>
              <w:spacing w:after="120" w:line="240" w:lineRule="auto"/>
              <w:rPr>
                <w:sz w:val="22"/>
                <w:szCs w:val="22"/>
                <w:u w:val="single"/>
              </w:rPr>
            </w:pPr>
            <w:r w:rsidRPr="00046602">
              <w:rPr>
                <w:sz w:val="22"/>
                <w:szCs w:val="22"/>
                <w:u w:val="single"/>
              </w:rPr>
              <w:t xml:space="preserve">End Grade of    </w:t>
            </w:r>
            <w:r w:rsidRPr="00046602">
              <w:rPr>
                <w:b/>
                <w:bCs/>
                <w:sz w:val="22"/>
                <w:szCs w:val="22"/>
                <w:u w:val="single"/>
              </w:rPr>
              <w:t>5</w:t>
            </w:r>
            <w:r w:rsidRPr="00046602">
              <w:rPr>
                <w:b/>
                <w:bCs/>
                <w:sz w:val="22"/>
                <w:szCs w:val="22"/>
                <w:u w:val="single"/>
                <w:vertAlign w:val="superscript"/>
              </w:rPr>
              <w:t>th</w:t>
            </w:r>
            <w:r w:rsidRPr="00046602">
              <w:rPr>
                <w:b/>
                <w:bCs/>
                <w:sz w:val="22"/>
                <w:szCs w:val="22"/>
                <w:u w:val="single"/>
              </w:rPr>
              <w:t xml:space="preserve"> or Lower</w:t>
            </w:r>
          </w:p>
        </w:tc>
        <w:tc>
          <w:tcPr>
            <w:tcW w:w="1380" w:type="dxa"/>
            <w:tcBorders>
              <w:top w:val="single" w:sz="24" w:space="0" w:color="FFFFFF"/>
              <w:left w:val="single" w:sz="8" w:space="0" w:color="FFFFFF"/>
              <w:bottom w:val="single" w:sz="8" w:space="0" w:color="FFFFFF"/>
              <w:right w:val="single" w:sz="8" w:space="0" w:color="FFFFFF"/>
            </w:tcBorders>
            <w:shd w:val="clear" w:color="auto" w:fill="D2DEEF"/>
            <w:tcMar>
              <w:top w:w="54" w:type="dxa"/>
              <w:left w:w="108" w:type="dxa"/>
              <w:bottom w:w="54" w:type="dxa"/>
              <w:right w:w="108" w:type="dxa"/>
            </w:tcMar>
            <w:vAlign w:val="center"/>
            <w:hideMark/>
          </w:tcPr>
          <w:p w:rsidR="001A4029" w:rsidRPr="001A4029" w:rsidRDefault="001A4029" w:rsidP="001A4029">
            <w:pPr>
              <w:spacing w:after="120" w:line="240" w:lineRule="auto"/>
              <w:jc w:val="center"/>
              <w:rPr>
                <w:sz w:val="22"/>
                <w:szCs w:val="22"/>
              </w:rPr>
            </w:pPr>
            <w:r w:rsidRPr="001A4029">
              <w:rPr>
                <w:sz w:val="22"/>
                <w:szCs w:val="22"/>
              </w:rPr>
              <w:t>6</w:t>
            </w:r>
            <w:r>
              <w:rPr>
                <w:sz w:val="22"/>
                <w:szCs w:val="22"/>
              </w:rPr>
              <w:t>0.7</w:t>
            </w:r>
          </w:p>
        </w:tc>
        <w:tc>
          <w:tcPr>
            <w:tcW w:w="1242" w:type="dxa"/>
            <w:tcBorders>
              <w:top w:val="single" w:sz="24" w:space="0" w:color="FFFFFF"/>
              <w:left w:val="single" w:sz="8" w:space="0" w:color="FFFFFF"/>
              <w:bottom w:val="single" w:sz="8" w:space="0" w:color="FFFFFF"/>
              <w:right w:val="single" w:sz="8" w:space="0" w:color="FFFFFF"/>
            </w:tcBorders>
            <w:shd w:val="clear" w:color="auto" w:fill="D2DEEF"/>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61.7</w:t>
            </w:r>
          </w:p>
        </w:tc>
        <w:tc>
          <w:tcPr>
            <w:tcW w:w="1283" w:type="dxa"/>
            <w:tcBorders>
              <w:top w:val="single" w:sz="24" w:space="0" w:color="FFFFFF"/>
              <w:left w:val="single" w:sz="8" w:space="0" w:color="FFFFFF"/>
              <w:bottom w:val="single" w:sz="8" w:space="0" w:color="FFFFFF"/>
              <w:right w:val="single" w:sz="8" w:space="0" w:color="FFFFFF"/>
            </w:tcBorders>
            <w:shd w:val="clear" w:color="auto" w:fill="D2DEEF"/>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62.7</w:t>
            </w:r>
          </w:p>
        </w:tc>
        <w:tc>
          <w:tcPr>
            <w:tcW w:w="1242" w:type="dxa"/>
            <w:tcBorders>
              <w:top w:val="single" w:sz="24" w:space="0" w:color="FFFFFF"/>
              <w:left w:val="single" w:sz="8" w:space="0" w:color="FFFFFF"/>
              <w:bottom w:val="single" w:sz="8" w:space="0" w:color="FFFFFF"/>
              <w:right w:val="single" w:sz="8" w:space="0" w:color="FFFFFF"/>
            </w:tcBorders>
            <w:shd w:val="clear" w:color="auto" w:fill="D2DEEF"/>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63.7</w:t>
            </w:r>
          </w:p>
        </w:tc>
        <w:tc>
          <w:tcPr>
            <w:tcW w:w="1255" w:type="dxa"/>
            <w:tcBorders>
              <w:top w:val="single" w:sz="24" w:space="0" w:color="FFFFFF"/>
              <w:left w:val="single" w:sz="8" w:space="0" w:color="FFFFFF"/>
              <w:bottom w:val="single" w:sz="8" w:space="0" w:color="FFFFFF"/>
              <w:right w:val="single" w:sz="8" w:space="0" w:color="FFFFFF"/>
            </w:tcBorders>
            <w:shd w:val="clear" w:color="auto" w:fill="D2DEEF"/>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64.7</w:t>
            </w:r>
          </w:p>
        </w:tc>
        <w:tc>
          <w:tcPr>
            <w:tcW w:w="1435" w:type="dxa"/>
            <w:tcBorders>
              <w:top w:val="single" w:sz="24" w:space="0" w:color="FFFFFF"/>
              <w:left w:val="single" w:sz="8" w:space="0" w:color="FFFFFF"/>
              <w:bottom w:val="single" w:sz="8" w:space="0" w:color="FFFFFF"/>
              <w:right w:val="single" w:sz="8" w:space="0" w:color="FFFFFF"/>
            </w:tcBorders>
            <w:shd w:val="clear" w:color="auto" w:fill="D2DEEF"/>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65.7</w:t>
            </w:r>
          </w:p>
        </w:tc>
      </w:tr>
      <w:tr w:rsidR="001A4029" w:rsidRPr="00EF50DA" w:rsidTr="001A4029">
        <w:trPr>
          <w:trHeight w:val="697"/>
        </w:trPr>
        <w:tc>
          <w:tcPr>
            <w:tcW w:w="1476" w:type="dxa"/>
            <w:tcBorders>
              <w:top w:val="single" w:sz="8" w:space="0" w:color="FFFFFF"/>
              <w:left w:val="single" w:sz="8" w:space="0" w:color="FFFFFF"/>
              <w:bottom w:val="single" w:sz="8" w:space="0" w:color="FFFFFF"/>
              <w:right w:val="single" w:sz="8" w:space="0" w:color="FFFFFF"/>
            </w:tcBorders>
            <w:shd w:val="clear" w:color="auto" w:fill="5B9BD5"/>
            <w:tcMar>
              <w:top w:w="54" w:type="dxa"/>
              <w:left w:w="108" w:type="dxa"/>
              <w:bottom w:w="54" w:type="dxa"/>
              <w:right w:w="108" w:type="dxa"/>
            </w:tcMar>
            <w:hideMark/>
          </w:tcPr>
          <w:p w:rsidR="001A4029" w:rsidRPr="00046602" w:rsidRDefault="001A4029" w:rsidP="001A4029">
            <w:pPr>
              <w:spacing w:after="120" w:line="240" w:lineRule="auto"/>
              <w:rPr>
                <w:sz w:val="22"/>
                <w:szCs w:val="22"/>
                <w:u w:val="single"/>
              </w:rPr>
            </w:pPr>
            <w:r w:rsidRPr="00046602">
              <w:rPr>
                <w:sz w:val="22"/>
                <w:szCs w:val="22"/>
                <w:u w:val="single"/>
              </w:rPr>
              <w:t xml:space="preserve">End Grade is </w:t>
            </w:r>
            <w:r w:rsidRPr="00046602">
              <w:rPr>
                <w:b/>
                <w:bCs/>
                <w:sz w:val="22"/>
                <w:szCs w:val="22"/>
                <w:u w:val="single"/>
              </w:rPr>
              <w:t>Greater Than 5th</w:t>
            </w:r>
          </w:p>
        </w:tc>
        <w:tc>
          <w:tcPr>
            <w:tcW w:w="1380" w:type="dxa"/>
            <w:tcBorders>
              <w:top w:val="single" w:sz="8" w:space="0" w:color="FFFFFF"/>
              <w:left w:val="single" w:sz="8" w:space="0" w:color="FFFFFF"/>
              <w:bottom w:val="single" w:sz="8" w:space="0" w:color="FFFFFF"/>
              <w:right w:val="single" w:sz="8" w:space="0" w:color="FFFFFF"/>
            </w:tcBorders>
            <w:shd w:val="clear" w:color="auto" w:fill="EAEFF7"/>
            <w:tcMar>
              <w:top w:w="54" w:type="dxa"/>
              <w:left w:w="108" w:type="dxa"/>
              <w:bottom w:w="54" w:type="dxa"/>
              <w:right w:w="108" w:type="dxa"/>
            </w:tcMar>
            <w:vAlign w:val="center"/>
            <w:hideMark/>
          </w:tcPr>
          <w:p w:rsidR="001A4029" w:rsidRPr="001A4029" w:rsidRDefault="001A4029" w:rsidP="001A4029">
            <w:pPr>
              <w:spacing w:after="120" w:line="240" w:lineRule="auto"/>
              <w:jc w:val="center"/>
              <w:rPr>
                <w:sz w:val="22"/>
                <w:szCs w:val="22"/>
              </w:rPr>
            </w:pPr>
            <w:r w:rsidRPr="001A4029">
              <w:rPr>
                <w:sz w:val="22"/>
                <w:szCs w:val="22"/>
              </w:rPr>
              <w:t>46.8</w:t>
            </w:r>
          </w:p>
        </w:tc>
        <w:tc>
          <w:tcPr>
            <w:tcW w:w="1242" w:type="dxa"/>
            <w:tcBorders>
              <w:top w:val="single" w:sz="8" w:space="0" w:color="FFFFFF"/>
              <w:left w:val="single" w:sz="8" w:space="0" w:color="FFFFFF"/>
              <w:bottom w:val="single" w:sz="8" w:space="0" w:color="FFFFFF"/>
              <w:right w:val="single" w:sz="8" w:space="0" w:color="FFFFFF"/>
            </w:tcBorders>
            <w:shd w:val="clear" w:color="auto" w:fill="EAEFF7"/>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47.8</w:t>
            </w:r>
          </w:p>
        </w:tc>
        <w:tc>
          <w:tcPr>
            <w:tcW w:w="1283" w:type="dxa"/>
            <w:tcBorders>
              <w:top w:val="single" w:sz="8" w:space="0" w:color="FFFFFF"/>
              <w:left w:val="single" w:sz="8" w:space="0" w:color="FFFFFF"/>
              <w:bottom w:val="single" w:sz="8" w:space="0" w:color="FFFFFF"/>
              <w:right w:val="single" w:sz="8" w:space="0" w:color="FFFFFF"/>
            </w:tcBorders>
            <w:shd w:val="clear" w:color="auto" w:fill="EAEFF7"/>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48.8</w:t>
            </w:r>
          </w:p>
        </w:tc>
        <w:tc>
          <w:tcPr>
            <w:tcW w:w="1242" w:type="dxa"/>
            <w:tcBorders>
              <w:top w:val="single" w:sz="8" w:space="0" w:color="FFFFFF"/>
              <w:left w:val="single" w:sz="8" w:space="0" w:color="FFFFFF"/>
              <w:bottom w:val="single" w:sz="8" w:space="0" w:color="FFFFFF"/>
              <w:right w:val="single" w:sz="8" w:space="0" w:color="FFFFFF"/>
            </w:tcBorders>
            <w:shd w:val="clear" w:color="auto" w:fill="EAEFF7"/>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49.8</w:t>
            </w:r>
          </w:p>
        </w:tc>
        <w:tc>
          <w:tcPr>
            <w:tcW w:w="1255" w:type="dxa"/>
            <w:tcBorders>
              <w:top w:val="single" w:sz="8" w:space="0" w:color="FFFFFF"/>
              <w:left w:val="single" w:sz="8" w:space="0" w:color="FFFFFF"/>
              <w:bottom w:val="single" w:sz="8" w:space="0" w:color="FFFFFF"/>
              <w:right w:val="single" w:sz="8" w:space="0" w:color="FFFFFF"/>
            </w:tcBorders>
            <w:shd w:val="clear" w:color="auto" w:fill="EAEFF7"/>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50.8</w:t>
            </w:r>
          </w:p>
        </w:tc>
        <w:tc>
          <w:tcPr>
            <w:tcW w:w="1435" w:type="dxa"/>
            <w:tcBorders>
              <w:top w:val="single" w:sz="8" w:space="0" w:color="FFFFFF"/>
              <w:left w:val="single" w:sz="8" w:space="0" w:color="FFFFFF"/>
              <w:bottom w:val="single" w:sz="8" w:space="0" w:color="FFFFFF"/>
              <w:right w:val="single" w:sz="8" w:space="0" w:color="FFFFFF"/>
            </w:tcBorders>
            <w:shd w:val="clear" w:color="auto" w:fill="EAEFF7"/>
            <w:tcMar>
              <w:top w:w="54" w:type="dxa"/>
              <w:left w:w="108" w:type="dxa"/>
              <w:bottom w:w="54" w:type="dxa"/>
              <w:right w:w="108" w:type="dxa"/>
            </w:tcMar>
            <w:vAlign w:val="center"/>
          </w:tcPr>
          <w:p w:rsidR="001A4029" w:rsidRPr="001A4029" w:rsidRDefault="001A4029" w:rsidP="001A4029">
            <w:pPr>
              <w:spacing w:after="120" w:line="240" w:lineRule="auto"/>
              <w:jc w:val="center"/>
              <w:rPr>
                <w:sz w:val="22"/>
                <w:szCs w:val="22"/>
              </w:rPr>
            </w:pPr>
            <w:r w:rsidRPr="001A4029">
              <w:rPr>
                <w:sz w:val="22"/>
                <w:szCs w:val="22"/>
              </w:rPr>
              <w:t>51.8</w:t>
            </w:r>
          </w:p>
        </w:tc>
      </w:tr>
    </w:tbl>
    <w:p w:rsidR="00363E3B" w:rsidRDefault="00363E3B" w:rsidP="00363E3B">
      <w:pPr>
        <w:pStyle w:val="ListParagraph"/>
        <w:ind w:left="0"/>
        <w:rPr>
          <w:rFonts w:cstheme="minorHAnsi"/>
          <w:sz w:val="22"/>
          <w:szCs w:val="22"/>
        </w:rPr>
      </w:pPr>
    </w:p>
    <w:p w:rsidR="00042063" w:rsidRDefault="00042063" w:rsidP="00363E3B">
      <w:pPr>
        <w:pStyle w:val="ListParagraph"/>
        <w:ind w:left="0"/>
        <w:rPr>
          <w:rFonts w:cstheme="minorHAnsi"/>
          <w:sz w:val="22"/>
          <w:szCs w:val="22"/>
        </w:rPr>
      </w:pPr>
    </w:p>
    <w:p w:rsidR="00042063" w:rsidRDefault="00042063" w:rsidP="00363E3B">
      <w:pPr>
        <w:pStyle w:val="ListParagraph"/>
        <w:ind w:left="0"/>
        <w:rPr>
          <w:rFonts w:cstheme="minorHAnsi"/>
          <w:sz w:val="22"/>
          <w:szCs w:val="22"/>
        </w:rPr>
      </w:pPr>
    </w:p>
    <w:p w:rsidR="003B6036" w:rsidRDefault="003B6036" w:rsidP="00363E3B">
      <w:pPr>
        <w:pStyle w:val="ListParagraph"/>
        <w:ind w:left="0"/>
        <w:rPr>
          <w:rFonts w:cstheme="minorHAnsi"/>
          <w:sz w:val="22"/>
          <w:szCs w:val="22"/>
        </w:rPr>
      </w:pPr>
    </w:p>
    <w:p w:rsidR="003B6036" w:rsidRDefault="003B6036" w:rsidP="00363E3B">
      <w:pPr>
        <w:pStyle w:val="ListParagraph"/>
        <w:ind w:left="0"/>
        <w:rPr>
          <w:rFonts w:cstheme="minorHAnsi"/>
          <w:sz w:val="22"/>
          <w:szCs w:val="22"/>
        </w:rPr>
      </w:pPr>
    </w:p>
    <w:p w:rsidR="00042063" w:rsidRPr="007C269F" w:rsidRDefault="00042063" w:rsidP="00363E3B">
      <w:pPr>
        <w:pStyle w:val="ListParagraph"/>
        <w:ind w:left="0"/>
        <w:rPr>
          <w:rFonts w:cstheme="minorHAnsi"/>
          <w:sz w:val="22"/>
          <w:szCs w:val="22"/>
        </w:rPr>
      </w:pPr>
    </w:p>
    <w:p w:rsidR="007C3F6A" w:rsidRPr="00AF7B02" w:rsidRDefault="002F7015" w:rsidP="009D0CC3">
      <w:pPr>
        <w:pStyle w:val="Heading2"/>
        <w:rPr>
          <w:caps w:val="0"/>
          <w:sz w:val="24"/>
          <w:szCs w:val="24"/>
        </w:rPr>
      </w:pPr>
      <w:r w:rsidRPr="00AF7B02">
        <w:rPr>
          <w:caps w:val="0"/>
          <w:sz w:val="24"/>
          <w:szCs w:val="24"/>
        </w:rPr>
        <w:t xml:space="preserve">School Quality/Student </w:t>
      </w:r>
      <w:r w:rsidR="00AF7B02" w:rsidRPr="00AF7B02">
        <w:rPr>
          <w:caps w:val="0"/>
          <w:sz w:val="24"/>
          <w:szCs w:val="24"/>
        </w:rPr>
        <w:t>S</w:t>
      </w:r>
      <w:r w:rsidRPr="00AF7B02">
        <w:rPr>
          <w:caps w:val="0"/>
          <w:sz w:val="24"/>
          <w:szCs w:val="24"/>
        </w:rPr>
        <w:t xml:space="preserve">uccess: </w:t>
      </w:r>
      <w:r w:rsidR="007C3F6A" w:rsidRPr="00AF7B02">
        <w:rPr>
          <w:caps w:val="0"/>
          <w:sz w:val="24"/>
          <w:szCs w:val="24"/>
        </w:rPr>
        <w:t xml:space="preserve">Chronic Absenteeism </w:t>
      </w:r>
    </w:p>
    <w:p w:rsidR="00C0549D" w:rsidRPr="00347076" w:rsidRDefault="00C0549D" w:rsidP="00C0549D">
      <w:pPr>
        <w:pBdr>
          <w:top w:val="single" w:sz="6" w:space="2" w:color="4472C4" w:themeColor="accent1"/>
        </w:pBdr>
        <w:spacing w:before="300" w:after="0"/>
        <w:outlineLvl w:val="2"/>
        <w:rPr>
          <w:color w:val="1F3763" w:themeColor="accent1" w:themeShade="7F"/>
          <w:spacing w:val="15"/>
          <w:sz w:val="24"/>
          <w:szCs w:val="24"/>
        </w:rPr>
      </w:pPr>
      <w:r w:rsidRPr="00347076">
        <w:rPr>
          <w:color w:val="1F3763" w:themeColor="accent1" w:themeShade="7F"/>
          <w:spacing w:val="15"/>
          <w:sz w:val="24"/>
          <w:szCs w:val="24"/>
        </w:rPr>
        <w:t>Definition</w:t>
      </w:r>
    </w:p>
    <w:p w:rsidR="00C0549D" w:rsidRPr="00A22474" w:rsidRDefault="00C0549D" w:rsidP="00C0549D">
      <w:pPr>
        <w:contextualSpacing/>
        <w:rPr>
          <w:sz w:val="22"/>
          <w:szCs w:val="22"/>
        </w:rPr>
      </w:pPr>
      <w:r w:rsidRPr="007C3F6A">
        <w:rPr>
          <w:b/>
          <w:sz w:val="22"/>
          <w:szCs w:val="22"/>
        </w:rPr>
        <w:t>School quality or student success</w:t>
      </w:r>
      <w:r w:rsidRPr="007C3F6A">
        <w:rPr>
          <w:sz w:val="22"/>
          <w:szCs w:val="22"/>
        </w:rPr>
        <w:t xml:space="preserve"> is a</w:t>
      </w:r>
      <w:r>
        <w:rPr>
          <w:sz w:val="22"/>
          <w:szCs w:val="22"/>
        </w:rPr>
        <w:t xml:space="preserve"> required</w:t>
      </w:r>
      <w:r w:rsidRPr="007C3F6A">
        <w:rPr>
          <w:sz w:val="22"/>
          <w:szCs w:val="22"/>
        </w:rPr>
        <w:t xml:space="preserve"> indicator </w:t>
      </w:r>
      <w:r>
        <w:rPr>
          <w:sz w:val="22"/>
          <w:szCs w:val="22"/>
        </w:rPr>
        <w:t xml:space="preserve">under </w:t>
      </w:r>
      <w:r w:rsidRPr="007C3F6A">
        <w:rPr>
          <w:sz w:val="22"/>
          <w:szCs w:val="22"/>
        </w:rPr>
        <w:t>ESSA</w:t>
      </w:r>
      <w:r>
        <w:rPr>
          <w:sz w:val="22"/>
          <w:szCs w:val="22"/>
        </w:rPr>
        <w:t xml:space="preserve">.  </w:t>
      </w:r>
      <w:r w:rsidR="0050602A">
        <w:rPr>
          <w:sz w:val="22"/>
          <w:szCs w:val="22"/>
        </w:rPr>
        <w:t xml:space="preserve">With input from stakeholders, the NJDOE selected chronic absenteeism for this indicator.  As described in </w:t>
      </w:r>
      <w:r>
        <w:rPr>
          <w:sz w:val="22"/>
          <w:szCs w:val="22"/>
        </w:rPr>
        <w:t xml:space="preserve">the New Jersey </w:t>
      </w:r>
      <w:r w:rsidRPr="007C3F6A">
        <w:rPr>
          <w:sz w:val="22"/>
          <w:szCs w:val="22"/>
        </w:rPr>
        <w:t xml:space="preserve">State </w:t>
      </w:r>
      <w:r w:rsidR="007557F6" w:rsidRPr="00CA030E">
        <w:rPr>
          <w:i/>
          <w:sz w:val="22"/>
          <w:szCs w:val="22"/>
        </w:rPr>
        <w:t>ESSA</w:t>
      </w:r>
      <w:r w:rsidR="007557F6">
        <w:rPr>
          <w:sz w:val="22"/>
          <w:szCs w:val="22"/>
        </w:rPr>
        <w:t xml:space="preserve"> </w:t>
      </w:r>
      <w:r w:rsidRPr="007C3F6A">
        <w:rPr>
          <w:sz w:val="22"/>
          <w:szCs w:val="22"/>
        </w:rPr>
        <w:t>Plan</w:t>
      </w:r>
      <w:r>
        <w:rPr>
          <w:sz w:val="22"/>
          <w:szCs w:val="22"/>
        </w:rPr>
        <w:t>, this indicator is being</w:t>
      </w:r>
      <w:r w:rsidRPr="007C3F6A">
        <w:rPr>
          <w:sz w:val="22"/>
          <w:szCs w:val="22"/>
        </w:rPr>
        <w:t xml:space="preserve"> measured by </w:t>
      </w:r>
      <w:r w:rsidRPr="00A22474">
        <w:rPr>
          <w:sz w:val="22"/>
          <w:szCs w:val="22"/>
        </w:rPr>
        <w:t xml:space="preserve">the percentage of a school’s </w:t>
      </w:r>
      <w:r w:rsidRPr="00BA63BC">
        <w:rPr>
          <w:sz w:val="22"/>
          <w:szCs w:val="22"/>
        </w:rPr>
        <w:t xml:space="preserve">students </w:t>
      </w:r>
      <w:r w:rsidRPr="00A22474">
        <w:rPr>
          <w:sz w:val="22"/>
          <w:szCs w:val="22"/>
        </w:rPr>
        <w:t xml:space="preserve">or district’s students who are chronically absent in K-12 grade levels.  </w:t>
      </w:r>
      <w:r w:rsidR="0050602A">
        <w:rPr>
          <w:sz w:val="22"/>
          <w:szCs w:val="22"/>
        </w:rPr>
        <w:t>A student is considered chronically absent when he or she is</w:t>
      </w:r>
      <w:r w:rsidRPr="00A22474">
        <w:rPr>
          <w:sz w:val="22"/>
          <w:szCs w:val="22"/>
        </w:rPr>
        <w:t xml:space="preserve"> not present for 10</w:t>
      </w:r>
      <w:r w:rsidR="007759DE">
        <w:rPr>
          <w:sz w:val="22"/>
          <w:szCs w:val="22"/>
        </w:rPr>
        <w:t>%</w:t>
      </w:r>
      <w:r w:rsidRPr="00A22474">
        <w:rPr>
          <w:sz w:val="22"/>
          <w:szCs w:val="22"/>
        </w:rPr>
        <w:t xml:space="preserve"> or more of the days that that he</w:t>
      </w:r>
      <w:r w:rsidR="0050602A">
        <w:rPr>
          <w:sz w:val="22"/>
          <w:szCs w:val="22"/>
        </w:rPr>
        <w:t xml:space="preserve"> or </w:t>
      </w:r>
      <w:r w:rsidRPr="00A22474">
        <w:rPr>
          <w:sz w:val="22"/>
          <w:szCs w:val="22"/>
        </w:rPr>
        <w:t>she was “in membership” at a school.  For the 201</w:t>
      </w:r>
      <w:r w:rsidR="00BA462C">
        <w:rPr>
          <w:sz w:val="22"/>
          <w:szCs w:val="22"/>
        </w:rPr>
        <w:t>7</w:t>
      </w:r>
      <w:r w:rsidRPr="00A22474">
        <w:rPr>
          <w:sz w:val="22"/>
          <w:szCs w:val="22"/>
        </w:rPr>
        <w:t>-1</w:t>
      </w:r>
      <w:r w:rsidR="00BA462C">
        <w:rPr>
          <w:sz w:val="22"/>
          <w:szCs w:val="22"/>
        </w:rPr>
        <w:t>8</w:t>
      </w:r>
      <w:r w:rsidRPr="00A22474">
        <w:rPr>
          <w:sz w:val="22"/>
          <w:szCs w:val="22"/>
        </w:rPr>
        <w:t xml:space="preserve"> school year, only students who were enrolled at the end of the school year and were in membership at school for 45 or more days will be considered in the school chronic absenteeism rate calculation for accountability purposes.  In future years, schools will be accountable for any student who had 45 days in membership at that school, regardless of whether that student was enrolled at the end of the year.</w:t>
      </w:r>
      <w:r w:rsidR="00BA462C">
        <w:rPr>
          <w:rStyle w:val="FootnoteReference"/>
          <w:sz w:val="22"/>
          <w:szCs w:val="22"/>
        </w:rPr>
        <w:footnoteReference w:id="2"/>
      </w:r>
      <w:r w:rsidRPr="00A22474">
        <w:rPr>
          <w:sz w:val="22"/>
          <w:szCs w:val="22"/>
        </w:rPr>
        <w:t xml:space="preserve">  Chronic absenteeism is applied to a student’s accountable school, not attending school.  (Note: for over 95% of students, the attending and accountable school are the same </w:t>
      </w:r>
      <w:r w:rsidR="00783FCC" w:rsidRPr="00A22474">
        <w:rPr>
          <w:sz w:val="22"/>
          <w:szCs w:val="22"/>
        </w:rPr>
        <w:t>school,</w:t>
      </w:r>
      <w:r w:rsidRPr="00A22474">
        <w:rPr>
          <w:sz w:val="22"/>
          <w:szCs w:val="22"/>
        </w:rPr>
        <w:t xml:space="preserve"> but it should be noted that in some instances, these schools may </w:t>
      </w:r>
      <w:r w:rsidR="003A13D1" w:rsidRPr="00A22474">
        <w:rPr>
          <w:sz w:val="22"/>
          <w:szCs w:val="22"/>
        </w:rPr>
        <w:t>differ,</w:t>
      </w:r>
      <w:r w:rsidRPr="00A22474">
        <w:rPr>
          <w:sz w:val="22"/>
          <w:szCs w:val="22"/>
        </w:rPr>
        <w:t xml:space="preserve"> </w:t>
      </w:r>
      <w:r w:rsidR="0050602A">
        <w:rPr>
          <w:sz w:val="22"/>
          <w:szCs w:val="22"/>
        </w:rPr>
        <w:t>and i</w:t>
      </w:r>
      <w:r w:rsidR="0050602A" w:rsidRPr="00A22474">
        <w:rPr>
          <w:sz w:val="22"/>
          <w:szCs w:val="22"/>
        </w:rPr>
        <w:t xml:space="preserve">t </w:t>
      </w:r>
      <w:r w:rsidRPr="00A22474">
        <w:rPr>
          <w:sz w:val="22"/>
          <w:szCs w:val="22"/>
        </w:rPr>
        <w:t xml:space="preserve">is the accountable school that is held responsible for a student’s chronic absenteeism.)  A student who cannot be assigned to an accountable school for any reason can be assigned to a district and hence, included in a district profile but </w:t>
      </w:r>
      <w:r w:rsidR="008630BD">
        <w:rPr>
          <w:sz w:val="22"/>
          <w:szCs w:val="22"/>
        </w:rPr>
        <w:t>not</w:t>
      </w:r>
      <w:r w:rsidRPr="00A22474">
        <w:rPr>
          <w:sz w:val="22"/>
          <w:szCs w:val="22"/>
        </w:rPr>
        <w:t xml:space="preserve"> a school profile.  </w:t>
      </w:r>
    </w:p>
    <w:p w:rsidR="00C0549D" w:rsidRPr="00347076" w:rsidRDefault="00C0549D" w:rsidP="00C0549D">
      <w:pPr>
        <w:pBdr>
          <w:top w:val="single" w:sz="6" w:space="2" w:color="4472C4" w:themeColor="accent1"/>
        </w:pBdr>
        <w:spacing w:before="300" w:after="0"/>
        <w:outlineLvl w:val="2"/>
        <w:rPr>
          <w:color w:val="1F3763" w:themeColor="accent1" w:themeShade="7F"/>
          <w:spacing w:val="15"/>
          <w:sz w:val="24"/>
          <w:szCs w:val="24"/>
        </w:rPr>
      </w:pPr>
      <w:r w:rsidRPr="00347076">
        <w:rPr>
          <w:color w:val="1F3763" w:themeColor="accent1" w:themeShade="7F"/>
          <w:spacing w:val="15"/>
          <w:sz w:val="24"/>
          <w:szCs w:val="24"/>
        </w:rPr>
        <w:t>Purpose</w:t>
      </w:r>
    </w:p>
    <w:p w:rsidR="00C0549D" w:rsidRPr="008E0330" w:rsidRDefault="00C0549D" w:rsidP="00C0549D">
      <w:pPr>
        <w:pStyle w:val="ListParagraph"/>
        <w:ind w:left="0"/>
        <w:rPr>
          <w:rFonts w:cstheme="minorHAnsi"/>
          <w:sz w:val="22"/>
          <w:szCs w:val="22"/>
        </w:rPr>
      </w:pPr>
      <w:r w:rsidRPr="007C3F6A">
        <w:rPr>
          <w:sz w:val="22"/>
          <w:szCs w:val="22"/>
        </w:rPr>
        <w:t xml:space="preserve">Chronic absenteeism provides important information about a school’s culture and climate. In addition, it is widely acknowledged that students who are in school </w:t>
      </w:r>
      <w:r>
        <w:rPr>
          <w:sz w:val="22"/>
          <w:szCs w:val="22"/>
        </w:rPr>
        <w:t>are likely to be</w:t>
      </w:r>
      <w:r w:rsidRPr="007C3F6A">
        <w:rPr>
          <w:sz w:val="22"/>
          <w:szCs w:val="22"/>
        </w:rPr>
        <w:t xml:space="preserve"> learn</w:t>
      </w:r>
      <w:r>
        <w:rPr>
          <w:sz w:val="22"/>
          <w:szCs w:val="22"/>
        </w:rPr>
        <w:t>ing more than those who are absent</w:t>
      </w:r>
      <w:r w:rsidRPr="007C3F6A">
        <w:rPr>
          <w:sz w:val="22"/>
          <w:szCs w:val="22"/>
        </w:rPr>
        <w:t xml:space="preserve">. </w:t>
      </w:r>
      <w:r>
        <w:rPr>
          <w:sz w:val="22"/>
          <w:szCs w:val="22"/>
        </w:rPr>
        <w:t xml:space="preserve">The measure of chronic absenteeism </w:t>
      </w:r>
      <w:r w:rsidRPr="00AE1FEC">
        <w:rPr>
          <w:rFonts w:cstheme="minorHAnsi"/>
          <w:sz w:val="22"/>
          <w:szCs w:val="22"/>
        </w:rPr>
        <w:t xml:space="preserve">is an indicator of whether </w:t>
      </w:r>
      <w:r>
        <w:rPr>
          <w:rFonts w:cstheme="minorHAnsi"/>
          <w:sz w:val="22"/>
          <w:szCs w:val="22"/>
        </w:rPr>
        <w:t>students are regularly attending school.</w:t>
      </w:r>
      <w:r w:rsidRPr="0093417B">
        <w:rPr>
          <w:sz w:val="22"/>
          <w:szCs w:val="22"/>
        </w:rPr>
        <w:t xml:space="preserve"> </w:t>
      </w:r>
      <w:r w:rsidRPr="007C3F6A">
        <w:rPr>
          <w:sz w:val="22"/>
          <w:szCs w:val="22"/>
        </w:rPr>
        <w:t>Chronic absenteeism is actionable at the school level. When concern</w:t>
      </w:r>
      <w:r>
        <w:rPr>
          <w:sz w:val="22"/>
          <w:szCs w:val="22"/>
        </w:rPr>
        <w:t>s</w:t>
      </w:r>
      <w:r w:rsidRPr="007C3F6A">
        <w:rPr>
          <w:sz w:val="22"/>
          <w:szCs w:val="22"/>
        </w:rPr>
        <w:t xml:space="preserve"> </w:t>
      </w:r>
      <w:r>
        <w:rPr>
          <w:sz w:val="22"/>
          <w:szCs w:val="22"/>
        </w:rPr>
        <w:t>with student attendance are</w:t>
      </w:r>
      <w:r w:rsidRPr="007C3F6A">
        <w:rPr>
          <w:sz w:val="22"/>
          <w:szCs w:val="22"/>
        </w:rPr>
        <w:t xml:space="preserve"> identified, there are many actions schools can take to reverse the trend.  </w:t>
      </w:r>
      <w:r w:rsidR="008630BD">
        <w:rPr>
          <w:sz w:val="22"/>
          <w:szCs w:val="22"/>
        </w:rPr>
        <w:t xml:space="preserve">Resources on strategies for addressing chronic absenteeism and guidance for reporting attendance are available on the </w:t>
      </w:r>
      <w:hyperlink r:id="rId17" w:history="1">
        <w:r w:rsidR="008630BD" w:rsidRPr="008630BD">
          <w:rPr>
            <w:rStyle w:val="Hyperlink"/>
            <w:sz w:val="22"/>
            <w:szCs w:val="22"/>
          </w:rPr>
          <w:t>NJDOE web site</w:t>
        </w:r>
      </w:hyperlink>
      <w:r w:rsidR="008630BD">
        <w:rPr>
          <w:sz w:val="22"/>
          <w:szCs w:val="22"/>
        </w:rPr>
        <w:t xml:space="preserve">. </w:t>
      </w:r>
    </w:p>
    <w:p w:rsidR="00C0549D" w:rsidRPr="007C3F6A" w:rsidRDefault="00C0549D" w:rsidP="00C0549D">
      <w:pPr>
        <w:rPr>
          <w:szCs w:val="22"/>
        </w:rPr>
      </w:pPr>
    </w:p>
    <w:p w:rsidR="00C0549D" w:rsidRPr="00347076" w:rsidRDefault="00C0549D" w:rsidP="00C0549D">
      <w:pPr>
        <w:pBdr>
          <w:top w:val="single" w:sz="6" w:space="2" w:color="4472C4" w:themeColor="accent1"/>
        </w:pBdr>
        <w:spacing w:before="300" w:after="0"/>
        <w:outlineLvl w:val="2"/>
        <w:rPr>
          <w:color w:val="1F3763" w:themeColor="accent1" w:themeShade="7F"/>
          <w:spacing w:val="15"/>
          <w:sz w:val="24"/>
          <w:szCs w:val="24"/>
        </w:rPr>
      </w:pPr>
      <w:r w:rsidRPr="00347076">
        <w:rPr>
          <w:color w:val="1F3763" w:themeColor="accent1" w:themeShade="7F"/>
          <w:spacing w:val="15"/>
          <w:sz w:val="24"/>
          <w:szCs w:val="24"/>
        </w:rPr>
        <w:t>Calculation</w:t>
      </w:r>
    </w:p>
    <w:p w:rsidR="00C0549D" w:rsidRPr="007C3F6A" w:rsidRDefault="00C0549D" w:rsidP="00C0549D">
      <w:pPr>
        <w:rPr>
          <w:sz w:val="22"/>
          <w:szCs w:val="22"/>
        </w:rPr>
      </w:pPr>
      <w:r w:rsidRPr="007C3F6A">
        <w:rPr>
          <w:b/>
          <w:i/>
          <w:sz w:val="22"/>
          <w:szCs w:val="22"/>
        </w:rPr>
        <w:t>Student-level absentee rate</w:t>
      </w:r>
      <w:r w:rsidRPr="007C3F6A">
        <w:rPr>
          <w:b/>
          <w:sz w:val="22"/>
          <w:szCs w:val="22"/>
        </w:rPr>
        <w:t>:</w:t>
      </w:r>
      <w:r w:rsidRPr="007C3F6A">
        <w:rPr>
          <w:sz w:val="22"/>
          <w:szCs w:val="22"/>
        </w:rPr>
        <w:t xml:space="preserve"> Each student’s absentee rate is calculated based on the fields of Cumulative Days Present and Cumulative Days in Membership collected in NJ SMART</w:t>
      </w:r>
      <w:r>
        <w:rPr>
          <w:sz w:val="22"/>
          <w:szCs w:val="22"/>
        </w:rPr>
        <w:t xml:space="preserve"> </w:t>
      </w:r>
      <w:r w:rsidRPr="004C1B6B">
        <w:rPr>
          <w:sz w:val="22"/>
          <w:szCs w:val="22"/>
        </w:rPr>
        <w:t xml:space="preserve">(see </w:t>
      </w:r>
      <w:r w:rsidR="00CA030E" w:rsidRPr="004C1B6B">
        <w:rPr>
          <w:sz w:val="22"/>
          <w:szCs w:val="22"/>
        </w:rPr>
        <w:t xml:space="preserve">the NJDOE’s </w:t>
      </w:r>
      <w:hyperlink r:id="rId18" w:history="1">
        <w:r w:rsidR="00CA030E" w:rsidRPr="004C1B6B">
          <w:rPr>
            <w:rStyle w:val="Hyperlink"/>
            <w:sz w:val="22"/>
            <w:szCs w:val="22"/>
          </w:rPr>
          <w:t>Chronic Absenteeism Guidance</w:t>
        </w:r>
      </w:hyperlink>
      <w:r w:rsidR="00CA030E">
        <w:rPr>
          <w:sz w:val="22"/>
          <w:szCs w:val="22"/>
        </w:rPr>
        <w:t xml:space="preserve"> </w:t>
      </w:r>
      <w:r>
        <w:rPr>
          <w:sz w:val="22"/>
          <w:szCs w:val="22"/>
        </w:rPr>
        <w:t>for definitions)</w:t>
      </w:r>
      <w:r w:rsidRPr="007C3F6A">
        <w:rPr>
          <w:sz w:val="22"/>
          <w:szCs w:val="22"/>
        </w:rPr>
        <w:t>. Cumulative Days Present (P) is subtracted from the Cumulative Days in Membership (M), and this number is divided by the Cumulative Days in Membership (M).</w:t>
      </w:r>
    </w:p>
    <w:p w:rsidR="00C0549D" w:rsidRDefault="00C0549D" w:rsidP="00CA030E">
      <w:pPr>
        <w:contextualSpacing/>
        <w:jc w:val="center"/>
        <w:rPr>
          <w:sz w:val="22"/>
          <w:szCs w:val="22"/>
        </w:rPr>
      </w:pPr>
      <w:r w:rsidRPr="007C3F6A">
        <w:rPr>
          <w:sz w:val="22"/>
          <w:szCs w:val="22"/>
        </w:rPr>
        <w:t>(M – P)/M</w:t>
      </w:r>
    </w:p>
    <w:p w:rsidR="00C0549D" w:rsidRPr="007C3F6A" w:rsidRDefault="00C0549D" w:rsidP="00C0549D">
      <w:pPr>
        <w:ind w:left="720"/>
        <w:contextualSpacing/>
        <w:rPr>
          <w:sz w:val="22"/>
          <w:szCs w:val="22"/>
        </w:rPr>
      </w:pPr>
    </w:p>
    <w:p w:rsidR="00F16443" w:rsidRDefault="00C0549D">
      <w:pPr>
        <w:rPr>
          <w:b/>
          <w:i/>
          <w:sz w:val="22"/>
          <w:szCs w:val="22"/>
        </w:rPr>
      </w:pPr>
      <w:r w:rsidRPr="007C3F6A">
        <w:rPr>
          <w:sz w:val="22"/>
          <w:szCs w:val="22"/>
        </w:rPr>
        <w:t>If the student-level absentee rate is equal to or greater than 10%, the student is chronically absent.</w:t>
      </w:r>
    </w:p>
    <w:p w:rsidR="00C0549D" w:rsidRPr="007C3F6A" w:rsidRDefault="00C0549D" w:rsidP="00C0549D">
      <w:pPr>
        <w:rPr>
          <w:b/>
          <w:i/>
          <w:sz w:val="22"/>
          <w:szCs w:val="22"/>
        </w:rPr>
      </w:pPr>
      <w:r w:rsidRPr="007C3F6A">
        <w:rPr>
          <w:b/>
          <w:i/>
          <w:sz w:val="22"/>
          <w:szCs w:val="22"/>
        </w:rPr>
        <w:t>Examples:</w:t>
      </w:r>
    </w:p>
    <w:p w:rsidR="00C0549D" w:rsidRPr="008E0330" w:rsidRDefault="00C0549D" w:rsidP="00C0549D">
      <w:pPr>
        <w:numPr>
          <w:ilvl w:val="0"/>
          <w:numId w:val="25"/>
        </w:numPr>
        <w:contextualSpacing/>
        <w:rPr>
          <w:sz w:val="22"/>
          <w:szCs w:val="22"/>
        </w:rPr>
      </w:pPr>
      <w:r w:rsidRPr="007C3F6A">
        <w:rPr>
          <w:sz w:val="22"/>
          <w:szCs w:val="22"/>
        </w:rPr>
        <w:t>Student A’s record in NJ SMART reflects Cumulative Days in Membership (M) as 180 and Cumulative Days Present as 176.  The calculation to determine if Student A’s absentee rate is (180-176)/180 or 2%.  Student A is not chronically absent.</w:t>
      </w:r>
    </w:p>
    <w:p w:rsidR="00C0549D" w:rsidRPr="007C3F6A" w:rsidRDefault="00C0549D" w:rsidP="00C0549D">
      <w:pPr>
        <w:numPr>
          <w:ilvl w:val="0"/>
          <w:numId w:val="25"/>
        </w:numPr>
        <w:contextualSpacing/>
        <w:rPr>
          <w:sz w:val="22"/>
          <w:szCs w:val="22"/>
        </w:rPr>
      </w:pPr>
      <w:r w:rsidRPr="007C3F6A">
        <w:rPr>
          <w:sz w:val="22"/>
          <w:szCs w:val="22"/>
        </w:rPr>
        <w:t>Student B’s record in NJSMART reflects Cumulative Days in Membership (M) as 180 and Cumulative Days Present as 150.  The calculation to determine Student B’s absentee rate is (180-15</w:t>
      </w:r>
      <w:r>
        <w:rPr>
          <w:sz w:val="22"/>
          <w:szCs w:val="22"/>
        </w:rPr>
        <w:t>0</w:t>
      </w:r>
      <w:r w:rsidRPr="007C3F6A">
        <w:rPr>
          <w:sz w:val="22"/>
          <w:szCs w:val="22"/>
        </w:rPr>
        <w:t xml:space="preserve">)/180 or 16.7%.  Student B is chronically absent. </w:t>
      </w:r>
    </w:p>
    <w:p w:rsidR="00C0549D" w:rsidRPr="008E0330" w:rsidRDefault="00C0549D" w:rsidP="00C0549D">
      <w:pPr>
        <w:ind w:left="360"/>
        <w:contextualSpacing/>
        <w:rPr>
          <w:sz w:val="22"/>
          <w:szCs w:val="22"/>
        </w:rPr>
      </w:pPr>
    </w:p>
    <w:p w:rsidR="00C0549D" w:rsidRPr="007C3F6A" w:rsidRDefault="00C0549D" w:rsidP="00C0549D">
      <w:pPr>
        <w:contextualSpacing/>
        <w:rPr>
          <w:sz w:val="22"/>
          <w:szCs w:val="22"/>
        </w:rPr>
      </w:pPr>
      <w:r w:rsidRPr="007C3F6A">
        <w:rPr>
          <w:b/>
          <w:i/>
          <w:sz w:val="22"/>
          <w:szCs w:val="22"/>
        </w:rPr>
        <w:t>School-level chronic absenteeism</w:t>
      </w:r>
      <w:r w:rsidRPr="007C3F6A">
        <w:rPr>
          <w:b/>
          <w:sz w:val="22"/>
          <w:szCs w:val="22"/>
        </w:rPr>
        <w:t>:</w:t>
      </w:r>
      <w:r w:rsidRPr="007C3F6A">
        <w:rPr>
          <w:sz w:val="22"/>
          <w:szCs w:val="22"/>
        </w:rPr>
        <w:t xml:space="preserve"> The school-level chronic absenteeism rate is calculated by dividing the number of chronically absent students during the school year by the total number of students enrolled in the school.</w:t>
      </w:r>
    </w:p>
    <w:p w:rsidR="00C0549D" w:rsidRPr="007C3F6A" w:rsidRDefault="00C0549D" w:rsidP="00C0549D">
      <w:pPr>
        <w:contextualSpacing/>
        <w:rPr>
          <w:sz w:val="22"/>
          <w:szCs w:val="22"/>
        </w:rPr>
      </w:pPr>
    </w:p>
    <w:p w:rsidR="00C0549D" w:rsidRDefault="00C0549D" w:rsidP="00C0549D">
      <w:pPr>
        <w:contextualSpacing/>
        <w:rPr>
          <w:sz w:val="22"/>
          <w:szCs w:val="22"/>
        </w:rPr>
      </w:pPr>
      <w:r w:rsidRPr="007C3F6A">
        <w:rPr>
          <w:b/>
          <w:sz w:val="22"/>
          <w:szCs w:val="22"/>
        </w:rPr>
        <w:t>Example</w:t>
      </w:r>
      <w:r w:rsidRPr="007C3F6A">
        <w:rPr>
          <w:sz w:val="22"/>
          <w:szCs w:val="22"/>
        </w:rPr>
        <w:t>:</w:t>
      </w:r>
      <w:r w:rsidRPr="007C3F6A">
        <w:rPr>
          <w:sz w:val="22"/>
          <w:szCs w:val="22"/>
        </w:rPr>
        <w:br/>
        <w:t>Anytown Elementary School has an enrollment of 350 students</w:t>
      </w:r>
      <w:r w:rsidR="009A4819">
        <w:rPr>
          <w:sz w:val="22"/>
          <w:szCs w:val="22"/>
        </w:rPr>
        <w:t xml:space="preserve"> who were in membership for 45 days or more</w:t>
      </w:r>
      <w:r w:rsidRPr="007C3F6A">
        <w:rPr>
          <w:sz w:val="22"/>
          <w:szCs w:val="22"/>
        </w:rPr>
        <w:t>. At the school there are 15 students with an absentee rate equal to or greater than 10%.  The school’s chronic absenteeism rate is 15/350 or 4.2%</w:t>
      </w:r>
      <w:r>
        <w:rPr>
          <w:sz w:val="22"/>
          <w:szCs w:val="22"/>
        </w:rPr>
        <w:t>.</w:t>
      </w:r>
    </w:p>
    <w:p w:rsidR="00C0549D" w:rsidRDefault="00C0549D" w:rsidP="00C0549D">
      <w:pPr>
        <w:contextualSpacing/>
        <w:rPr>
          <w:sz w:val="22"/>
          <w:szCs w:val="22"/>
        </w:rPr>
      </w:pPr>
    </w:p>
    <w:p w:rsidR="00FD2D8D" w:rsidRPr="007C3F6A" w:rsidRDefault="00FD2D8D" w:rsidP="00C0549D">
      <w:pPr>
        <w:contextualSpacing/>
        <w:rPr>
          <w:sz w:val="22"/>
          <w:szCs w:val="22"/>
        </w:rPr>
      </w:pPr>
    </w:p>
    <w:p w:rsidR="00C0549D" w:rsidRPr="00347076" w:rsidRDefault="00C0549D" w:rsidP="00C0549D">
      <w:pPr>
        <w:pBdr>
          <w:top w:val="single" w:sz="6" w:space="2" w:color="4472C4" w:themeColor="accent1"/>
        </w:pBdr>
        <w:spacing w:before="300" w:after="0"/>
        <w:outlineLvl w:val="2"/>
        <w:rPr>
          <w:color w:val="1F3763" w:themeColor="accent1" w:themeShade="7F"/>
          <w:spacing w:val="15"/>
          <w:sz w:val="24"/>
          <w:szCs w:val="24"/>
        </w:rPr>
      </w:pPr>
      <w:r w:rsidRPr="00347076">
        <w:rPr>
          <w:color w:val="1F3763" w:themeColor="accent1" w:themeShade="7F"/>
          <w:spacing w:val="15"/>
          <w:sz w:val="24"/>
          <w:szCs w:val="24"/>
        </w:rPr>
        <w:t xml:space="preserve">Long-Term Goal and </w:t>
      </w:r>
      <w:r w:rsidR="008A3B27" w:rsidRPr="00347076">
        <w:rPr>
          <w:color w:val="1F3763" w:themeColor="accent1" w:themeShade="7F"/>
          <w:spacing w:val="15"/>
          <w:sz w:val="24"/>
          <w:szCs w:val="24"/>
        </w:rPr>
        <w:t>A</w:t>
      </w:r>
      <w:r w:rsidR="00AF7B02" w:rsidRPr="00347076">
        <w:rPr>
          <w:color w:val="1F3763" w:themeColor="accent1" w:themeShade="7F"/>
          <w:spacing w:val="15"/>
          <w:sz w:val="24"/>
          <w:szCs w:val="24"/>
        </w:rPr>
        <w:t>nnual</w:t>
      </w:r>
      <w:r w:rsidR="008A3B27" w:rsidRPr="00347076">
        <w:rPr>
          <w:color w:val="1F3763" w:themeColor="accent1" w:themeShade="7F"/>
          <w:spacing w:val="15"/>
          <w:sz w:val="24"/>
          <w:szCs w:val="24"/>
        </w:rPr>
        <w:t xml:space="preserve"> </w:t>
      </w:r>
      <w:r w:rsidRPr="00347076">
        <w:rPr>
          <w:color w:val="1F3763" w:themeColor="accent1" w:themeShade="7F"/>
          <w:spacing w:val="15"/>
          <w:sz w:val="24"/>
          <w:szCs w:val="24"/>
        </w:rPr>
        <w:t>Target</w:t>
      </w:r>
    </w:p>
    <w:p w:rsidR="00C0549D" w:rsidRPr="007C3F6A" w:rsidRDefault="00C0549D" w:rsidP="00C0549D">
      <w:pPr>
        <w:contextualSpacing/>
        <w:rPr>
          <w:sz w:val="22"/>
          <w:szCs w:val="22"/>
        </w:rPr>
      </w:pPr>
      <w:r w:rsidRPr="007C3F6A">
        <w:rPr>
          <w:sz w:val="22"/>
          <w:szCs w:val="22"/>
        </w:rPr>
        <w:t xml:space="preserve">Under </w:t>
      </w:r>
      <w:r w:rsidRPr="007C3F6A">
        <w:rPr>
          <w:i/>
          <w:sz w:val="22"/>
          <w:szCs w:val="22"/>
        </w:rPr>
        <w:t>ESSA</w:t>
      </w:r>
      <w:r w:rsidRPr="007C3F6A">
        <w:rPr>
          <w:sz w:val="22"/>
          <w:szCs w:val="22"/>
        </w:rPr>
        <w:t xml:space="preserve">, there </w:t>
      </w:r>
      <w:r w:rsidR="009A4819">
        <w:rPr>
          <w:sz w:val="22"/>
          <w:szCs w:val="22"/>
        </w:rPr>
        <w:t>is</w:t>
      </w:r>
      <w:r w:rsidR="009A4819" w:rsidRPr="007C3F6A">
        <w:rPr>
          <w:sz w:val="22"/>
          <w:szCs w:val="22"/>
        </w:rPr>
        <w:t xml:space="preserve"> </w:t>
      </w:r>
      <w:r w:rsidRPr="007C3F6A">
        <w:rPr>
          <w:sz w:val="22"/>
          <w:szCs w:val="22"/>
        </w:rPr>
        <w:t xml:space="preserve">no </w:t>
      </w:r>
      <w:r w:rsidR="009A4819">
        <w:rPr>
          <w:sz w:val="22"/>
          <w:szCs w:val="22"/>
        </w:rPr>
        <w:t>long-term goal or annual target for</w:t>
      </w:r>
      <w:r w:rsidRPr="007C3F6A">
        <w:rPr>
          <w:sz w:val="22"/>
          <w:szCs w:val="22"/>
        </w:rPr>
        <w:t xml:space="preserve"> chronic absenteeism.  Instead, each school’s chronic absenteeism rate </w:t>
      </w:r>
      <w:r>
        <w:rPr>
          <w:sz w:val="22"/>
          <w:szCs w:val="22"/>
        </w:rPr>
        <w:t>is</w:t>
      </w:r>
      <w:r w:rsidRPr="007C3F6A">
        <w:rPr>
          <w:sz w:val="22"/>
          <w:szCs w:val="22"/>
        </w:rPr>
        <w:t xml:space="preserve"> compared to the calculated state average</w:t>
      </w:r>
      <w:r>
        <w:rPr>
          <w:sz w:val="22"/>
          <w:szCs w:val="22"/>
        </w:rPr>
        <w:t xml:space="preserve"> according to the school’s grade configuration (see explanation below)</w:t>
      </w:r>
      <w:r w:rsidRPr="007C3F6A">
        <w:rPr>
          <w:sz w:val="22"/>
          <w:szCs w:val="22"/>
        </w:rPr>
        <w:t xml:space="preserve">.  Each </w:t>
      </w:r>
      <w:r w:rsidR="008A3B27">
        <w:rPr>
          <w:sz w:val="22"/>
          <w:szCs w:val="22"/>
        </w:rPr>
        <w:t>student group</w:t>
      </w:r>
      <w:r w:rsidR="008A3B27" w:rsidRPr="007C3F6A">
        <w:rPr>
          <w:sz w:val="22"/>
          <w:szCs w:val="22"/>
        </w:rPr>
        <w:t xml:space="preserve"> </w:t>
      </w:r>
      <w:r>
        <w:rPr>
          <w:sz w:val="22"/>
          <w:szCs w:val="22"/>
        </w:rPr>
        <w:t>is</w:t>
      </w:r>
      <w:r w:rsidRPr="007C3F6A">
        <w:rPr>
          <w:sz w:val="22"/>
          <w:szCs w:val="22"/>
        </w:rPr>
        <w:t xml:space="preserve"> also compared to the state average.  </w:t>
      </w:r>
    </w:p>
    <w:p w:rsidR="00C0549D" w:rsidRPr="00347076" w:rsidRDefault="00C0549D" w:rsidP="00C0549D">
      <w:pPr>
        <w:ind w:left="180"/>
        <w:contextualSpacing/>
        <w:rPr>
          <w:sz w:val="24"/>
          <w:szCs w:val="24"/>
        </w:rPr>
      </w:pPr>
    </w:p>
    <w:p w:rsidR="00C0549D" w:rsidRPr="00347076" w:rsidRDefault="00C0549D" w:rsidP="00C0549D">
      <w:pPr>
        <w:pBdr>
          <w:top w:val="single" w:sz="6" w:space="2" w:color="4472C4" w:themeColor="accent1"/>
        </w:pBdr>
        <w:spacing w:before="300" w:after="0"/>
        <w:outlineLvl w:val="2"/>
        <w:rPr>
          <w:color w:val="1F3763" w:themeColor="accent1" w:themeShade="7F"/>
          <w:spacing w:val="15"/>
          <w:sz w:val="24"/>
          <w:szCs w:val="24"/>
        </w:rPr>
      </w:pPr>
      <w:r w:rsidRPr="00347076">
        <w:rPr>
          <w:color w:val="1F3763" w:themeColor="accent1" w:themeShade="7F"/>
          <w:spacing w:val="15"/>
          <w:sz w:val="24"/>
          <w:szCs w:val="24"/>
        </w:rPr>
        <w:t xml:space="preserve">State Average – </w:t>
      </w:r>
      <w:r w:rsidR="00AF7B02" w:rsidRPr="00347076">
        <w:rPr>
          <w:color w:val="1F3763" w:themeColor="accent1" w:themeShade="7F"/>
          <w:spacing w:val="15"/>
          <w:sz w:val="24"/>
          <w:szCs w:val="24"/>
        </w:rPr>
        <w:t>T</w:t>
      </w:r>
      <w:r w:rsidRPr="00347076">
        <w:rPr>
          <w:color w:val="1F3763" w:themeColor="accent1" w:themeShade="7F"/>
          <w:spacing w:val="15"/>
          <w:sz w:val="24"/>
          <w:szCs w:val="24"/>
        </w:rPr>
        <w:t xml:space="preserve">otal and </w:t>
      </w:r>
      <w:r w:rsidR="008A3B27" w:rsidRPr="00347076">
        <w:rPr>
          <w:color w:val="1F3763" w:themeColor="accent1" w:themeShade="7F"/>
          <w:spacing w:val="15"/>
          <w:sz w:val="24"/>
          <w:szCs w:val="24"/>
        </w:rPr>
        <w:t xml:space="preserve">Student </w:t>
      </w:r>
      <w:r w:rsidR="00AF7B02" w:rsidRPr="00347076">
        <w:rPr>
          <w:color w:val="1F3763" w:themeColor="accent1" w:themeShade="7F"/>
          <w:spacing w:val="15"/>
          <w:sz w:val="24"/>
          <w:szCs w:val="24"/>
        </w:rPr>
        <w:t>G</w:t>
      </w:r>
      <w:r w:rsidR="008A3B27" w:rsidRPr="00347076">
        <w:rPr>
          <w:color w:val="1F3763" w:themeColor="accent1" w:themeShade="7F"/>
          <w:spacing w:val="15"/>
          <w:sz w:val="24"/>
          <w:szCs w:val="24"/>
        </w:rPr>
        <w:t>roups</w:t>
      </w:r>
    </w:p>
    <w:p w:rsidR="00C0549D" w:rsidRDefault="00C0549D" w:rsidP="00C0549D">
      <w:pPr>
        <w:contextualSpacing/>
        <w:rPr>
          <w:b/>
          <w:sz w:val="22"/>
          <w:szCs w:val="22"/>
        </w:rPr>
      </w:pPr>
    </w:p>
    <w:p w:rsidR="00C0549D" w:rsidRPr="007C3F6A" w:rsidRDefault="00C0549D" w:rsidP="00C0549D">
      <w:pPr>
        <w:contextualSpacing/>
        <w:rPr>
          <w:b/>
          <w:sz w:val="22"/>
          <w:szCs w:val="22"/>
        </w:rPr>
      </w:pPr>
      <w:r w:rsidRPr="007C3F6A">
        <w:rPr>
          <w:b/>
          <w:sz w:val="22"/>
          <w:szCs w:val="22"/>
        </w:rPr>
        <w:t xml:space="preserve">Comparing Chronic Absenteeism to the State Average </w:t>
      </w:r>
    </w:p>
    <w:p w:rsidR="00C0549D" w:rsidRPr="007C3F6A" w:rsidRDefault="00C0549D" w:rsidP="00C0549D">
      <w:pPr>
        <w:contextualSpacing/>
        <w:rPr>
          <w:b/>
          <w:sz w:val="22"/>
          <w:szCs w:val="22"/>
        </w:rPr>
      </w:pPr>
    </w:p>
    <w:p w:rsidR="00C0549D" w:rsidRDefault="00C0549D" w:rsidP="00C0549D">
      <w:pPr>
        <w:contextualSpacing/>
        <w:rPr>
          <w:sz w:val="22"/>
          <w:szCs w:val="22"/>
        </w:rPr>
      </w:pPr>
      <w:r w:rsidRPr="007C3F6A">
        <w:rPr>
          <w:sz w:val="22"/>
          <w:szCs w:val="22"/>
        </w:rPr>
        <w:t>A chronic absenteeism rate is calculated for each student according to the formula outlined in the prior section.  Subsequently, a</w:t>
      </w:r>
      <w:r>
        <w:rPr>
          <w:sz w:val="22"/>
          <w:szCs w:val="22"/>
        </w:rPr>
        <w:t xml:space="preserve"> </w:t>
      </w:r>
      <w:r w:rsidRPr="007C3F6A">
        <w:rPr>
          <w:sz w:val="22"/>
          <w:szCs w:val="22"/>
        </w:rPr>
        <w:t>chronic absenteeism rate for the state is calculated by averaging the rates for all students</w:t>
      </w:r>
      <w:r>
        <w:rPr>
          <w:sz w:val="22"/>
          <w:szCs w:val="22"/>
        </w:rPr>
        <w:t xml:space="preserve"> in a given grade configuration</w:t>
      </w:r>
      <w:r w:rsidRPr="007C3F6A">
        <w:rPr>
          <w:sz w:val="22"/>
          <w:szCs w:val="22"/>
        </w:rPr>
        <w:t>. The chronic absenteeism rates for the state overall</w:t>
      </w:r>
      <w:r>
        <w:rPr>
          <w:sz w:val="22"/>
          <w:szCs w:val="22"/>
        </w:rPr>
        <w:t xml:space="preserve"> </w:t>
      </w:r>
      <w:r w:rsidRPr="007C3F6A">
        <w:rPr>
          <w:sz w:val="22"/>
          <w:szCs w:val="22"/>
        </w:rPr>
        <w:t xml:space="preserve">and for each grade are listed in </w:t>
      </w:r>
      <w:r w:rsidRPr="004C1B6B">
        <w:rPr>
          <w:sz w:val="22"/>
          <w:szCs w:val="22"/>
        </w:rPr>
        <w:t xml:space="preserve">the </w:t>
      </w:r>
      <w:r w:rsidR="004C1B6B" w:rsidRPr="00E26CD9">
        <w:rPr>
          <w:sz w:val="22"/>
          <w:szCs w:val="22"/>
        </w:rPr>
        <w:t xml:space="preserve">table below. </w:t>
      </w:r>
      <w:r w:rsidRPr="007C3F6A">
        <w:rPr>
          <w:sz w:val="22"/>
          <w:szCs w:val="22"/>
        </w:rPr>
        <w:t xml:space="preserve">   </w:t>
      </w:r>
    </w:p>
    <w:p w:rsidR="00C0549D" w:rsidRDefault="00C0549D" w:rsidP="00C0549D">
      <w:pPr>
        <w:contextualSpacing/>
      </w:pPr>
      <w:r>
        <w:fldChar w:fldCharType="begin"/>
      </w:r>
      <w:r>
        <w:instrText xml:space="preserve"> LINK Excel.Sheet.12 "Book1" "Sheet1!R4C7:R22C9" \a \f 4 \h </w:instrText>
      </w:r>
      <w:r>
        <w:fldChar w:fldCharType="separate"/>
      </w:r>
    </w:p>
    <w:p w:rsidR="00C0549D" w:rsidRDefault="00C0549D" w:rsidP="00C0549D">
      <w:pPr>
        <w:contextualSpacing/>
        <w:rPr>
          <w:sz w:val="22"/>
          <w:szCs w:val="22"/>
        </w:rPr>
      </w:pPr>
      <w:r>
        <w:rPr>
          <w:sz w:val="22"/>
          <w:szCs w:val="22"/>
        </w:rPr>
        <w:fldChar w:fldCharType="end"/>
      </w:r>
    </w:p>
    <w:p w:rsidR="00CB699A" w:rsidRDefault="00CB699A" w:rsidP="00C0549D">
      <w:pPr>
        <w:contextualSpacing/>
        <w:rPr>
          <w:sz w:val="22"/>
          <w:szCs w:val="22"/>
        </w:rPr>
      </w:pPr>
    </w:p>
    <w:p w:rsidR="00CB699A" w:rsidRDefault="00CB699A" w:rsidP="00C0549D">
      <w:pPr>
        <w:contextualSpacing/>
        <w:rPr>
          <w:sz w:val="22"/>
          <w:szCs w:val="22"/>
        </w:rPr>
      </w:pPr>
    </w:p>
    <w:p w:rsidR="00CB699A" w:rsidRDefault="00CB699A" w:rsidP="00C0549D">
      <w:pPr>
        <w:contextualSpacing/>
        <w:rPr>
          <w:sz w:val="22"/>
          <w:szCs w:val="22"/>
        </w:rPr>
      </w:pPr>
    </w:p>
    <w:p w:rsidR="00CB699A" w:rsidRDefault="00CB699A" w:rsidP="00C0549D">
      <w:pPr>
        <w:contextualSpacing/>
        <w:rPr>
          <w:sz w:val="22"/>
          <w:szCs w:val="22"/>
        </w:rPr>
      </w:pPr>
    </w:p>
    <w:p w:rsidR="00CB699A" w:rsidRDefault="00CB699A" w:rsidP="00C0549D">
      <w:pPr>
        <w:contextualSpacing/>
        <w:rPr>
          <w:sz w:val="22"/>
          <w:szCs w:val="22"/>
        </w:rPr>
      </w:pPr>
    </w:p>
    <w:tbl>
      <w:tblPr>
        <w:tblW w:w="5919" w:type="dxa"/>
        <w:jc w:val="center"/>
        <w:tblLook w:val="04A0" w:firstRow="1" w:lastRow="0" w:firstColumn="1" w:lastColumn="0" w:noHBand="0" w:noVBand="1"/>
      </w:tblPr>
      <w:tblGrid>
        <w:gridCol w:w="1159"/>
        <w:gridCol w:w="2416"/>
        <w:gridCol w:w="2344"/>
      </w:tblGrid>
      <w:tr w:rsidR="00F4413D" w:rsidRPr="007C35C0" w:rsidTr="00FD2D8D">
        <w:trPr>
          <w:trHeight w:val="321"/>
          <w:jc w:val="center"/>
        </w:trPr>
        <w:tc>
          <w:tcPr>
            <w:tcW w:w="5919" w:type="dxa"/>
            <w:gridSpan w:val="3"/>
            <w:tcBorders>
              <w:top w:val="nil"/>
              <w:left w:val="nil"/>
              <w:bottom w:val="nil"/>
              <w:right w:val="nil"/>
            </w:tcBorders>
            <w:shd w:val="clear" w:color="auto" w:fill="auto"/>
            <w:noWrap/>
            <w:vAlign w:val="center"/>
            <w:hideMark/>
          </w:tcPr>
          <w:p w:rsidR="00F4413D" w:rsidRPr="00267185" w:rsidRDefault="00F4413D" w:rsidP="0019636D">
            <w:pPr>
              <w:spacing w:before="0" w:after="0" w:line="240" w:lineRule="auto"/>
              <w:jc w:val="center"/>
              <w:rPr>
                <w:rFonts w:ascii="Calibri" w:eastAsia="Times New Roman" w:hAnsi="Calibri" w:cs="Times New Roman"/>
                <w:b/>
                <w:bCs/>
                <w:color w:val="000000"/>
                <w:sz w:val="22"/>
                <w:szCs w:val="22"/>
              </w:rPr>
            </w:pPr>
            <w:r w:rsidRPr="00267185">
              <w:rPr>
                <w:rFonts w:ascii="Calibri" w:eastAsia="Times New Roman" w:hAnsi="Calibri" w:cs="Times New Roman"/>
                <w:b/>
                <w:bCs/>
                <w:color w:val="000000"/>
                <w:sz w:val="22"/>
                <w:szCs w:val="22"/>
              </w:rPr>
              <w:t>NEW JERSEY CHRONIC ABSENTEEISM RATES, 201</w:t>
            </w:r>
            <w:r>
              <w:rPr>
                <w:rFonts w:ascii="Calibri" w:eastAsia="Times New Roman" w:hAnsi="Calibri" w:cs="Times New Roman"/>
                <w:b/>
                <w:bCs/>
                <w:color w:val="000000"/>
                <w:sz w:val="22"/>
                <w:szCs w:val="22"/>
              </w:rPr>
              <w:t>7</w:t>
            </w:r>
            <w:r w:rsidRPr="00267185">
              <w:rPr>
                <w:rFonts w:ascii="Calibri" w:eastAsia="Times New Roman" w:hAnsi="Calibri" w:cs="Times New Roman"/>
                <w:b/>
                <w:bCs/>
                <w:color w:val="000000"/>
                <w:sz w:val="22"/>
                <w:szCs w:val="22"/>
              </w:rPr>
              <w:t>-1</w:t>
            </w:r>
            <w:r>
              <w:rPr>
                <w:rFonts w:ascii="Calibri" w:eastAsia="Times New Roman" w:hAnsi="Calibri" w:cs="Times New Roman"/>
                <w:b/>
                <w:bCs/>
                <w:color w:val="000000"/>
                <w:sz w:val="22"/>
                <w:szCs w:val="22"/>
              </w:rPr>
              <w:t>8</w:t>
            </w:r>
          </w:p>
        </w:tc>
      </w:tr>
      <w:tr w:rsidR="00F4413D" w:rsidRPr="007C35C0" w:rsidTr="00FD2D8D">
        <w:trPr>
          <w:trHeight w:val="964"/>
          <w:jc w:val="center"/>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rPr>
                <w:rFonts w:ascii="Calibri" w:eastAsia="Times New Roman" w:hAnsi="Calibri" w:cs="Times New Roman"/>
                <w:color w:val="000000"/>
              </w:rPr>
            </w:pPr>
            <w:r w:rsidRPr="00267185">
              <w:rPr>
                <w:rFonts w:ascii="Calibri" w:eastAsia="Times New Roman" w:hAnsi="Calibri" w:cs="Times New Roman"/>
                <w:color w:val="000000"/>
              </w:rPr>
              <w:t> </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rsidR="00F4413D" w:rsidRPr="00267185" w:rsidRDefault="00F4413D" w:rsidP="0019636D">
            <w:pPr>
              <w:spacing w:before="0" w:after="0" w:line="240" w:lineRule="auto"/>
              <w:jc w:val="center"/>
              <w:rPr>
                <w:rFonts w:ascii="Calibri" w:eastAsia="Times New Roman" w:hAnsi="Calibri" w:cs="Times New Roman"/>
                <w:b/>
                <w:bCs/>
                <w:color w:val="000000"/>
                <w:sz w:val="22"/>
                <w:szCs w:val="22"/>
              </w:rPr>
            </w:pPr>
            <w:r w:rsidRPr="00267185">
              <w:rPr>
                <w:rFonts w:ascii="Calibri" w:eastAsia="Times New Roman" w:hAnsi="Calibri" w:cs="Times New Roman"/>
                <w:b/>
                <w:bCs/>
                <w:color w:val="000000"/>
                <w:sz w:val="22"/>
                <w:szCs w:val="22"/>
              </w:rPr>
              <w:t>Chronic</w:t>
            </w:r>
            <w:r w:rsidRPr="00267185">
              <w:rPr>
                <w:rFonts w:ascii="Calibri" w:eastAsia="Times New Roman" w:hAnsi="Calibri" w:cs="Times New Roman"/>
                <w:b/>
                <w:bCs/>
                <w:color w:val="000000"/>
                <w:sz w:val="22"/>
                <w:szCs w:val="22"/>
              </w:rPr>
              <w:br/>
              <w:t>Absenteeism</w:t>
            </w:r>
            <w:r w:rsidRPr="00267185">
              <w:rPr>
                <w:rFonts w:ascii="Calibri" w:eastAsia="Times New Roman" w:hAnsi="Calibri" w:cs="Times New Roman"/>
                <w:b/>
                <w:bCs/>
                <w:color w:val="000000"/>
                <w:sz w:val="22"/>
                <w:szCs w:val="22"/>
              </w:rPr>
              <w:br/>
              <w:t>(%)</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F4413D" w:rsidRPr="00267185" w:rsidRDefault="00F4413D" w:rsidP="0019636D">
            <w:pPr>
              <w:spacing w:before="0" w:after="0" w:line="240" w:lineRule="auto"/>
              <w:jc w:val="center"/>
              <w:rPr>
                <w:rFonts w:ascii="Calibri" w:eastAsia="Times New Roman" w:hAnsi="Calibri" w:cs="Times New Roman"/>
                <w:b/>
                <w:bCs/>
                <w:color w:val="000000"/>
                <w:sz w:val="22"/>
                <w:szCs w:val="22"/>
              </w:rPr>
            </w:pPr>
            <w:r w:rsidRPr="00267185">
              <w:rPr>
                <w:rFonts w:ascii="Calibri" w:eastAsia="Times New Roman" w:hAnsi="Calibri" w:cs="Times New Roman"/>
                <w:b/>
                <w:bCs/>
                <w:color w:val="000000"/>
                <w:sz w:val="22"/>
                <w:szCs w:val="22"/>
              </w:rPr>
              <w:t>Students</w:t>
            </w:r>
            <w:r w:rsidRPr="00267185">
              <w:rPr>
                <w:rFonts w:ascii="Calibri" w:eastAsia="Times New Roman" w:hAnsi="Calibri" w:cs="Times New Roman"/>
                <w:b/>
                <w:bCs/>
                <w:color w:val="000000"/>
                <w:sz w:val="22"/>
                <w:szCs w:val="22"/>
              </w:rPr>
              <w:br/>
              <w:t>(n)</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000000" w:fill="D9D9D9"/>
            <w:noWrap/>
            <w:vAlign w:val="center"/>
            <w:hideMark/>
          </w:tcPr>
          <w:p w:rsidR="00F4413D" w:rsidRPr="00267185" w:rsidRDefault="00F4413D" w:rsidP="0019636D">
            <w:pPr>
              <w:spacing w:before="0" w:after="0" w:line="240" w:lineRule="auto"/>
              <w:rPr>
                <w:rFonts w:ascii="Calibri" w:eastAsia="Times New Roman" w:hAnsi="Calibri" w:cs="Times New Roman"/>
                <w:b/>
                <w:bCs/>
                <w:color w:val="FF0000"/>
                <w:sz w:val="22"/>
                <w:szCs w:val="22"/>
              </w:rPr>
            </w:pPr>
            <w:r w:rsidRPr="00267185">
              <w:rPr>
                <w:rFonts w:ascii="Calibri" w:eastAsia="Times New Roman" w:hAnsi="Calibri" w:cs="Times New Roman"/>
                <w:b/>
                <w:bCs/>
                <w:color w:val="FF0000"/>
                <w:sz w:val="22"/>
                <w:szCs w:val="22"/>
              </w:rPr>
              <w:t>TOTAL*</w:t>
            </w:r>
          </w:p>
        </w:tc>
        <w:tc>
          <w:tcPr>
            <w:tcW w:w="2416" w:type="dxa"/>
            <w:tcBorders>
              <w:top w:val="nil"/>
              <w:left w:val="nil"/>
              <w:bottom w:val="single" w:sz="4" w:space="0" w:color="auto"/>
              <w:right w:val="single" w:sz="4" w:space="0" w:color="auto"/>
            </w:tcBorders>
            <w:shd w:val="clear" w:color="000000" w:fill="D9D9D9"/>
            <w:noWrap/>
            <w:vAlign w:val="bottom"/>
            <w:hideMark/>
          </w:tcPr>
          <w:p w:rsidR="00F4413D" w:rsidRPr="00267185" w:rsidRDefault="00F4413D" w:rsidP="0019636D">
            <w:pPr>
              <w:spacing w:before="0" w:after="0" w:line="240" w:lineRule="auto"/>
              <w:jc w:val="center"/>
              <w:rPr>
                <w:rFonts w:ascii="Calibri" w:eastAsia="Times New Roman" w:hAnsi="Calibri" w:cs="Times New Roman"/>
                <w:b/>
                <w:bCs/>
                <w:color w:val="FF0000"/>
                <w:sz w:val="22"/>
                <w:szCs w:val="22"/>
              </w:rPr>
            </w:pPr>
            <w:r>
              <w:rPr>
                <w:rFonts w:ascii="Calibri" w:hAnsi="Calibri"/>
                <w:b/>
                <w:bCs/>
                <w:color w:val="FF0000"/>
              </w:rPr>
              <w:t>10.9</w:t>
            </w:r>
          </w:p>
        </w:tc>
        <w:tc>
          <w:tcPr>
            <w:tcW w:w="2342" w:type="dxa"/>
            <w:tcBorders>
              <w:top w:val="nil"/>
              <w:left w:val="nil"/>
              <w:bottom w:val="single" w:sz="4" w:space="0" w:color="auto"/>
              <w:right w:val="single" w:sz="4" w:space="0" w:color="auto"/>
            </w:tcBorders>
            <w:shd w:val="clear" w:color="000000" w:fill="D9D9D9"/>
            <w:noWrap/>
            <w:vAlign w:val="bottom"/>
            <w:hideMark/>
          </w:tcPr>
          <w:p w:rsidR="00F4413D" w:rsidRPr="00267185" w:rsidRDefault="00F4413D" w:rsidP="0019636D">
            <w:pPr>
              <w:spacing w:before="0" w:after="0" w:line="240" w:lineRule="auto"/>
              <w:jc w:val="right"/>
              <w:rPr>
                <w:rFonts w:ascii="Calibri" w:eastAsia="Times New Roman" w:hAnsi="Calibri" w:cs="Times New Roman"/>
                <w:b/>
                <w:bCs/>
                <w:color w:val="FF0000"/>
                <w:sz w:val="22"/>
                <w:szCs w:val="22"/>
              </w:rPr>
            </w:pPr>
            <w:r>
              <w:rPr>
                <w:rFonts w:ascii="Calibri" w:hAnsi="Calibri"/>
                <w:b/>
                <w:bCs/>
                <w:color w:val="FF0000"/>
              </w:rPr>
              <w:t>1,315,881</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b/>
                <w:bCs/>
                <w:color w:val="000000"/>
                <w:sz w:val="22"/>
                <w:szCs w:val="22"/>
              </w:rPr>
            </w:pPr>
            <w:r w:rsidRPr="00267185">
              <w:rPr>
                <w:rFonts w:ascii="Calibri" w:eastAsia="Times New Roman" w:hAnsi="Calibri" w:cs="Times New Roman"/>
                <w:b/>
                <w:bCs/>
                <w:color w:val="000000"/>
                <w:sz w:val="22"/>
                <w:szCs w:val="22"/>
              </w:rPr>
              <w:t>GRADE</w:t>
            </w:r>
          </w:p>
        </w:tc>
        <w:tc>
          <w:tcPr>
            <w:tcW w:w="2416" w:type="dxa"/>
            <w:tcBorders>
              <w:top w:val="nil"/>
              <w:left w:val="nil"/>
              <w:bottom w:val="single" w:sz="4" w:space="0" w:color="auto"/>
              <w:right w:val="single" w:sz="4" w:space="0" w:color="auto"/>
            </w:tcBorders>
            <w:shd w:val="clear" w:color="auto" w:fill="auto"/>
            <w:noWrap/>
            <w:vAlign w:val="center"/>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 </w:t>
            </w:r>
          </w:p>
        </w:tc>
        <w:tc>
          <w:tcPr>
            <w:tcW w:w="2342" w:type="dxa"/>
            <w:tcBorders>
              <w:top w:val="nil"/>
              <w:left w:val="nil"/>
              <w:bottom w:val="single" w:sz="4" w:space="0" w:color="auto"/>
              <w:right w:val="single" w:sz="4" w:space="0" w:color="auto"/>
            </w:tcBorders>
            <w:shd w:val="clear" w:color="auto" w:fill="auto"/>
            <w:noWrap/>
            <w:vAlign w:val="center"/>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 </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PK**</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31.0</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74,341</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KG</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13.0</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92,864</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1</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9.4</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96,794</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2</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8.3</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97,582</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3</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7.6</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100,999</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4</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7.4</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102,485</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5</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7.7</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104,251</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6</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8.6</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103,092</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7</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9.6</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102,143</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8</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10.3</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104,230</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9</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11.4</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105,915</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10</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12.9</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101,770</w:t>
            </w:r>
          </w:p>
        </w:tc>
      </w:tr>
      <w:tr w:rsidR="00F4413D" w:rsidRPr="007C35C0" w:rsidTr="00FD2D8D">
        <w:trPr>
          <w:trHeight w:val="321"/>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11</w:t>
            </w:r>
          </w:p>
        </w:tc>
        <w:tc>
          <w:tcPr>
            <w:tcW w:w="2416"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14.8</w:t>
            </w:r>
          </w:p>
        </w:tc>
        <w:tc>
          <w:tcPr>
            <w:tcW w:w="2342" w:type="dxa"/>
            <w:tcBorders>
              <w:top w:val="nil"/>
              <w:left w:val="nil"/>
              <w:bottom w:val="single" w:sz="4" w:space="0" w:color="auto"/>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100,332</w:t>
            </w:r>
          </w:p>
        </w:tc>
      </w:tr>
      <w:tr w:rsidR="00F4413D" w:rsidRPr="007C35C0" w:rsidTr="00FD2D8D">
        <w:trPr>
          <w:trHeight w:val="321"/>
          <w:jc w:val="center"/>
        </w:trPr>
        <w:tc>
          <w:tcPr>
            <w:tcW w:w="1159" w:type="dxa"/>
            <w:tcBorders>
              <w:top w:val="nil"/>
              <w:left w:val="single" w:sz="4" w:space="0" w:color="auto"/>
              <w:bottom w:val="nil"/>
              <w:right w:val="single" w:sz="4" w:space="0" w:color="auto"/>
            </w:tcBorders>
            <w:shd w:val="clear" w:color="auto" w:fill="auto"/>
            <w:noWrap/>
            <w:vAlign w:val="bottom"/>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267185">
              <w:rPr>
                <w:rFonts w:ascii="Calibri" w:eastAsia="Times New Roman" w:hAnsi="Calibri" w:cs="Times New Roman"/>
                <w:color w:val="000000"/>
                <w:sz w:val="22"/>
                <w:szCs w:val="22"/>
              </w:rPr>
              <w:t>12</w:t>
            </w:r>
          </w:p>
        </w:tc>
        <w:tc>
          <w:tcPr>
            <w:tcW w:w="2416" w:type="dxa"/>
            <w:tcBorders>
              <w:top w:val="nil"/>
              <w:left w:val="nil"/>
              <w:bottom w:val="nil"/>
              <w:right w:val="single" w:sz="4" w:space="0" w:color="auto"/>
            </w:tcBorders>
            <w:shd w:val="clear" w:color="auto" w:fill="auto"/>
            <w:noWrap/>
            <w:hideMark/>
          </w:tcPr>
          <w:p w:rsidR="00F4413D" w:rsidRPr="00267185" w:rsidRDefault="00F4413D" w:rsidP="0019636D">
            <w:pPr>
              <w:spacing w:before="0" w:after="0" w:line="240" w:lineRule="auto"/>
              <w:jc w:val="center"/>
              <w:rPr>
                <w:rFonts w:ascii="Calibri" w:eastAsia="Times New Roman" w:hAnsi="Calibri" w:cs="Times New Roman"/>
                <w:color w:val="000000"/>
                <w:sz w:val="22"/>
                <w:szCs w:val="22"/>
              </w:rPr>
            </w:pPr>
            <w:r w:rsidRPr="00D074CF">
              <w:t>20.6</w:t>
            </w:r>
          </w:p>
        </w:tc>
        <w:tc>
          <w:tcPr>
            <w:tcW w:w="2342" w:type="dxa"/>
            <w:tcBorders>
              <w:top w:val="nil"/>
              <w:left w:val="nil"/>
              <w:bottom w:val="nil"/>
              <w:right w:val="single" w:sz="4" w:space="0" w:color="auto"/>
            </w:tcBorders>
            <w:shd w:val="clear" w:color="auto" w:fill="auto"/>
            <w:noWrap/>
            <w:hideMark/>
          </w:tcPr>
          <w:p w:rsidR="00F4413D" w:rsidRPr="00267185" w:rsidRDefault="00F4413D" w:rsidP="0019636D">
            <w:pPr>
              <w:spacing w:before="0" w:after="0" w:line="240" w:lineRule="auto"/>
              <w:jc w:val="right"/>
              <w:rPr>
                <w:rFonts w:ascii="Calibri" w:eastAsia="Times New Roman" w:hAnsi="Calibri" w:cs="Times New Roman"/>
                <w:color w:val="000000"/>
                <w:sz w:val="22"/>
                <w:szCs w:val="22"/>
              </w:rPr>
            </w:pPr>
            <w:r w:rsidRPr="00D074CF">
              <w:t>103,424</w:t>
            </w:r>
          </w:p>
        </w:tc>
      </w:tr>
      <w:tr w:rsidR="00F4413D" w:rsidRPr="007C35C0" w:rsidTr="00FD2D8D">
        <w:trPr>
          <w:trHeight w:val="675"/>
          <w:jc w:val="center"/>
        </w:trPr>
        <w:tc>
          <w:tcPr>
            <w:tcW w:w="59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413D" w:rsidRPr="00267185" w:rsidRDefault="00F4413D" w:rsidP="0019636D">
            <w:pPr>
              <w:spacing w:before="0" w:after="0" w:line="240" w:lineRule="auto"/>
              <w:rPr>
                <w:rFonts w:ascii="Calibri" w:eastAsia="Times New Roman" w:hAnsi="Calibri" w:cs="Times New Roman"/>
                <w:color w:val="000000"/>
              </w:rPr>
            </w:pPr>
            <w:r w:rsidRPr="00267185">
              <w:rPr>
                <w:rFonts w:ascii="Calibri" w:eastAsia="Times New Roman" w:hAnsi="Calibri" w:cs="Times New Roman"/>
                <w:color w:val="000000"/>
              </w:rPr>
              <w:t xml:space="preserve">* Includes </w:t>
            </w:r>
            <w:r>
              <w:rPr>
                <w:rFonts w:ascii="Calibri" w:eastAsia="Times New Roman" w:hAnsi="Calibri" w:cs="Times New Roman"/>
                <w:color w:val="000000"/>
              </w:rPr>
              <w:t xml:space="preserve">all </w:t>
            </w:r>
            <w:r w:rsidRPr="00267185">
              <w:rPr>
                <w:rFonts w:ascii="Calibri" w:eastAsia="Times New Roman" w:hAnsi="Calibri" w:cs="Times New Roman"/>
                <w:color w:val="000000"/>
              </w:rPr>
              <w:t>K-12 students with 45 days in membership or more.</w:t>
            </w:r>
            <w:r w:rsidRPr="00267185">
              <w:rPr>
                <w:rFonts w:ascii="Calibri" w:eastAsia="Times New Roman" w:hAnsi="Calibri" w:cs="Times New Roman"/>
                <w:color w:val="000000"/>
              </w:rPr>
              <w:br/>
              <w:t xml:space="preserve">** PK not included in </w:t>
            </w:r>
            <w:r>
              <w:rPr>
                <w:rFonts w:ascii="Calibri" w:eastAsia="Times New Roman" w:hAnsi="Calibri" w:cs="Times New Roman"/>
                <w:color w:val="000000"/>
              </w:rPr>
              <w:t>any chronic absenteeism calculations.</w:t>
            </w:r>
          </w:p>
        </w:tc>
      </w:tr>
    </w:tbl>
    <w:p w:rsidR="00A541D6" w:rsidRDefault="00A541D6" w:rsidP="00C0549D">
      <w:pPr>
        <w:contextualSpacing/>
        <w:rPr>
          <w:sz w:val="22"/>
          <w:szCs w:val="22"/>
        </w:rPr>
      </w:pPr>
    </w:p>
    <w:p w:rsidR="00FD2D8D" w:rsidRDefault="00FD2D8D" w:rsidP="00C0549D">
      <w:pPr>
        <w:contextualSpacing/>
        <w:rPr>
          <w:sz w:val="22"/>
          <w:szCs w:val="22"/>
        </w:rPr>
      </w:pPr>
    </w:p>
    <w:p w:rsidR="00FD2D8D" w:rsidRDefault="00FD2D8D" w:rsidP="00C0549D">
      <w:pPr>
        <w:contextualSpacing/>
        <w:rPr>
          <w:sz w:val="22"/>
          <w:szCs w:val="22"/>
        </w:rPr>
      </w:pPr>
    </w:p>
    <w:p w:rsidR="00FD2D8D" w:rsidRDefault="00FD2D8D" w:rsidP="00C0549D">
      <w:pPr>
        <w:contextualSpacing/>
        <w:rPr>
          <w:sz w:val="22"/>
          <w:szCs w:val="22"/>
        </w:rPr>
      </w:pPr>
    </w:p>
    <w:p w:rsidR="00A541D6" w:rsidRDefault="00C0549D" w:rsidP="00C0549D">
      <w:pPr>
        <w:contextualSpacing/>
        <w:rPr>
          <w:sz w:val="22"/>
          <w:szCs w:val="22"/>
        </w:rPr>
      </w:pPr>
      <w:r w:rsidRPr="00A22474">
        <w:rPr>
          <w:sz w:val="22"/>
          <w:szCs w:val="22"/>
        </w:rPr>
        <w:t xml:space="preserve">While </w:t>
      </w:r>
      <w:r w:rsidR="004C1B6B">
        <w:rPr>
          <w:sz w:val="22"/>
          <w:szCs w:val="22"/>
        </w:rPr>
        <w:t>about half of</w:t>
      </w:r>
      <w:r w:rsidR="004C1B6B" w:rsidRPr="00A22474">
        <w:rPr>
          <w:sz w:val="22"/>
          <w:szCs w:val="22"/>
        </w:rPr>
        <w:t xml:space="preserve"> </w:t>
      </w:r>
      <w:r w:rsidRPr="00A22474">
        <w:rPr>
          <w:sz w:val="22"/>
          <w:szCs w:val="22"/>
        </w:rPr>
        <w:t xml:space="preserve">New Jersey schools can be neatly divided into elementary (K-5), middle (6-8) or high (9-12) schools, </w:t>
      </w:r>
      <w:r w:rsidR="004C1B6B">
        <w:rPr>
          <w:sz w:val="22"/>
          <w:szCs w:val="22"/>
        </w:rPr>
        <w:t xml:space="preserve">the other half of </w:t>
      </w:r>
      <w:r w:rsidRPr="00A22474">
        <w:rPr>
          <w:sz w:val="22"/>
          <w:szCs w:val="22"/>
        </w:rPr>
        <w:t xml:space="preserve">schools have different grade configurations.  There are </w:t>
      </w:r>
      <w:r w:rsidR="00522F96">
        <w:rPr>
          <w:sz w:val="22"/>
          <w:szCs w:val="22"/>
        </w:rPr>
        <w:t>u</w:t>
      </w:r>
      <w:r w:rsidR="004C1B6B">
        <w:rPr>
          <w:sz w:val="22"/>
          <w:szCs w:val="22"/>
        </w:rPr>
        <w:t>nique</w:t>
      </w:r>
      <w:r w:rsidR="004C1B6B" w:rsidRPr="00A22474">
        <w:rPr>
          <w:sz w:val="22"/>
          <w:szCs w:val="22"/>
        </w:rPr>
        <w:t xml:space="preserve"> </w:t>
      </w:r>
      <w:r w:rsidRPr="00A22474">
        <w:rPr>
          <w:sz w:val="22"/>
          <w:szCs w:val="22"/>
        </w:rPr>
        <w:t xml:space="preserve">school grade configurations in the state.  Therefore, in calculating a state average chronic absenteeism rate, the grades offered at a school are considered and the rate is calculated by averaging the chronic absenteeism rate for each grade offered at the school.   Consequently, each grade configuration has its own state average chronic absenteeism rate.  </w:t>
      </w:r>
      <w:r w:rsidRPr="00BA63BC">
        <w:rPr>
          <w:sz w:val="22"/>
          <w:szCs w:val="22"/>
        </w:rPr>
        <w:t>The state average for chronic absenteeism for dist</w:t>
      </w:r>
      <w:r w:rsidR="00F16443">
        <w:rPr>
          <w:sz w:val="22"/>
          <w:szCs w:val="22"/>
        </w:rPr>
        <w:t xml:space="preserve">ricts are calculated similarly </w:t>
      </w:r>
      <w:r w:rsidRPr="00A22474">
        <w:rPr>
          <w:sz w:val="22"/>
          <w:szCs w:val="22"/>
        </w:rPr>
        <w:t xml:space="preserve">(The grade information for a school is based on data submitted to the </w:t>
      </w:r>
      <w:r w:rsidRPr="00A22474">
        <w:rPr>
          <w:i/>
          <w:sz w:val="22"/>
          <w:szCs w:val="22"/>
        </w:rPr>
        <w:t>New Jersey Directory of Schools</w:t>
      </w:r>
      <w:r w:rsidRPr="00BA63BC">
        <w:rPr>
          <w:sz w:val="22"/>
          <w:szCs w:val="22"/>
        </w:rPr>
        <w:t>)</w:t>
      </w:r>
      <w:r>
        <w:rPr>
          <w:sz w:val="22"/>
          <w:szCs w:val="22"/>
        </w:rPr>
        <w:t xml:space="preserve">. </w:t>
      </w:r>
      <w:r w:rsidRPr="007C3F6A">
        <w:rPr>
          <w:sz w:val="22"/>
          <w:szCs w:val="22"/>
        </w:rPr>
        <w:t xml:space="preserve">The following are a few examples for calculating the state average for chronic absenteeism.  This process is used regardless of the school’s grade configurations.  </w:t>
      </w:r>
    </w:p>
    <w:p w:rsidR="00CB699A" w:rsidRDefault="00CB699A" w:rsidP="00C0549D">
      <w:pPr>
        <w:contextualSpacing/>
        <w:rPr>
          <w:sz w:val="22"/>
          <w:szCs w:val="22"/>
        </w:rPr>
      </w:pPr>
    </w:p>
    <w:p w:rsidR="004C1B6B" w:rsidRDefault="00C0549D" w:rsidP="00C0549D">
      <w:pPr>
        <w:contextualSpacing/>
        <w:rPr>
          <w:sz w:val="22"/>
          <w:szCs w:val="22"/>
        </w:rPr>
      </w:pPr>
      <w:r w:rsidRPr="007C3F6A">
        <w:rPr>
          <w:i/>
          <w:sz w:val="22"/>
          <w:szCs w:val="22"/>
        </w:rPr>
        <w:t>Example</w:t>
      </w:r>
      <w:r w:rsidR="004C1B6B">
        <w:rPr>
          <w:i/>
          <w:sz w:val="22"/>
          <w:szCs w:val="22"/>
        </w:rPr>
        <w:t>s</w:t>
      </w:r>
      <w:r w:rsidRPr="007C3F6A">
        <w:rPr>
          <w:sz w:val="22"/>
          <w:szCs w:val="22"/>
        </w:rPr>
        <w:t xml:space="preserve">:  </w:t>
      </w:r>
    </w:p>
    <w:p w:rsidR="00C0549D" w:rsidRDefault="004C1B6B" w:rsidP="00E26CD9">
      <w:pPr>
        <w:ind w:left="288"/>
        <w:contextualSpacing/>
        <w:rPr>
          <w:sz w:val="22"/>
          <w:szCs w:val="22"/>
        </w:rPr>
      </w:pPr>
      <w:r>
        <w:rPr>
          <w:sz w:val="22"/>
          <w:szCs w:val="22"/>
        </w:rPr>
        <w:t>F</w:t>
      </w:r>
      <w:r w:rsidR="00C0549D" w:rsidRPr="007C3F6A">
        <w:rPr>
          <w:sz w:val="22"/>
          <w:szCs w:val="22"/>
        </w:rPr>
        <w:t xml:space="preserve">or all schools with grades 9 to 12, the state average is derived by summing up the chronic absenteeism rate for grades 9 through 12.  In </w:t>
      </w:r>
      <w:r>
        <w:rPr>
          <w:sz w:val="22"/>
          <w:szCs w:val="22"/>
        </w:rPr>
        <w:t>the table above</w:t>
      </w:r>
      <w:r w:rsidR="00C0549D" w:rsidRPr="007C3F6A">
        <w:rPr>
          <w:sz w:val="22"/>
          <w:szCs w:val="22"/>
        </w:rPr>
        <w:t>, the rates for those grades are summed accordingly (</w:t>
      </w:r>
      <w:r w:rsidR="00482E6F">
        <w:rPr>
          <w:sz w:val="22"/>
          <w:szCs w:val="22"/>
        </w:rPr>
        <w:t>11.4</w:t>
      </w:r>
      <w:r w:rsidR="00C0549D" w:rsidRPr="007C3F6A">
        <w:rPr>
          <w:sz w:val="22"/>
          <w:szCs w:val="22"/>
        </w:rPr>
        <w:t>+12.</w:t>
      </w:r>
      <w:r w:rsidR="00482E6F">
        <w:rPr>
          <w:sz w:val="22"/>
          <w:szCs w:val="22"/>
        </w:rPr>
        <w:t>9</w:t>
      </w:r>
      <w:r w:rsidR="00C0549D" w:rsidRPr="007C3F6A">
        <w:rPr>
          <w:sz w:val="22"/>
          <w:szCs w:val="22"/>
        </w:rPr>
        <w:t>+14.</w:t>
      </w:r>
      <w:r w:rsidR="00482E6F">
        <w:rPr>
          <w:sz w:val="22"/>
          <w:szCs w:val="22"/>
        </w:rPr>
        <w:t>8</w:t>
      </w:r>
      <w:r w:rsidR="00C0549D" w:rsidRPr="007C3F6A">
        <w:rPr>
          <w:sz w:val="22"/>
          <w:szCs w:val="22"/>
        </w:rPr>
        <w:t>+20.</w:t>
      </w:r>
      <w:r w:rsidR="00482E6F">
        <w:rPr>
          <w:sz w:val="22"/>
          <w:szCs w:val="22"/>
        </w:rPr>
        <w:t>6</w:t>
      </w:r>
      <w:r w:rsidR="00C0549D" w:rsidRPr="007C3F6A">
        <w:rPr>
          <w:sz w:val="22"/>
          <w:szCs w:val="22"/>
        </w:rPr>
        <w:t>=5</w:t>
      </w:r>
      <w:r w:rsidR="00482E6F">
        <w:rPr>
          <w:sz w:val="22"/>
          <w:szCs w:val="22"/>
        </w:rPr>
        <w:t>9</w:t>
      </w:r>
      <w:r w:rsidR="00C0549D" w:rsidRPr="007C3F6A">
        <w:rPr>
          <w:sz w:val="22"/>
          <w:szCs w:val="22"/>
        </w:rPr>
        <w:t>.</w:t>
      </w:r>
      <w:r w:rsidR="00482E6F">
        <w:rPr>
          <w:sz w:val="22"/>
          <w:szCs w:val="22"/>
        </w:rPr>
        <w:t>7</w:t>
      </w:r>
      <w:r w:rsidR="00C0549D" w:rsidRPr="007C3F6A">
        <w:rPr>
          <w:sz w:val="22"/>
          <w:szCs w:val="22"/>
        </w:rPr>
        <w:t xml:space="preserve">).  This sum is then divided by the number of grades offered in </w:t>
      </w:r>
      <w:r w:rsidR="00FC4108">
        <w:rPr>
          <w:sz w:val="22"/>
          <w:szCs w:val="22"/>
        </w:rPr>
        <w:softHyphen/>
      </w:r>
      <w:r w:rsidR="00C0549D" w:rsidRPr="007C3F6A">
        <w:rPr>
          <w:sz w:val="22"/>
          <w:szCs w:val="22"/>
        </w:rPr>
        <w:t>the school (there are four grades in a school with grades 9 to 12).  The result (5</w:t>
      </w:r>
      <w:r w:rsidR="00482E6F">
        <w:rPr>
          <w:sz w:val="22"/>
          <w:szCs w:val="22"/>
        </w:rPr>
        <w:t>9</w:t>
      </w:r>
      <w:r w:rsidR="00C0549D" w:rsidRPr="007C3F6A">
        <w:rPr>
          <w:sz w:val="22"/>
          <w:szCs w:val="22"/>
        </w:rPr>
        <w:t>.</w:t>
      </w:r>
      <w:r w:rsidR="00482E6F">
        <w:rPr>
          <w:sz w:val="22"/>
          <w:szCs w:val="22"/>
        </w:rPr>
        <w:t>7</w:t>
      </w:r>
      <w:r w:rsidR="00C0549D" w:rsidRPr="007C3F6A">
        <w:rPr>
          <w:sz w:val="22"/>
          <w:szCs w:val="22"/>
        </w:rPr>
        <w:t>/4=14.</w:t>
      </w:r>
      <w:r w:rsidR="00482E6F">
        <w:rPr>
          <w:sz w:val="22"/>
          <w:szCs w:val="22"/>
        </w:rPr>
        <w:t>9</w:t>
      </w:r>
      <w:r w:rsidR="00C0549D" w:rsidRPr="007C3F6A">
        <w:rPr>
          <w:sz w:val="22"/>
          <w:szCs w:val="22"/>
        </w:rPr>
        <w:t xml:space="preserve">) is the state average for all schools with grades 9 to 12.  </w:t>
      </w:r>
    </w:p>
    <w:p w:rsidR="004C1B6B" w:rsidRDefault="004C1B6B" w:rsidP="00C0549D">
      <w:pPr>
        <w:contextualSpacing/>
        <w:rPr>
          <w:i/>
          <w:sz w:val="22"/>
          <w:szCs w:val="22"/>
        </w:rPr>
      </w:pPr>
    </w:p>
    <w:p w:rsidR="00C0549D" w:rsidRPr="007C3F6A" w:rsidRDefault="00C0549D" w:rsidP="00E26CD9">
      <w:pPr>
        <w:ind w:left="288"/>
        <w:contextualSpacing/>
        <w:rPr>
          <w:sz w:val="22"/>
          <w:szCs w:val="22"/>
        </w:rPr>
      </w:pPr>
      <w:r w:rsidRPr="007C3F6A">
        <w:rPr>
          <w:sz w:val="22"/>
          <w:szCs w:val="22"/>
        </w:rPr>
        <w:t>For a less common configuration, assume a school consists of students in grades 3 through 7.  The state average is derived by summing up the chronic absenteeism rate for grade 3 through 7 in the chart above (7.</w:t>
      </w:r>
      <w:r w:rsidR="00482E6F">
        <w:rPr>
          <w:sz w:val="22"/>
          <w:szCs w:val="22"/>
        </w:rPr>
        <w:t>6</w:t>
      </w:r>
      <w:r w:rsidRPr="007C3F6A">
        <w:rPr>
          <w:sz w:val="22"/>
          <w:szCs w:val="22"/>
        </w:rPr>
        <w:t>+7.</w:t>
      </w:r>
      <w:r w:rsidR="00482E6F">
        <w:rPr>
          <w:sz w:val="22"/>
          <w:szCs w:val="22"/>
        </w:rPr>
        <w:t>4</w:t>
      </w:r>
      <w:r w:rsidRPr="007C3F6A">
        <w:rPr>
          <w:sz w:val="22"/>
          <w:szCs w:val="22"/>
        </w:rPr>
        <w:t>+</w:t>
      </w:r>
      <w:r w:rsidR="00482E6F">
        <w:rPr>
          <w:sz w:val="22"/>
          <w:szCs w:val="22"/>
        </w:rPr>
        <w:t>7.7</w:t>
      </w:r>
      <w:r w:rsidRPr="007C3F6A">
        <w:rPr>
          <w:sz w:val="22"/>
          <w:szCs w:val="22"/>
        </w:rPr>
        <w:t>+8.</w:t>
      </w:r>
      <w:r w:rsidR="00482E6F">
        <w:rPr>
          <w:sz w:val="22"/>
          <w:szCs w:val="22"/>
        </w:rPr>
        <w:t>6</w:t>
      </w:r>
      <w:r w:rsidRPr="007C3F6A">
        <w:rPr>
          <w:sz w:val="22"/>
          <w:szCs w:val="22"/>
        </w:rPr>
        <w:t>+</w:t>
      </w:r>
      <w:r w:rsidR="00482E6F">
        <w:rPr>
          <w:sz w:val="22"/>
          <w:szCs w:val="22"/>
        </w:rPr>
        <w:t>9.6</w:t>
      </w:r>
      <w:r w:rsidRPr="007C3F6A">
        <w:rPr>
          <w:sz w:val="22"/>
          <w:szCs w:val="22"/>
        </w:rPr>
        <w:t>=</w:t>
      </w:r>
      <w:r w:rsidR="00482E6F">
        <w:rPr>
          <w:sz w:val="22"/>
          <w:szCs w:val="22"/>
        </w:rPr>
        <w:t>40.9</w:t>
      </w:r>
      <w:r w:rsidRPr="007C3F6A">
        <w:rPr>
          <w:sz w:val="22"/>
          <w:szCs w:val="22"/>
        </w:rPr>
        <w:t>) and then dividing this by the number of grades in the school (there are 5 grades in a school with grades 3 to 7).  The result (</w:t>
      </w:r>
      <w:r w:rsidR="00482E6F">
        <w:rPr>
          <w:sz w:val="22"/>
          <w:szCs w:val="22"/>
        </w:rPr>
        <w:t>40.9</w:t>
      </w:r>
      <w:r w:rsidRPr="007C3F6A">
        <w:rPr>
          <w:sz w:val="22"/>
          <w:szCs w:val="22"/>
        </w:rPr>
        <w:t>/5=</w:t>
      </w:r>
      <w:r w:rsidR="00482E6F">
        <w:rPr>
          <w:sz w:val="22"/>
          <w:szCs w:val="22"/>
        </w:rPr>
        <w:t>8.2</w:t>
      </w:r>
      <w:r w:rsidRPr="007C3F6A">
        <w:rPr>
          <w:sz w:val="22"/>
          <w:szCs w:val="22"/>
        </w:rPr>
        <w:t xml:space="preserve">) is the state average for all schools that include only grades 3 to 7.    </w:t>
      </w:r>
    </w:p>
    <w:p w:rsidR="00C0549D" w:rsidRPr="007C3F6A" w:rsidRDefault="00C0549D" w:rsidP="00C0549D">
      <w:pPr>
        <w:contextualSpacing/>
        <w:rPr>
          <w:sz w:val="22"/>
          <w:szCs w:val="22"/>
        </w:rPr>
      </w:pPr>
    </w:p>
    <w:p w:rsidR="00C0549D" w:rsidRPr="007C3F6A" w:rsidRDefault="00C0549D" w:rsidP="00C0549D">
      <w:pPr>
        <w:contextualSpacing/>
        <w:rPr>
          <w:sz w:val="22"/>
          <w:szCs w:val="22"/>
        </w:rPr>
      </w:pPr>
      <w:r w:rsidRPr="007C3F6A">
        <w:rPr>
          <w:sz w:val="22"/>
          <w:szCs w:val="22"/>
        </w:rPr>
        <w:t xml:space="preserve">To determine whether a school met the state average, the school's actual chronic absenteeism rate is then compared to the state average chronic absenteeism rate based on the grade configuration of the school.  If a school’s actual chronic absenteeism rate is equal to or below the state average based on its grade configuration, the school would receive </w:t>
      </w:r>
      <w:r w:rsidR="003F2234" w:rsidRPr="007C3F6A">
        <w:rPr>
          <w:sz w:val="22"/>
          <w:szCs w:val="22"/>
        </w:rPr>
        <w:t xml:space="preserve">a </w:t>
      </w:r>
      <w:r w:rsidR="003F2234" w:rsidRPr="007C3F6A">
        <w:rPr>
          <w:sz w:val="22"/>
          <w:szCs w:val="22"/>
          <w:shd w:val="clear" w:color="auto" w:fill="92D050"/>
        </w:rPr>
        <w:t>Y.</w:t>
      </w:r>
      <w:r w:rsidRPr="007C3F6A">
        <w:rPr>
          <w:sz w:val="22"/>
          <w:szCs w:val="22"/>
        </w:rPr>
        <w:t xml:space="preserve">  If the school’s actual chronic absenteeism rate is above the state average</w:t>
      </w:r>
      <w:r w:rsidR="008630BD">
        <w:rPr>
          <w:sz w:val="22"/>
          <w:szCs w:val="22"/>
        </w:rPr>
        <w:t xml:space="preserve"> based on its grade configuration</w:t>
      </w:r>
      <w:r w:rsidRPr="007C3F6A">
        <w:rPr>
          <w:sz w:val="22"/>
          <w:szCs w:val="22"/>
        </w:rPr>
        <w:t xml:space="preserve">, it would receive </w:t>
      </w:r>
      <w:r w:rsidR="003F2234" w:rsidRPr="007C3F6A">
        <w:rPr>
          <w:sz w:val="22"/>
          <w:szCs w:val="22"/>
        </w:rPr>
        <w:t>a</w:t>
      </w:r>
      <w:r w:rsidR="003F2234">
        <w:rPr>
          <w:sz w:val="22"/>
          <w:szCs w:val="22"/>
        </w:rPr>
        <w:t>n</w:t>
      </w:r>
      <w:r w:rsidR="003F2234" w:rsidRPr="007C3F6A">
        <w:rPr>
          <w:sz w:val="22"/>
          <w:szCs w:val="22"/>
        </w:rPr>
        <w:t xml:space="preserve"> </w:t>
      </w:r>
      <w:r w:rsidR="003F2234" w:rsidRPr="007C3F6A">
        <w:rPr>
          <w:sz w:val="22"/>
          <w:szCs w:val="22"/>
          <w:shd w:val="clear" w:color="auto" w:fill="FF0000"/>
        </w:rPr>
        <w:t>N.</w:t>
      </w:r>
      <w:r w:rsidRPr="007C3F6A">
        <w:rPr>
          <w:sz w:val="22"/>
          <w:szCs w:val="22"/>
        </w:rPr>
        <w:t xml:space="preserve">  </w:t>
      </w:r>
    </w:p>
    <w:p w:rsidR="00C0549D" w:rsidRPr="007C3F6A" w:rsidRDefault="00C0549D" w:rsidP="00C0549D">
      <w:pPr>
        <w:contextualSpacing/>
        <w:rPr>
          <w:sz w:val="22"/>
          <w:szCs w:val="22"/>
        </w:rPr>
      </w:pPr>
    </w:p>
    <w:p w:rsidR="00C0549D" w:rsidRPr="007C3F6A" w:rsidRDefault="00C0549D" w:rsidP="00C0549D">
      <w:pPr>
        <w:contextualSpacing/>
        <w:rPr>
          <w:sz w:val="22"/>
          <w:szCs w:val="22"/>
        </w:rPr>
      </w:pPr>
      <w:r w:rsidRPr="007C3F6A">
        <w:rPr>
          <w:sz w:val="22"/>
          <w:szCs w:val="22"/>
        </w:rPr>
        <w:t>For example, if a high school’s chronic absenteeism rate was 10.4%, this is below the state average of 14.</w:t>
      </w:r>
      <w:r w:rsidR="00482E6F">
        <w:rPr>
          <w:sz w:val="22"/>
          <w:szCs w:val="22"/>
        </w:rPr>
        <w:t>9</w:t>
      </w:r>
      <w:r w:rsidRPr="007C3F6A">
        <w:rPr>
          <w:sz w:val="22"/>
          <w:szCs w:val="22"/>
        </w:rPr>
        <w:t xml:space="preserve">%, and hence, under “Met State Average”, the school would receive </w:t>
      </w:r>
      <w:r w:rsidR="003F2234" w:rsidRPr="007C3F6A">
        <w:rPr>
          <w:sz w:val="22"/>
          <w:szCs w:val="22"/>
        </w:rPr>
        <w:t xml:space="preserve">a </w:t>
      </w:r>
      <w:r w:rsidR="003F2234" w:rsidRPr="007C3F6A">
        <w:rPr>
          <w:sz w:val="22"/>
          <w:szCs w:val="22"/>
          <w:shd w:val="clear" w:color="auto" w:fill="92D050"/>
        </w:rPr>
        <w:t>Y</w:t>
      </w:r>
      <w:r w:rsidR="009D0CC3" w:rsidRPr="007C3F6A">
        <w:rPr>
          <w:sz w:val="22"/>
          <w:szCs w:val="22"/>
          <w:shd w:val="clear" w:color="auto" w:fill="92D050"/>
        </w:rPr>
        <w:t>.</w:t>
      </w:r>
      <w:r w:rsidRPr="007C3F6A">
        <w:rPr>
          <w:sz w:val="22"/>
          <w:szCs w:val="22"/>
        </w:rPr>
        <w:t xml:space="preserve">   </w:t>
      </w:r>
    </w:p>
    <w:p w:rsidR="00C0549D" w:rsidRPr="007C3F6A" w:rsidRDefault="00C0549D" w:rsidP="00C0549D">
      <w:pPr>
        <w:contextualSpacing/>
        <w:rPr>
          <w:sz w:val="22"/>
          <w:szCs w:val="22"/>
        </w:rPr>
      </w:pPr>
    </w:p>
    <w:p w:rsidR="00675DCB" w:rsidRPr="002354D0" w:rsidRDefault="00675DCB" w:rsidP="00CA030E"/>
    <w:sectPr w:rsidR="00675DCB" w:rsidRPr="002354D0" w:rsidSect="00B120F7">
      <w:footerReference w:type="default" r:id="rId1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57" w:rsidRDefault="00BD6657" w:rsidP="00DC2CAD">
      <w:pPr>
        <w:spacing w:before="0" w:after="0" w:line="240" w:lineRule="auto"/>
      </w:pPr>
      <w:r>
        <w:separator/>
      </w:r>
    </w:p>
  </w:endnote>
  <w:endnote w:type="continuationSeparator" w:id="0">
    <w:p w:rsidR="00BD6657" w:rsidRDefault="00BD6657" w:rsidP="00DC2CAD">
      <w:pPr>
        <w:spacing w:before="0" w:after="0" w:line="240" w:lineRule="auto"/>
      </w:pPr>
      <w:r>
        <w:continuationSeparator/>
      </w:r>
    </w:p>
  </w:endnote>
  <w:endnote w:type="continuationNotice" w:id="1">
    <w:p w:rsidR="00BD6657" w:rsidRDefault="00BD66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075080"/>
      <w:docPartObj>
        <w:docPartGallery w:val="Page Numbers (Bottom of Page)"/>
        <w:docPartUnique/>
      </w:docPartObj>
    </w:sdtPr>
    <w:sdtEndPr>
      <w:rPr>
        <w:color w:val="7F7F7F" w:themeColor="background1" w:themeShade="7F"/>
        <w:spacing w:val="60"/>
      </w:rPr>
    </w:sdtEndPr>
    <w:sdtContent>
      <w:p w:rsidR="0054361C" w:rsidRDefault="0054361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1D14" w:rsidRPr="006F1D14">
          <w:rPr>
            <w:b/>
            <w:bCs/>
            <w:noProof/>
          </w:rPr>
          <w:t>11</w:t>
        </w:r>
        <w:r>
          <w:rPr>
            <w:b/>
            <w:bCs/>
            <w:noProof/>
          </w:rPr>
          <w:fldChar w:fldCharType="end"/>
        </w:r>
        <w:r>
          <w:rPr>
            <w:b/>
            <w:bCs/>
          </w:rPr>
          <w:t xml:space="preserve"> | </w:t>
        </w:r>
        <w:r>
          <w:rPr>
            <w:color w:val="7F7F7F" w:themeColor="background1" w:themeShade="7F"/>
            <w:spacing w:val="60"/>
          </w:rPr>
          <w:t>Page</w:t>
        </w:r>
      </w:p>
    </w:sdtContent>
  </w:sdt>
  <w:p w:rsidR="0054361C" w:rsidRDefault="00543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57" w:rsidRDefault="00BD6657" w:rsidP="00DC2CAD">
      <w:pPr>
        <w:spacing w:before="0" w:after="0" w:line="240" w:lineRule="auto"/>
      </w:pPr>
      <w:r>
        <w:separator/>
      </w:r>
    </w:p>
  </w:footnote>
  <w:footnote w:type="continuationSeparator" w:id="0">
    <w:p w:rsidR="00BD6657" w:rsidRDefault="00BD6657" w:rsidP="00DC2CAD">
      <w:pPr>
        <w:spacing w:before="0" w:after="0" w:line="240" w:lineRule="auto"/>
      </w:pPr>
      <w:r>
        <w:continuationSeparator/>
      </w:r>
    </w:p>
  </w:footnote>
  <w:footnote w:type="continuationNotice" w:id="1">
    <w:p w:rsidR="00BD6657" w:rsidRDefault="00BD6657">
      <w:pPr>
        <w:spacing w:before="0" w:after="0" w:line="240" w:lineRule="auto"/>
      </w:pPr>
    </w:p>
  </w:footnote>
  <w:footnote w:id="2">
    <w:p w:rsidR="0054361C" w:rsidRDefault="0054361C">
      <w:pPr>
        <w:pStyle w:val="FootnoteText"/>
      </w:pPr>
      <w:r>
        <w:rPr>
          <w:rStyle w:val="FootnoteReference"/>
        </w:rPr>
        <w:footnoteRef/>
      </w:r>
      <w:r>
        <w:t xml:space="preserve"> Districts were asked to submit attendance data for inactive students (students who transferred out of district during the course of the school year) in SID Management for the 2017-18 school year.  After reviewing the data, NJDOE determined additional instruction was necessary for districts on the proper submission of attendance data for these inactive students.  The 2017-18 data on chronic absenteeism continues to only include students who are enrolled at a school at the end of the school year and have 45 or more days in membership.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BC8"/>
    <w:multiLevelType w:val="hybridMultilevel"/>
    <w:tmpl w:val="18E2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0367E"/>
    <w:multiLevelType w:val="hybridMultilevel"/>
    <w:tmpl w:val="7E4E1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CD327F"/>
    <w:multiLevelType w:val="hybridMultilevel"/>
    <w:tmpl w:val="E5BC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75503"/>
    <w:multiLevelType w:val="hybridMultilevel"/>
    <w:tmpl w:val="1BFE6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35A3C"/>
    <w:multiLevelType w:val="hybridMultilevel"/>
    <w:tmpl w:val="6DDE77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8B3"/>
    <w:multiLevelType w:val="hybridMultilevel"/>
    <w:tmpl w:val="27B0D50A"/>
    <w:lvl w:ilvl="0" w:tplc="7310C1DE">
      <w:start w:val="1"/>
      <w:numFmt w:val="bullet"/>
      <w:lvlText w:val="•"/>
      <w:lvlJc w:val="left"/>
      <w:pPr>
        <w:tabs>
          <w:tab w:val="num" w:pos="720"/>
        </w:tabs>
        <w:ind w:left="720" w:hanging="360"/>
      </w:pPr>
      <w:rPr>
        <w:rFonts w:ascii="Arial" w:hAnsi="Arial" w:hint="default"/>
      </w:rPr>
    </w:lvl>
    <w:lvl w:ilvl="1" w:tplc="0DD4C430" w:tentative="1">
      <w:start w:val="1"/>
      <w:numFmt w:val="bullet"/>
      <w:lvlText w:val="•"/>
      <w:lvlJc w:val="left"/>
      <w:pPr>
        <w:tabs>
          <w:tab w:val="num" w:pos="1440"/>
        </w:tabs>
        <w:ind w:left="1440" w:hanging="360"/>
      </w:pPr>
      <w:rPr>
        <w:rFonts w:ascii="Arial" w:hAnsi="Arial" w:hint="default"/>
      </w:rPr>
    </w:lvl>
    <w:lvl w:ilvl="2" w:tplc="F64A4080" w:tentative="1">
      <w:start w:val="1"/>
      <w:numFmt w:val="bullet"/>
      <w:lvlText w:val="•"/>
      <w:lvlJc w:val="left"/>
      <w:pPr>
        <w:tabs>
          <w:tab w:val="num" w:pos="2160"/>
        </w:tabs>
        <w:ind w:left="2160" w:hanging="360"/>
      </w:pPr>
      <w:rPr>
        <w:rFonts w:ascii="Arial" w:hAnsi="Arial" w:hint="default"/>
      </w:rPr>
    </w:lvl>
    <w:lvl w:ilvl="3" w:tplc="C81A20D8" w:tentative="1">
      <w:start w:val="1"/>
      <w:numFmt w:val="bullet"/>
      <w:lvlText w:val="•"/>
      <w:lvlJc w:val="left"/>
      <w:pPr>
        <w:tabs>
          <w:tab w:val="num" w:pos="2880"/>
        </w:tabs>
        <w:ind w:left="2880" w:hanging="360"/>
      </w:pPr>
      <w:rPr>
        <w:rFonts w:ascii="Arial" w:hAnsi="Arial" w:hint="default"/>
      </w:rPr>
    </w:lvl>
    <w:lvl w:ilvl="4" w:tplc="61EE8788" w:tentative="1">
      <w:start w:val="1"/>
      <w:numFmt w:val="bullet"/>
      <w:lvlText w:val="•"/>
      <w:lvlJc w:val="left"/>
      <w:pPr>
        <w:tabs>
          <w:tab w:val="num" w:pos="3600"/>
        </w:tabs>
        <w:ind w:left="3600" w:hanging="360"/>
      </w:pPr>
      <w:rPr>
        <w:rFonts w:ascii="Arial" w:hAnsi="Arial" w:hint="default"/>
      </w:rPr>
    </w:lvl>
    <w:lvl w:ilvl="5" w:tplc="E3BAE29A" w:tentative="1">
      <w:start w:val="1"/>
      <w:numFmt w:val="bullet"/>
      <w:lvlText w:val="•"/>
      <w:lvlJc w:val="left"/>
      <w:pPr>
        <w:tabs>
          <w:tab w:val="num" w:pos="4320"/>
        </w:tabs>
        <w:ind w:left="4320" w:hanging="360"/>
      </w:pPr>
      <w:rPr>
        <w:rFonts w:ascii="Arial" w:hAnsi="Arial" w:hint="default"/>
      </w:rPr>
    </w:lvl>
    <w:lvl w:ilvl="6" w:tplc="DC8CA772" w:tentative="1">
      <w:start w:val="1"/>
      <w:numFmt w:val="bullet"/>
      <w:lvlText w:val="•"/>
      <w:lvlJc w:val="left"/>
      <w:pPr>
        <w:tabs>
          <w:tab w:val="num" w:pos="5040"/>
        </w:tabs>
        <w:ind w:left="5040" w:hanging="360"/>
      </w:pPr>
      <w:rPr>
        <w:rFonts w:ascii="Arial" w:hAnsi="Arial" w:hint="default"/>
      </w:rPr>
    </w:lvl>
    <w:lvl w:ilvl="7" w:tplc="2FC04EBA" w:tentative="1">
      <w:start w:val="1"/>
      <w:numFmt w:val="bullet"/>
      <w:lvlText w:val="•"/>
      <w:lvlJc w:val="left"/>
      <w:pPr>
        <w:tabs>
          <w:tab w:val="num" w:pos="5760"/>
        </w:tabs>
        <w:ind w:left="5760" w:hanging="360"/>
      </w:pPr>
      <w:rPr>
        <w:rFonts w:ascii="Arial" w:hAnsi="Arial" w:hint="default"/>
      </w:rPr>
    </w:lvl>
    <w:lvl w:ilvl="8" w:tplc="94A653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5F279C"/>
    <w:multiLevelType w:val="hybridMultilevel"/>
    <w:tmpl w:val="9A8A1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C2858"/>
    <w:multiLevelType w:val="hybridMultilevel"/>
    <w:tmpl w:val="D9AA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90513"/>
    <w:multiLevelType w:val="hybridMultilevel"/>
    <w:tmpl w:val="2A38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B1D4D"/>
    <w:multiLevelType w:val="hybridMultilevel"/>
    <w:tmpl w:val="A874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B21B9"/>
    <w:multiLevelType w:val="hybridMultilevel"/>
    <w:tmpl w:val="BC08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948FA"/>
    <w:multiLevelType w:val="hybridMultilevel"/>
    <w:tmpl w:val="5CE43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14C34"/>
    <w:multiLevelType w:val="hybridMultilevel"/>
    <w:tmpl w:val="8D0209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E4D4D"/>
    <w:multiLevelType w:val="hybridMultilevel"/>
    <w:tmpl w:val="B0E2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C6762"/>
    <w:multiLevelType w:val="hybridMultilevel"/>
    <w:tmpl w:val="F3489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8A6CD1"/>
    <w:multiLevelType w:val="hybridMultilevel"/>
    <w:tmpl w:val="EF14821E"/>
    <w:lvl w:ilvl="0" w:tplc="1792AEB2">
      <w:start w:val="1"/>
      <w:numFmt w:val="decimal"/>
      <w:lvlText w:val="%1)"/>
      <w:lvlJc w:val="left"/>
      <w:pPr>
        <w:ind w:left="720" w:hanging="360"/>
      </w:pPr>
      <w:rPr>
        <w:rFonts w:asciiTheme="majorHAnsi" w:eastAsiaTheme="minorEastAsia" w:hAnsiTheme="maj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B5CE7"/>
    <w:multiLevelType w:val="hybridMultilevel"/>
    <w:tmpl w:val="375C0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05E0C"/>
    <w:multiLevelType w:val="hybridMultilevel"/>
    <w:tmpl w:val="7D7C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82B63"/>
    <w:multiLevelType w:val="hybridMultilevel"/>
    <w:tmpl w:val="FC7E0AFC"/>
    <w:lvl w:ilvl="0" w:tplc="6434B0F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0D5F"/>
    <w:multiLevelType w:val="hybridMultilevel"/>
    <w:tmpl w:val="555624F4"/>
    <w:lvl w:ilvl="0" w:tplc="FD761AF0">
      <w:start w:val="1"/>
      <w:numFmt w:val="bullet"/>
      <w:lvlText w:val="•"/>
      <w:lvlJc w:val="left"/>
      <w:pPr>
        <w:tabs>
          <w:tab w:val="num" w:pos="720"/>
        </w:tabs>
        <w:ind w:left="720" w:hanging="360"/>
      </w:pPr>
      <w:rPr>
        <w:rFonts w:ascii="Arial" w:hAnsi="Arial" w:hint="default"/>
      </w:rPr>
    </w:lvl>
    <w:lvl w:ilvl="1" w:tplc="E6E0A1F2">
      <w:start w:val="53"/>
      <w:numFmt w:val="bullet"/>
      <w:lvlText w:val="•"/>
      <w:lvlJc w:val="left"/>
      <w:pPr>
        <w:tabs>
          <w:tab w:val="num" w:pos="1440"/>
        </w:tabs>
        <w:ind w:left="1440" w:hanging="360"/>
      </w:pPr>
      <w:rPr>
        <w:rFonts w:ascii="Arial" w:hAnsi="Arial" w:hint="default"/>
      </w:rPr>
    </w:lvl>
    <w:lvl w:ilvl="2" w:tplc="719045D8" w:tentative="1">
      <w:start w:val="1"/>
      <w:numFmt w:val="bullet"/>
      <w:lvlText w:val="•"/>
      <w:lvlJc w:val="left"/>
      <w:pPr>
        <w:tabs>
          <w:tab w:val="num" w:pos="2160"/>
        </w:tabs>
        <w:ind w:left="2160" w:hanging="360"/>
      </w:pPr>
      <w:rPr>
        <w:rFonts w:ascii="Arial" w:hAnsi="Arial" w:hint="default"/>
      </w:rPr>
    </w:lvl>
    <w:lvl w:ilvl="3" w:tplc="D8AAA606" w:tentative="1">
      <w:start w:val="1"/>
      <w:numFmt w:val="bullet"/>
      <w:lvlText w:val="•"/>
      <w:lvlJc w:val="left"/>
      <w:pPr>
        <w:tabs>
          <w:tab w:val="num" w:pos="2880"/>
        </w:tabs>
        <w:ind w:left="2880" w:hanging="360"/>
      </w:pPr>
      <w:rPr>
        <w:rFonts w:ascii="Arial" w:hAnsi="Arial" w:hint="default"/>
      </w:rPr>
    </w:lvl>
    <w:lvl w:ilvl="4" w:tplc="B82AD6F8" w:tentative="1">
      <w:start w:val="1"/>
      <w:numFmt w:val="bullet"/>
      <w:lvlText w:val="•"/>
      <w:lvlJc w:val="left"/>
      <w:pPr>
        <w:tabs>
          <w:tab w:val="num" w:pos="3600"/>
        </w:tabs>
        <w:ind w:left="3600" w:hanging="360"/>
      </w:pPr>
      <w:rPr>
        <w:rFonts w:ascii="Arial" w:hAnsi="Arial" w:hint="default"/>
      </w:rPr>
    </w:lvl>
    <w:lvl w:ilvl="5" w:tplc="84FA0A40" w:tentative="1">
      <w:start w:val="1"/>
      <w:numFmt w:val="bullet"/>
      <w:lvlText w:val="•"/>
      <w:lvlJc w:val="left"/>
      <w:pPr>
        <w:tabs>
          <w:tab w:val="num" w:pos="4320"/>
        </w:tabs>
        <w:ind w:left="4320" w:hanging="360"/>
      </w:pPr>
      <w:rPr>
        <w:rFonts w:ascii="Arial" w:hAnsi="Arial" w:hint="default"/>
      </w:rPr>
    </w:lvl>
    <w:lvl w:ilvl="6" w:tplc="ACAAA7BA" w:tentative="1">
      <w:start w:val="1"/>
      <w:numFmt w:val="bullet"/>
      <w:lvlText w:val="•"/>
      <w:lvlJc w:val="left"/>
      <w:pPr>
        <w:tabs>
          <w:tab w:val="num" w:pos="5040"/>
        </w:tabs>
        <w:ind w:left="5040" w:hanging="360"/>
      </w:pPr>
      <w:rPr>
        <w:rFonts w:ascii="Arial" w:hAnsi="Arial" w:hint="default"/>
      </w:rPr>
    </w:lvl>
    <w:lvl w:ilvl="7" w:tplc="144C3040" w:tentative="1">
      <w:start w:val="1"/>
      <w:numFmt w:val="bullet"/>
      <w:lvlText w:val="•"/>
      <w:lvlJc w:val="left"/>
      <w:pPr>
        <w:tabs>
          <w:tab w:val="num" w:pos="5760"/>
        </w:tabs>
        <w:ind w:left="5760" w:hanging="360"/>
      </w:pPr>
      <w:rPr>
        <w:rFonts w:ascii="Arial" w:hAnsi="Arial" w:hint="default"/>
      </w:rPr>
    </w:lvl>
    <w:lvl w:ilvl="8" w:tplc="567408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1F5C26"/>
    <w:multiLevelType w:val="hybridMultilevel"/>
    <w:tmpl w:val="AFA03E04"/>
    <w:lvl w:ilvl="0" w:tplc="790E71E6">
      <w:start w:val="1"/>
      <w:numFmt w:val="bullet"/>
      <w:lvlText w:val="•"/>
      <w:lvlJc w:val="left"/>
      <w:pPr>
        <w:tabs>
          <w:tab w:val="num" w:pos="720"/>
        </w:tabs>
        <w:ind w:left="720" w:hanging="360"/>
      </w:pPr>
      <w:rPr>
        <w:rFonts w:ascii="Arial" w:hAnsi="Arial" w:hint="default"/>
      </w:rPr>
    </w:lvl>
    <w:lvl w:ilvl="1" w:tplc="E3D402F4">
      <w:start w:val="1"/>
      <w:numFmt w:val="bullet"/>
      <w:lvlText w:val="•"/>
      <w:lvlJc w:val="left"/>
      <w:pPr>
        <w:tabs>
          <w:tab w:val="num" w:pos="1440"/>
        </w:tabs>
        <w:ind w:left="1440" w:hanging="360"/>
      </w:pPr>
      <w:rPr>
        <w:rFonts w:ascii="Arial" w:hAnsi="Arial" w:hint="default"/>
      </w:rPr>
    </w:lvl>
    <w:lvl w:ilvl="2" w:tplc="CC40579E" w:tentative="1">
      <w:start w:val="1"/>
      <w:numFmt w:val="bullet"/>
      <w:lvlText w:val="•"/>
      <w:lvlJc w:val="left"/>
      <w:pPr>
        <w:tabs>
          <w:tab w:val="num" w:pos="2160"/>
        </w:tabs>
        <w:ind w:left="2160" w:hanging="360"/>
      </w:pPr>
      <w:rPr>
        <w:rFonts w:ascii="Arial" w:hAnsi="Arial" w:hint="default"/>
      </w:rPr>
    </w:lvl>
    <w:lvl w:ilvl="3" w:tplc="AF6AE3F0" w:tentative="1">
      <w:start w:val="1"/>
      <w:numFmt w:val="bullet"/>
      <w:lvlText w:val="•"/>
      <w:lvlJc w:val="left"/>
      <w:pPr>
        <w:tabs>
          <w:tab w:val="num" w:pos="2880"/>
        </w:tabs>
        <w:ind w:left="2880" w:hanging="360"/>
      </w:pPr>
      <w:rPr>
        <w:rFonts w:ascii="Arial" w:hAnsi="Arial" w:hint="default"/>
      </w:rPr>
    </w:lvl>
    <w:lvl w:ilvl="4" w:tplc="2B9C8D6A" w:tentative="1">
      <w:start w:val="1"/>
      <w:numFmt w:val="bullet"/>
      <w:lvlText w:val="•"/>
      <w:lvlJc w:val="left"/>
      <w:pPr>
        <w:tabs>
          <w:tab w:val="num" w:pos="3600"/>
        </w:tabs>
        <w:ind w:left="3600" w:hanging="360"/>
      </w:pPr>
      <w:rPr>
        <w:rFonts w:ascii="Arial" w:hAnsi="Arial" w:hint="default"/>
      </w:rPr>
    </w:lvl>
    <w:lvl w:ilvl="5" w:tplc="B57C0AC6" w:tentative="1">
      <w:start w:val="1"/>
      <w:numFmt w:val="bullet"/>
      <w:lvlText w:val="•"/>
      <w:lvlJc w:val="left"/>
      <w:pPr>
        <w:tabs>
          <w:tab w:val="num" w:pos="4320"/>
        </w:tabs>
        <w:ind w:left="4320" w:hanging="360"/>
      </w:pPr>
      <w:rPr>
        <w:rFonts w:ascii="Arial" w:hAnsi="Arial" w:hint="default"/>
      </w:rPr>
    </w:lvl>
    <w:lvl w:ilvl="6" w:tplc="BEBA9734" w:tentative="1">
      <w:start w:val="1"/>
      <w:numFmt w:val="bullet"/>
      <w:lvlText w:val="•"/>
      <w:lvlJc w:val="left"/>
      <w:pPr>
        <w:tabs>
          <w:tab w:val="num" w:pos="5040"/>
        </w:tabs>
        <w:ind w:left="5040" w:hanging="360"/>
      </w:pPr>
      <w:rPr>
        <w:rFonts w:ascii="Arial" w:hAnsi="Arial" w:hint="default"/>
      </w:rPr>
    </w:lvl>
    <w:lvl w:ilvl="7" w:tplc="4030EE2E" w:tentative="1">
      <w:start w:val="1"/>
      <w:numFmt w:val="bullet"/>
      <w:lvlText w:val="•"/>
      <w:lvlJc w:val="left"/>
      <w:pPr>
        <w:tabs>
          <w:tab w:val="num" w:pos="5760"/>
        </w:tabs>
        <w:ind w:left="5760" w:hanging="360"/>
      </w:pPr>
      <w:rPr>
        <w:rFonts w:ascii="Arial" w:hAnsi="Arial" w:hint="default"/>
      </w:rPr>
    </w:lvl>
    <w:lvl w:ilvl="8" w:tplc="17BC00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C76034"/>
    <w:multiLevelType w:val="hybridMultilevel"/>
    <w:tmpl w:val="157CA20E"/>
    <w:lvl w:ilvl="0" w:tplc="2AE2A57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479D1"/>
    <w:multiLevelType w:val="hybridMultilevel"/>
    <w:tmpl w:val="3B442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BF5997"/>
    <w:multiLevelType w:val="hybridMultilevel"/>
    <w:tmpl w:val="83D6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05D58"/>
    <w:multiLevelType w:val="hybridMultilevel"/>
    <w:tmpl w:val="7AF804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14FBA"/>
    <w:multiLevelType w:val="hybridMultilevel"/>
    <w:tmpl w:val="AB80F2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3F5E29"/>
    <w:multiLevelType w:val="hybridMultilevel"/>
    <w:tmpl w:val="2440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94593"/>
    <w:multiLevelType w:val="hybridMultilevel"/>
    <w:tmpl w:val="927897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0F327B"/>
    <w:multiLevelType w:val="hybridMultilevel"/>
    <w:tmpl w:val="A83EFC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0B00AD"/>
    <w:multiLevelType w:val="hybridMultilevel"/>
    <w:tmpl w:val="5C7803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AB4DBE"/>
    <w:multiLevelType w:val="hybridMultilevel"/>
    <w:tmpl w:val="C65E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A4450"/>
    <w:multiLevelType w:val="hybridMultilevel"/>
    <w:tmpl w:val="FD16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61675"/>
    <w:multiLevelType w:val="hybridMultilevel"/>
    <w:tmpl w:val="DF848A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175FD8"/>
    <w:multiLevelType w:val="hybridMultilevel"/>
    <w:tmpl w:val="68C01D92"/>
    <w:lvl w:ilvl="0" w:tplc="C39E2C62">
      <w:start w:val="1"/>
      <w:numFmt w:val="bullet"/>
      <w:lvlText w:val="•"/>
      <w:lvlJc w:val="left"/>
      <w:pPr>
        <w:tabs>
          <w:tab w:val="num" w:pos="720"/>
        </w:tabs>
        <w:ind w:left="720" w:hanging="360"/>
      </w:pPr>
      <w:rPr>
        <w:rFonts w:ascii="Arial" w:hAnsi="Arial" w:hint="default"/>
      </w:rPr>
    </w:lvl>
    <w:lvl w:ilvl="1" w:tplc="2924C6EA">
      <w:start w:val="1"/>
      <w:numFmt w:val="bullet"/>
      <w:lvlText w:val="•"/>
      <w:lvlJc w:val="left"/>
      <w:pPr>
        <w:tabs>
          <w:tab w:val="num" w:pos="1440"/>
        </w:tabs>
        <w:ind w:left="1440" w:hanging="360"/>
      </w:pPr>
      <w:rPr>
        <w:rFonts w:ascii="Arial" w:hAnsi="Arial" w:hint="default"/>
      </w:rPr>
    </w:lvl>
    <w:lvl w:ilvl="2" w:tplc="79CC2914" w:tentative="1">
      <w:start w:val="1"/>
      <w:numFmt w:val="bullet"/>
      <w:lvlText w:val="•"/>
      <w:lvlJc w:val="left"/>
      <w:pPr>
        <w:tabs>
          <w:tab w:val="num" w:pos="2160"/>
        </w:tabs>
        <w:ind w:left="2160" w:hanging="360"/>
      </w:pPr>
      <w:rPr>
        <w:rFonts w:ascii="Arial" w:hAnsi="Arial" w:hint="default"/>
      </w:rPr>
    </w:lvl>
    <w:lvl w:ilvl="3" w:tplc="3606DAC0" w:tentative="1">
      <w:start w:val="1"/>
      <w:numFmt w:val="bullet"/>
      <w:lvlText w:val="•"/>
      <w:lvlJc w:val="left"/>
      <w:pPr>
        <w:tabs>
          <w:tab w:val="num" w:pos="2880"/>
        </w:tabs>
        <w:ind w:left="2880" w:hanging="360"/>
      </w:pPr>
      <w:rPr>
        <w:rFonts w:ascii="Arial" w:hAnsi="Arial" w:hint="default"/>
      </w:rPr>
    </w:lvl>
    <w:lvl w:ilvl="4" w:tplc="B2DE8EEC" w:tentative="1">
      <w:start w:val="1"/>
      <w:numFmt w:val="bullet"/>
      <w:lvlText w:val="•"/>
      <w:lvlJc w:val="left"/>
      <w:pPr>
        <w:tabs>
          <w:tab w:val="num" w:pos="3600"/>
        </w:tabs>
        <w:ind w:left="3600" w:hanging="360"/>
      </w:pPr>
      <w:rPr>
        <w:rFonts w:ascii="Arial" w:hAnsi="Arial" w:hint="default"/>
      </w:rPr>
    </w:lvl>
    <w:lvl w:ilvl="5" w:tplc="7AAC9CAE" w:tentative="1">
      <w:start w:val="1"/>
      <w:numFmt w:val="bullet"/>
      <w:lvlText w:val="•"/>
      <w:lvlJc w:val="left"/>
      <w:pPr>
        <w:tabs>
          <w:tab w:val="num" w:pos="4320"/>
        </w:tabs>
        <w:ind w:left="4320" w:hanging="360"/>
      </w:pPr>
      <w:rPr>
        <w:rFonts w:ascii="Arial" w:hAnsi="Arial" w:hint="default"/>
      </w:rPr>
    </w:lvl>
    <w:lvl w:ilvl="6" w:tplc="4A46DAC0" w:tentative="1">
      <w:start w:val="1"/>
      <w:numFmt w:val="bullet"/>
      <w:lvlText w:val="•"/>
      <w:lvlJc w:val="left"/>
      <w:pPr>
        <w:tabs>
          <w:tab w:val="num" w:pos="5040"/>
        </w:tabs>
        <w:ind w:left="5040" w:hanging="360"/>
      </w:pPr>
      <w:rPr>
        <w:rFonts w:ascii="Arial" w:hAnsi="Arial" w:hint="default"/>
      </w:rPr>
    </w:lvl>
    <w:lvl w:ilvl="7" w:tplc="B2B0A43C" w:tentative="1">
      <w:start w:val="1"/>
      <w:numFmt w:val="bullet"/>
      <w:lvlText w:val="•"/>
      <w:lvlJc w:val="left"/>
      <w:pPr>
        <w:tabs>
          <w:tab w:val="num" w:pos="5760"/>
        </w:tabs>
        <w:ind w:left="5760" w:hanging="360"/>
      </w:pPr>
      <w:rPr>
        <w:rFonts w:ascii="Arial" w:hAnsi="Arial" w:hint="default"/>
      </w:rPr>
    </w:lvl>
    <w:lvl w:ilvl="8" w:tplc="0BE0FBB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E81D68"/>
    <w:multiLevelType w:val="hybridMultilevel"/>
    <w:tmpl w:val="9F9E1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FE35E6"/>
    <w:multiLevelType w:val="hybridMultilevel"/>
    <w:tmpl w:val="9D58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13740"/>
    <w:multiLevelType w:val="hybridMultilevel"/>
    <w:tmpl w:val="9664E27A"/>
    <w:lvl w:ilvl="0" w:tplc="0C6854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47832"/>
    <w:multiLevelType w:val="hybridMultilevel"/>
    <w:tmpl w:val="E1BA2E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C301DF"/>
    <w:multiLevelType w:val="hybridMultilevel"/>
    <w:tmpl w:val="ED7EB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D016E3"/>
    <w:multiLevelType w:val="hybridMultilevel"/>
    <w:tmpl w:val="EBB6299C"/>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180" w:hanging="180"/>
      </w:pPr>
      <w:rPr>
        <w:rFonts w:ascii="Symbol" w:hAnsi="Symbol" w:hint="default"/>
      </w:rPr>
    </w:lvl>
    <w:lvl w:ilvl="3" w:tplc="0409000F">
      <w:start w:val="1"/>
      <w:numFmt w:val="decimal"/>
      <w:lvlText w:val="%4."/>
      <w:lvlJc w:val="left"/>
      <w:pPr>
        <w:ind w:left="2880" w:hanging="360"/>
      </w:pPr>
    </w:lvl>
    <w:lvl w:ilvl="4" w:tplc="9EC0B696">
      <w:start w:val="110"/>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74DC9"/>
    <w:multiLevelType w:val="hybridMultilevel"/>
    <w:tmpl w:val="03DA3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74A13"/>
    <w:multiLevelType w:val="hybridMultilevel"/>
    <w:tmpl w:val="1EE20A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6C1F3CC8"/>
    <w:multiLevelType w:val="hybridMultilevel"/>
    <w:tmpl w:val="C7DCF808"/>
    <w:lvl w:ilvl="0" w:tplc="35D23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DB37E7"/>
    <w:multiLevelType w:val="hybridMultilevel"/>
    <w:tmpl w:val="A8D6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B54A1"/>
    <w:multiLevelType w:val="multilevel"/>
    <w:tmpl w:val="6A7CADB4"/>
    <w:lvl w:ilvl="0">
      <w:start w:val="1"/>
      <w:numFmt w:val="decimal"/>
      <w:lvlText w:val="%1."/>
      <w:lvlJc w:val="left"/>
      <w:pPr>
        <w:ind w:left="450" w:hanging="360"/>
      </w:pPr>
      <w:rPr>
        <w:rFonts w:hint="default"/>
        <w:b w:val="0"/>
        <w:i w:val="0"/>
      </w:rPr>
    </w:lvl>
    <w:lvl w:ilvl="1">
      <w:start w:val="1"/>
      <w:numFmt w:val="bullet"/>
      <w:lvlText w:val=""/>
      <w:lvlJc w:val="left"/>
      <w:pPr>
        <w:ind w:left="1080" w:hanging="360"/>
      </w:pPr>
      <w:rPr>
        <w:rFonts w:ascii="Symbol" w:hAnsi="Symbol" w:hint="default"/>
        <w:b w:val="0"/>
      </w:rPr>
    </w:lvl>
    <w:lvl w:ilvl="2">
      <w:start w:val="1"/>
      <w:numFmt w:val="decimal"/>
      <w:lvlText w:val="%3."/>
      <w:lvlJc w:val="right"/>
      <w:pPr>
        <w:ind w:left="1800" w:hanging="180"/>
      </w:pPr>
      <w:rPr>
        <w:rFonts w:ascii="Times New Roman" w:hAnsi="Times New Roman"/>
        <w:i w:val="0"/>
      </w:rPr>
    </w:lvl>
    <w:lvl w:ilvl="3">
      <w:start w:val="1"/>
      <w:numFmt w:val="lowerLetter"/>
      <w:lvlText w:val="%4."/>
      <w:lvlJc w:val="left"/>
      <w:pPr>
        <w:ind w:left="2520" w:hanging="360"/>
      </w:pPr>
      <w:rPr>
        <w:rFonts w:ascii="Times New Roman" w:hAnsi="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A75F30"/>
    <w:multiLevelType w:val="hybridMultilevel"/>
    <w:tmpl w:val="11264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61664"/>
    <w:multiLevelType w:val="hybridMultilevel"/>
    <w:tmpl w:val="6B004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6454C8"/>
    <w:multiLevelType w:val="hybridMultilevel"/>
    <w:tmpl w:val="181C5C08"/>
    <w:lvl w:ilvl="0" w:tplc="29F2754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4C3737"/>
    <w:multiLevelType w:val="hybridMultilevel"/>
    <w:tmpl w:val="F084C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9F7698"/>
    <w:multiLevelType w:val="hybridMultilevel"/>
    <w:tmpl w:val="FA38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06503E"/>
    <w:multiLevelType w:val="hybridMultilevel"/>
    <w:tmpl w:val="25E2B974"/>
    <w:lvl w:ilvl="0" w:tplc="7D88467A">
      <w:start w:val="1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FE0AB1"/>
    <w:multiLevelType w:val="hybridMultilevel"/>
    <w:tmpl w:val="31585FE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4"/>
  </w:num>
  <w:num w:numId="3">
    <w:abstractNumId w:val="36"/>
  </w:num>
  <w:num w:numId="4">
    <w:abstractNumId w:val="32"/>
  </w:num>
  <w:num w:numId="5">
    <w:abstractNumId w:val="0"/>
  </w:num>
  <w:num w:numId="6">
    <w:abstractNumId w:val="2"/>
  </w:num>
  <w:num w:numId="7">
    <w:abstractNumId w:val="8"/>
  </w:num>
  <w:num w:numId="8">
    <w:abstractNumId w:val="47"/>
  </w:num>
  <w:num w:numId="9">
    <w:abstractNumId w:val="13"/>
  </w:num>
  <w:num w:numId="10">
    <w:abstractNumId w:val="22"/>
  </w:num>
  <w:num w:numId="11">
    <w:abstractNumId w:val="51"/>
  </w:num>
  <w:num w:numId="12">
    <w:abstractNumId w:val="46"/>
  </w:num>
  <w:num w:numId="13">
    <w:abstractNumId w:val="6"/>
  </w:num>
  <w:num w:numId="14">
    <w:abstractNumId w:val="25"/>
  </w:num>
  <w:num w:numId="15">
    <w:abstractNumId w:val="45"/>
  </w:num>
  <w:num w:numId="16">
    <w:abstractNumId w:val="31"/>
  </w:num>
  <w:num w:numId="17">
    <w:abstractNumId w:val="42"/>
  </w:num>
  <w:num w:numId="18">
    <w:abstractNumId w:val="41"/>
  </w:num>
  <w:num w:numId="19">
    <w:abstractNumId w:val="15"/>
  </w:num>
  <w:num w:numId="20">
    <w:abstractNumId w:val="18"/>
  </w:num>
  <w:num w:numId="21">
    <w:abstractNumId w:val="26"/>
  </w:num>
  <w:num w:numId="22">
    <w:abstractNumId w:val="49"/>
  </w:num>
  <w:num w:numId="23">
    <w:abstractNumId w:val="12"/>
  </w:num>
  <w:num w:numId="24">
    <w:abstractNumId w:val="27"/>
  </w:num>
  <w:num w:numId="25">
    <w:abstractNumId w:val="30"/>
  </w:num>
  <w:num w:numId="26">
    <w:abstractNumId w:val="35"/>
  </w:num>
  <w:num w:numId="27">
    <w:abstractNumId w:val="7"/>
  </w:num>
  <w:num w:numId="28">
    <w:abstractNumId w:val="9"/>
  </w:num>
  <w:num w:numId="29">
    <w:abstractNumId w:val="16"/>
  </w:num>
  <w:num w:numId="30">
    <w:abstractNumId w:val="11"/>
  </w:num>
  <w:num w:numId="31">
    <w:abstractNumId w:val="48"/>
  </w:num>
  <w:num w:numId="32">
    <w:abstractNumId w:val="24"/>
  </w:num>
  <w:num w:numId="33">
    <w:abstractNumId w:val="34"/>
  </w:num>
  <w:num w:numId="34">
    <w:abstractNumId w:val="10"/>
  </w:num>
  <w:num w:numId="35">
    <w:abstractNumId w:val="29"/>
  </w:num>
  <w:num w:numId="36">
    <w:abstractNumId w:val="21"/>
  </w:num>
  <w:num w:numId="37">
    <w:abstractNumId w:val="14"/>
  </w:num>
  <w:num w:numId="38">
    <w:abstractNumId w:val="44"/>
  </w:num>
  <w:num w:numId="39">
    <w:abstractNumId w:val="33"/>
  </w:num>
  <w:num w:numId="40">
    <w:abstractNumId w:val="5"/>
  </w:num>
  <w:num w:numId="41">
    <w:abstractNumId w:val="19"/>
  </w:num>
  <w:num w:numId="42">
    <w:abstractNumId w:val="20"/>
  </w:num>
  <w:num w:numId="43">
    <w:abstractNumId w:val="1"/>
  </w:num>
  <w:num w:numId="44">
    <w:abstractNumId w:val="43"/>
  </w:num>
  <w:num w:numId="45">
    <w:abstractNumId w:val="3"/>
  </w:num>
  <w:num w:numId="46">
    <w:abstractNumId w:val="17"/>
  </w:num>
  <w:num w:numId="47">
    <w:abstractNumId w:val="40"/>
  </w:num>
  <w:num w:numId="48">
    <w:abstractNumId w:val="28"/>
  </w:num>
  <w:num w:numId="49">
    <w:abstractNumId w:val="37"/>
  </w:num>
  <w:num w:numId="50">
    <w:abstractNumId w:val="50"/>
  </w:num>
  <w:num w:numId="51">
    <w:abstractNumId w:val="38"/>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1B"/>
    <w:rsid w:val="00005CE1"/>
    <w:rsid w:val="0000660E"/>
    <w:rsid w:val="00013317"/>
    <w:rsid w:val="0001451E"/>
    <w:rsid w:val="0002058E"/>
    <w:rsid w:val="00021878"/>
    <w:rsid w:val="0003187B"/>
    <w:rsid w:val="00031AE5"/>
    <w:rsid w:val="00031B43"/>
    <w:rsid w:val="000327AB"/>
    <w:rsid w:val="00032FD1"/>
    <w:rsid w:val="0003463C"/>
    <w:rsid w:val="00035483"/>
    <w:rsid w:val="000378DE"/>
    <w:rsid w:val="000408C3"/>
    <w:rsid w:val="00042063"/>
    <w:rsid w:val="00045F56"/>
    <w:rsid w:val="00046602"/>
    <w:rsid w:val="000510E9"/>
    <w:rsid w:val="00052E6E"/>
    <w:rsid w:val="00057966"/>
    <w:rsid w:val="00064261"/>
    <w:rsid w:val="00064B5D"/>
    <w:rsid w:val="000756F3"/>
    <w:rsid w:val="0008099B"/>
    <w:rsid w:val="000824D7"/>
    <w:rsid w:val="00090625"/>
    <w:rsid w:val="000A03B0"/>
    <w:rsid w:val="000A48C5"/>
    <w:rsid w:val="000A5B74"/>
    <w:rsid w:val="000A69C7"/>
    <w:rsid w:val="000B1034"/>
    <w:rsid w:val="000B4E77"/>
    <w:rsid w:val="000C0582"/>
    <w:rsid w:val="000C318C"/>
    <w:rsid w:val="000C4B48"/>
    <w:rsid w:val="000C6FC0"/>
    <w:rsid w:val="000D6B00"/>
    <w:rsid w:val="000F01D8"/>
    <w:rsid w:val="000F0544"/>
    <w:rsid w:val="000F6BFA"/>
    <w:rsid w:val="00100DCD"/>
    <w:rsid w:val="001012A2"/>
    <w:rsid w:val="001019E1"/>
    <w:rsid w:val="00104A29"/>
    <w:rsid w:val="001062BB"/>
    <w:rsid w:val="00115880"/>
    <w:rsid w:val="00131DA8"/>
    <w:rsid w:val="0013216F"/>
    <w:rsid w:val="00132E3A"/>
    <w:rsid w:val="00145374"/>
    <w:rsid w:val="00151514"/>
    <w:rsid w:val="0015337A"/>
    <w:rsid w:val="00157C97"/>
    <w:rsid w:val="00160699"/>
    <w:rsid w:val="00162EB0"/>
    <w:rsid w:val="0016308B"/>
    <w:rsid w:val="00180FA5"/>
    <w:rsid w:val="001854F2"/>
    <w:rsid w:val="0018585F"/>
    <w:rsid w:val="0018721A"/>
    <w:rsid w:val="0019636D"/>
    <w:rsid w:val="001A0F16"/>
    <w:rsid w:val="001A1942"/>
    <w:rsid w:val="001A38ED"/>
    <w:rsid w:val="001A4029"/>
    <w:rsid w:val="001A42A5"/>
    <w:rsid w:val="001A43BD"/>
    <w:rsid w:val="001B525C"/>
    <w:rsid w:val="001C1B48"/>
    <w:rsid w:val="001C2D0A"/>
    <w:rsid w:val="001C6B90"/>
    <w:rsid w:val="001C7986"/>
    <w:rsid w:val="001C7D0A"/>
    <w:rsid w:val="001D0B2F"/>
    <w:rsid w:val="001D53BA"/>
    <w:rsid w:val="001E1E6E"/>
    <w:rsid w:val="001E7A99"/>
    <w:rsid w:val="001F19C4"/>
    <w:rsid w:val="001F47D1"/>
    <w:rsid w:val="001F5E1F"/>
    <w:rsid w:val="001F7095"/>
    <w:rsid w:val="001F71AD"/>
    <w:rsid w:val="001F7D6B"/>
    <w:rsid w:val="002023E8"/>
    <w:rsid w:val="00206031"/>
    <w:rsid w:val="002106D3"/>
    <w:rsid w:val="0021797B"/>
    <w:rsid w:val="00222A1C"/>
    <w:rsid w:val="00225438"/>
    <w:rsid w:val="002278BF"/>
    <w:rsid w:val="002346B1"/>
    <w:rsid w:val="002354D0"/>
    <w:rsid w:val="002365D3"/>
    <w:rsid w:val="002425C5"/>
    <w:rsid w:val="00247EA6"/>
    <w:rsid w:val="00250C62"/>
    <w:rsid w:val="002665FA"/>
    <w:rsid w:val="002736A4"/>
    <w:rsid w:val="00275353"/>
    <w:rsid w:val="00283907"/>
    <w:rsid w:val="00290C78"/>
    <w:rsid w:val="00291981"/>
    <w:rsid w:val="00291F87"/>
    <w:rsid w:val="00293B1E"/>
    <w:rsid w:val="00295428"/>
    <w:rsid w:val="002A3B73"/>
    <w:rsid w:val="002A5450"/>
    <w:rsid w:val="002B2F7C"/>
    <w:rsid w:val="002B32B4"/>
    <w:rsid w:val="002B4BB0"/>
    <w:rsid w:val="002B757A"/>
    <w:rsid w:val="002C0441"/>
    <w:rsid w:val="002C1260"/>
    <w:rsid w:val="002D0B52"/>
    <w:rsid w:val="002D6D4E"/>
    <w:rsid w:val="002E1CF0"/>
    <w:rsid w:val="002E548E"/>
    <w:rsid w:val="002F0C39"/>
    <w:rsid w:val="002F2EAA"/>
    <w:rsid w:val="002F7015"/>
    <w:rsid w:val="003008DE"/>
    <w:rsid w:val="00306894"/>
    <w:rsid w:val="00317C16"/>
    <w:rsid w:val="00322EB2"/>
    <w:rsid w:val="0032337D"/>
    <w:rsid w:val="003317FB"/>
    <w:rsid w:val="00334E93"/>
    <w:rsid w:val="00335865"/>
    <w:rsid w:val="00335D12"/>
    <w:rsid w:val="00336428"/>
    <w:rsid w:val="00344CE0"/>
    <w:rsid w:val="00347076"/>
    <w:rsid w:val="0035702D"/>
    <w:rsid w:val="00362763"/>
    <w:rsid w:val="00363AF7"/>
    <w:rsid w:val="00363E3B"/>
    <w:rsid w:val="00370210"/>
    <w:rsid w:val="00372440"/>
    <w:rsid w:val="00372E23"/>
    <w:rsid w:val="00377B41"/>
    <w:rsid w:val="00381361"/>
    <w:rsid w:val="0038207F"/>
    <w:rsid w:val="003852A7"/>
    <w:rsid w:val="00390C81"/>
    <w:rsid w:val="00392267"/>
    <w:rsid w:val="003941C1"/>
    <w:rsid w:val="00396971"/>
    <w:rsid w:val="003A13D1"/>
    <w:rsid w:val="003A1AB2"/>
    <w:rsid w:val="003A4EE8"/>
    <w:rsid w:val="003B6036"/>
    <w:rsid w:val="003C0182"/>
    <w:rsid w:val="003C1168"/>
    <w:rsid w:val="003C53C4"/>
    <w:rsid w:val="003D1D8E"/>
    <w:rsid w:val="003D7F84"/>
    <w:rsid w:val="003E2878"/>
    <w:rsid w:val="003F2234"/>
    <w:rsid w:val="003F55B5"/>
    <w:rsid w:val="003F76BD"/>
    <w:rsid w:val="003F7D89"/>
    <w:rsid w:val="0040652B"/>
    <w:rsid w:val="00407632"/>
    <w:rsid w:val="00407DC4"/>
    <w:rsid w:val="0042635E"/>
    <w:rsid w:val="0042744D"/>
    <w:rsid w:val="004336BA"/>
    <w:rsid w:val="0043679E"/>
    <w:rsid w:val="00441EAA"/>
    <w:rsid w:val="00442C6C"/>
    <w:rsid w:val="00443672"/>
    <w:rsid w:val="0045413F"/>
    <w:rsid w:val="00462BA7"/>
    <w:rsid w:val="00465381"/>
    <w:rsid w:val="004702E4"/>
    <w:rsid w:val="00471987"/>
    <w:rsid w:val="00473E34"/>
    <w:rsid w:val="00475B0C"/>
    <w:rsid w:val="00476A74"/>
    <w:rsid w:val="00476F60"/>
    <w:rsid w:val="00482E6F"/>
    <w:rsid w:val="00495D23"/>
    <w:rsid w:val="004A056F"/>
    <w:rsid w:val="004A1843"/>
    <w:rsid w:val="004A6BC3"/>
    <w:rsid w:val="004B48B5"/>
    <w:rsid w:val="004B52FF"/>
    <w:rsid w:val="004C1B6B"/>
    <w:rsid w:val="004E319D"/>
    <w:rsid w:val="004E57C8"/>
    <w:rsid w:val="004F169C"/>
    <w:rsid w:val="004F5098"/>
    <w:rsid w:val="00505382"/>
    <w:rsid w:val="0050602A"/>
    <w:rsid w:val="005078F9"/>
    <w:rsid w:val="005107BB"/>
    <w:rsid w:val="0051136B"/>
    <w:rsid w:val="00516DA2"/>
    <w:rsid w:val="005206AF"/>
    <w:rsid w:val="00522F96"/>
    <w:rsid w:val="00523819"/>
    <w:rsid w:val="00533A2E"/>
    <w:rsid w:val="0054138D"/>
    <w:rsid w:val="0054162A"/>
    <w:rsid w:val="00541DA9"/>
    <w:rsid w:val="0054361C"/>
    <w:rsid w:val="0054606D"/>
    <w:rsid w:val="005520B6"/>
    <w:rsid w:val="0055482A"/>
    <w:rsid w:val="005575FB"/>
    <w:rsid w:val="00562E9E"/>
    <w:rsid w:val="00563091"/>
    <w:rsid w:val="00563420"/>
    <w:rsid w:val="005646E9"/>
    <w:rsid w:val="0056573B"/>
    <w:rsid w:val="00567D04"/>
    <w:rsid w:val="00571117"/>
    <w:rsid w:val="00571A3D"/>
    <w:rsid w:val="00572915"/>
    <w:rsid w:val="005801C8"/>
    <w:rsid w:val="00581407"/>
    <w:rsid w:val="00581F30"/>
    <w:rsid w:val="005846FF"/>
    <w:rsid w:val="0058654A"/>
    <w:rsid w:val="00586A32"/>
    <w:rsid w:val="005A043D"/>
    <w:rsid w:val="005A0EA9"/>
    <w:rsid w:val="005A3E55"/>
    <w:rsid w:val="005A5D0D"/>
    <w:rsid w:val="005B2FCB"/>
    <w:rsid w:val="005B555D"/>
    <w:rsid w:val="005B7609"/>
    <w:rsid w:val="005D4762"/>
    <w:rsid w:val="005E1135"/>
    <w:rsid w:val="005E3DA3"/>
    <w:rsid w:val="005F22C2"/>
    <w:rsid w:val="005F2747"/>
    <w:rsid w:val="005F3B71"/>
    <w:rsid w:val="005F47B5"/>
    <w:rsid w:val="005F7A99"/>
    <w:rsid w:val="006024CB"/>
    <w:rsid w:val="006046B0"/>
    <w:rsid w:val="00610062"/>
    <w:rsid w:val="006169A8"/>
    <w:rsid w:val="00616D6B"/>
    <w:rsid w:val="0061792F"/>
    <w:rsid w:val="006222E3"/>
    <w:rsid w:val="00622773"/>
    <w:rsid w:val="00625071"/>
    <w:rsid w:val="006458F5"/>
    <w:rsid w:val="0064603C"/>
    <w:rsid w:val="00647E74"/>
    <w:rsid w:val="00655708"/>
    <w:rsid w:val="00657BCE"/>
    <w:rsid w:val="0066320F"/>
    <w:rsid w:val="006662B3"/>
    <w:rsid w:val="00675DCB"/>
    <w:rsid w:val="006767C3"/>
    <w:rsid w:val="00676D7F"/>
    <w:rsid w:val="00676D88"/>
    <w:rsid w:val="006841AD"/>
    <w:rsid w:val="00686E4D"/>
    <w:rsid w:val="00694D80"/>
    <w:rsid w:val="00695B2A"/>
    <w:rsid w:val="006A2ADA"/>
    <w:rsid w:val="006A4F45"/>
    <w:rsid w:val="006A5BA2"/>
    <w:rsid w:val="006A7CB6"/>
    <w:rsid w:val="006C2341"/>
    <w:rsid w:val="006C4CAF"/>
    <w:rsid w:val="006D55E7"/>
    <w:rsid w:val="006D7B47"/>
    <w:rsid w:val="006E292F"/>
    <w:rsid w:val="006E4057"/>
    <w:rsid w:val="006F0F55"/>
    <w:rsid w:val="006F1D14"/>
    <w:rsid w:val="006F32CD"/>
    <w:rsid w:val="006F7130"/>
    <w:rsid w:val="007129D1"/>
    <w:rsid w:val="00716606"/>
    <w:rsid w:val="0072335E"/>
    <w:rsid w:val="007335EA"/>
    <w:rsid w:val="0073714B"/>
    <w:rsid w:val="00737166"/>
    <w:rsid w:val="007378C6"/>
    <w:rsid w:val="0074126C"/>
    <w:rsid w:val="00743826"/>
    <w:rsid w:val="00743D49"/>
    <w:rsid w:val="00744FAD"/>
    <w:rsid w:val="00750AB7"/>
    <w:rsid w:val="00754372"/>
    <w:rsid w:val="007557F6"/>
    <w:rsid w:val="00760C66"/>
    <w:rsid w:val="00761C60"/>
    <w:rsid w:val="00763094"/>
    <w:rsid w:val="00773BDB"/>
    <w:rsid w:val="007759DE"/>
    <w:rsid w:val="00777CFC"/>
    <w:rsid w:val="00783FCC"/>
    <w:rsid w:val="00790CF1"/>
    <w:rsid w:val="007915AB"/>
    <w:rsid w:val="0079287B"/>
    <w:rsid w:val="00797903"/>
    <w:rsid w:val="007A2B22"/>
    <w:rsid w:val="007A599A"/>
    <w:rsid w:val="007A774B"/>
    <w:rsid w:val="007B02FF"/>
    <w:rsid w:val="007B171F"/>
    <w:rsid w:val="007B5306"/>
    <w:rsid w:val="007B764B"/>
    <w:rsid w:val="007B7CFD"/>
    <w:rsid w:val="007C0455"/>
    <w:rsid w:val="007C269F"/>
    <w:rsid w:val="007C3F6A"/>
    <w:rsid w:val="007D100A"/>
    <w:rsid w:val="007D4FE0"/>
    <w:rsid w:val="007E27B0"/>
    <w:rsid w:val="007E3FE7"/>
    <w:rsid w:val="007E6927"/>
    <w:rsid w:val="007F0E5B"/>
    <w:rsid w:val="007F6375"/>
    <w:rsid w:val="008100EA"/>
    <w:rsid w:val="00810B88"/>
    <w:rsid w:val="008173E3"/>
    <w:rsid w:val="008233FA"/>
    <w:rsid w:val="00830424"/>
    <w:rsid w:val="00834428"/>
    <w:rsid w:val="008440CA"/>
    <w:rsid w:val="00850FE1"/>
    <w:rsid w:val="00852E23"/>
    <w:rsid w:val="00853B7A"/>
    <w:rsid w:val="0085421B"/>
    <w:rsid w:val="00860064"/>
    <w:rsid w:val="00861262"/>
    <w:rsid w:val="008630BD"/>
    <w:rsid w:val="00863148"/>
    <w:rsid w:val="00877A21"/>
    <w:rsid w:val="00885F8F"/>
    <w:rsid w:val="00894A09"/>
    <w:rsid w:val="008A3909"/>
    <w:rsid w:val="008A3B27"/>
    <w:rsid w:val="008A46A8"/>
    <w:rsid w:val="008A46D4"/>
    <w:rsid w:val="008A4C52"/>
    <w:rsid w:val="008A4CEE"/>
    <w:rsid w:val="008B2280"/>
    <w:rsid w:val="008B6A42"/>
    <w:rsid w:val="008B6DDE"/>
    <w:rsid w:val="008C16BE"/>
    <w:rsid w:val="008C7CD8"/>
    <w:rsid w:val="008D6465"/>
    <w:rsid w:val="008E0B37"/>
    <w:rsid w:val="008E5857"/>
    <w:rsid w:val="008E78D2"/>
    <w:rsid w:val="008F0123"/>
    <w:rsid w:val="00912345"/>
    <w:rsid w:val="00914A10"/>
    <w:rsid w:val="0091638E"/>
    <w:rsid w:val="00920C95"/>
    <w:rsid w:val="009224CF"/>
    <w:rsid w:val="00924562"/>
    <w:rsid w:val="009268F6"/>
    <w:rsid w:val="00927B62"/>
    <w:rsid w:val="00927E8C"/>
    <w:rsid w:val="00942881"/>
    <w:rsid w:val="00953E4B"/>
    <w:rsid w:val="009574F0"/>
    <w:rsid w:val="00961B8E"/>
    <w:rsid w:val="00966D5E"/>
    <w:rsid w:val="00967291"/>
    <w:rsid w:val="00967317"/>
    <w:rsid w:val="00970AE7"/>
    <w:rsid w:val="0097100D"/>
    <w:rsid w:val="00972146"/>
    <w:rsid w:val="00972436"/>
    <w:rsid w:val="00974087"/>
    <w:rsid w:val="009749B3"/>
    <w:rsid w:val="00985F5F"/>
    <w:rsid w:val="0098621B"/>
    <w:rsid w:val="00987E0A"/>
    <w:rsid w:val="009900A6"/>
    <w:rsid w:val="00991F04"/>
    <w:rsid w:val="00991F59"/>
    <w:rsid w:val="00994397"/>
    <w:rsid w:val="009A2B1E"/>
    <w:rsid w:val="009A4819"/>
    <w:rsid w:val="009A6551"/>
    <w:rsid w:val="009B575E"/>
    <w:rsid w:val="009B7976"/>
    <w:rsid w:val="009B7DA0"/>
    <w:rsid w:val="009C201F"/>
    <w:rsid w:val="009D0CC3"/>
    <w:rsid w:val="009D3B28"/>
    <w:rsid w:val="009D4EA7"/>
    <w:rsid w:val="009D54BC"/>
    <w:rsid w:val="009E1A3F"/>
    <w:rsid w:val="009F4FFF"/>
    <w:rsid w:val="00A07C9A"/>
    <w:rsid w:val="00A10F53"/>
    <w:rsid w:val="00A12B35"/>
    <w:rsid w:val="00A24CE5"/>
    <w:rsid w:val="00A24D9F"/>
    <w:rsid w:val="00A25B28"/>
    <w:rsid w:val="00A31E10"/>
    <w:rsid w:val="00A35251"/>
    <w:rsid w:val="00A37352"/>
    <w:rsid w:val="00A44E66"/>
    <w:rsid w:val="00A51C13"/>
    <w:rsid w:val="00A541D6"/>
    <w:rsid w:val="00A561A4"/>
    <w:rsid w:val="00A62D63"/>
    <w:rsid w:val="00A7036B"/>
    <w:rsid w:val="00A707F8"/>
    <w:rsid w:val="00A70F36"/>
    <w:rsid w:val="00A74199"/>
    <w:rsid w:val="00A751CD"/>
    <w:rsid w:val="00A804B4"/>
    <w:rsid w:val="00A84793"/>
    <w:rsid w:val="00A86EF4"/>
    <w:rsid w:val="00AA1CEB"/>
    <w:rsid w:val="00AA3821"/>
    <w:rsid w:val="00AB5D6C"/>
    <w:rsid w:val="00AC0F78"/>
    <w:rsid w:val="00AD348E"/>
    <w:rsid w:val="00AD5E24"/>
    <w:rsid w:val="00AE65BB"/>
    <w:rsid w:val="00AE7FA2"/>
    <w:rsid w:val="00AF0822"/>
    <w:rsid w:val="00AF76B3"/>
    <w:rsid w:val="00AF7B02"/>
    <w:rsid w:val="00B022E2"/>
    <w:rsid w:val="00B040F8"/>
    <w:rsid w:val="00B04EEE"/>
    <w:rsid w:val="00B05483"/>
    <w:rsid w:val="00B05F26"/>
    <w:rsid w:val="00B0792A"/>
    <w:rsid w:val="00B07A84"/>
    <w:rsid w:val="00B111E1"/>
    <w:rsid w:val="00B120F7"/>
    <w:rsid w:val="00B1763B"/>
    <w:rsid w:val="00B17854"/>
    <w:rsid w:val="00B22AA4"/>
    <w:rsid w:val="00B30864"/>
    <w:rsid w:val="00B3261B"/>
    <w:rsid w:val="00B3299A"/>
    <w:rsid w:val="00B34264"/>
    <w:rsid w:val="00B40358"/>
    <w:rsid w:val="00B464BD"/>
    <w:rsid w:val="00B47BAE"/>
    <w:rsid w:val="00B47BBB"/>
    <w:rsid w:val="00B5125E"/>
    <w:rsid w:val="00B53CA8"/>
    <w:rsid w:val="00B546FB"/>
    <w:rsid w:val="00B61F78"/>
    <w:rsid w:val="00B63B38"/>
    <w:rsid w:val="00B71958"/>
    <w:rsid w:val="00B730B5"/>
    <w:rsid w:val="00B73C43"/>
    <w:rsid w:val="00B828E4"/>
    <w:rsid w:val="00B9710F"/>
    <w:rsid w:val="00B97890"/>
    <w:rsid w:val="00BA17EB"/>
    <w:rsid w:val="00BA462C"/>
    <w:rsid w:val="00BA4FF4"/>
    <w:rsid w:val="00BA539D"/>
    <w:rsid w:val="00BA74F4"/>
    <w:rsid w:val="00BB21CA"/>
    <w:rsid w:val="00BB5D04"/>
    <w:rsid w:val="00BB5E19"/>
    <w:rsid w:val="00BC3FBD"/>
    <w:rsid w:val="00BC6383"/>
    <w:rsid w:val="00BD5412"/>
    <w:rsid w:val="00BD61AD"/>
    <w:rsid w:val="00BD6657"/>
    <w:rsid w:val="00BD6E14"/>
    <w:rsid w:val="00BD7A58"/>
    <w:rsid w:val="00BE0AD0"/>
    <w:rsid w:val="00BE1B63"/>
    <w:rsid w:val="00BE1EAD"/>
    <w:rsid w:val="00BE2C59"/>
    <w:rsid w:val="00BE419F"/>
    <w:rsid w:val="00BE59F8"/>
    <w:rsid w:val="00BF400B"/>
    <w:rsid w:val="00BF43AF"/>
    <w:rsid w:val="00C043CA"/>
    <w:rsid w:val="00C04630"/>
    <w:rsid w:val="00C0549D"/>
    <w:rsid w:val="00C05855"/>
    <w:rsid w:val="00C05E9F"/>
    <w:rsid w:val="00C22A52"/>
    <w:rsid w:val="00C245D0"/>
    <w:rsid w:val="00C308BD"/>
    <w:rsid w:val="00C344DD"/>
    <w:rsid w:val="00C37764"/>
    <w:rsid w:val="00C442FB"/>
    <w:rsid w:val="00C478F5"/>
    <w:rsid w:val="00C66041"/>
    <w:rsid w:val="00C82029"/>
    <w:rsid w:val="00C936CF"/>
    <w:rsid w:val="00C97018"/>
    <w:rsid w:val="00CA030E"/>
    <w:rsid w:val="00CA5B46"/>
    <w:rsid w:val="00CA6AC6"/>
    <w:rsid w:val="00CA7783"/>
    <w:rsid w:val="00CB2A9F"/>
    <w:rsid w:val="00CB3938"/>
    <w:rsid w:val="00CB699A"/>
    <w:rsid w:val="00CB6F19"/>
    <w:rsid w:val="00CC146F"/>
    <w:rsid w:val="00CC1FA8"/>
    <w:rsid w:val="00CC40E1"/>
    <w:rsid w:val="00CD071D"/>
    <w:rsid w:val="00CE16DA"/>
    <w:rsid w:val="00CE494D"/>
    <w:rsid w:val="00CE5ADD"/>
    <w:rsid w:val="00CE6DBD"/>
    <w:rsid w:val="00CE7A2D"/>
    <w:rsid w:val="00CF6F2E"/>
    <w:rsid w:val="00CF740C"/>
    <w:rsid w:val="00D0753C"/>
    <w:rsid w:val="00D11D08"/>
    <w:rsid w:val="00D14196"/>
    <w:rsid w:val="00D157C0"/>
    <w:rsid w:val="00D15B25"/>
    <w:rsid w:val="00D22964"/>
    <w:rsid w:val="00D22CD2"/>
    <w:rsid w:val="00D23ABE"/>
    <w:rsid w:val="00D24B10"/>
    <w:rsid w:val="00D25D08"/>
    <w:rsid w:val="00D475CA"/>
    <w:rsid w:val="00D528FD"/>
    <w:rsid w:val="00D52929"/>
    <w:rsid w:val="00D53092"/>
    <w:rsid w:val="00D57BAA"/>
    <w:rsid w:val="00D601CF"/>
    <w:rsid w:val="00D63A99"/>
    <w:rsid w:val="00D65F57"/>
    <w:rsid w:val="00D72239"/>
    <w:rsid w:val="00D85BE4"/>
    <w:rsid w:val="00D9031D"/>
    <w:rsid w:val="00D90ECF"/>
    <w:rsid w:val="00D916E2"/>
    <w:rsid w:val="00D9201C"/>
    <w:rsid w:val="00D94A5B"/>
    <w:rsid w:val="00DA2E52"/>
    <w:rsid w:val="00DA6EB5"/>
    <w:rsid w:val="00DB2EFD"/>
    <w:rsid w:val="00DB3998"/>
    <w:rsid w:val="00DB3A38"/>
    <w:rsid w:val="00DB3B93"/>
    <w:rsid w:val="00DB6CF5"/>
    <w:rsid w:val="00DB73A9"/>
    <w:rsid w:val="00DC2CAD"/>
    <w:rsid w:val="00DC3F15"/>
    <w:rsid w:val="00DC6B56"/>
    <w:rsid w:val="00DD0DEA"/>
    <w:rsid w:val="00DD2F40"/>
    <w:rsid w:val="00DD3C06"/>
    <w:rsid w:val="00DE13FA"/>
    <w:rsid w:val="00DE63C5"/>
    <w:rsid w:val="00DE7C4F"/>
    <w:rsid w:val="00DF6295"/>
    <w:rsid w:val="00DF79BD"/>
    <w:rsid w:val="00E005C7"/>
    <w:rsid w:val="00E064D7"/>
    <w:rsid w:val="00E14548"/>
    <w:rsid w:val="00E21420"/>
    <w:rsid w:val="00E26CD9"/>
    <w:rsid w:val="00E2768D"/>
    <w:rsid w:val="00E379F4"/>
    <w:rsid w:val="00E41C5D"/>
    <w:rsid w:val="00E468E0"/>
    <w:rsid w:val="00E50CE8"/>
    <w:rsid w:val="00E51DF6"/>
    <w:rsid w:val="00E548C9"/>
    <w:rsid w:val="00E64A47"/>
    <w:rsid w:val="00E72E94"/>
    <w:rsid w:val="00E75467"/>
    <w:rsid w:val="00E7605B"/>
    <w:rsid w:val="00E7720A"/>
    <w:rsid w:val="00E83821"/>
    <w:rsid w:val="00E86B90"/>
    <w:rsid w:val="00E94EA3"/>
    <w:rsid w:val="00E9531A"/>
    <w:rsid w:val="00EA6F60"/>
    <w:rsid w:val="00EB15EC"/>
    <w:rsid w:val="00EB571E"/>
    <w:rsid w:val="00EC071E"/>
    <w:rsid w:val="00EC25D3"/>
    <w:rsid w:val="00EC5006"/>
    <w:rsid w:val="00ED1668"/>
    <w:rsid w:val="00ED4183"/>
    <w:rsid w:val="00ED5D36"/>
    <w:rsid w:val="00EE1328"/>
    <w:rsid w:val="00EE135A"/>
    <w:rsid w:val="00EE1BB0"/>
    <w:rsid w:val="00EE4021"/>
    <w:rsid w:val="00EF2AFF"/>
    <w:rsid w:val="00EF4F80"/>
    <w:rsid w:val="00EF50DA"/>
    <w:rsid w:val="00EF6D6C"/>
    <w:rsid w:val="00F002AF"/>
    <w:rsid w:val="00F02E85"/>
    <w:rsid w:val="00F07704"/>
    <w:rsid w:val="00F16443"/>
    <w:rsid w:val="00F23B4C"/>
    <w:rsid w:val="00F4413D"/>
    <w:rsid w:val="00F512D6"/>
    <w:rsid w:val="00F717E3"/>
    <w:rsid w:val="00F73ECB"/>
    <w:rsid w:val="00F82E01"/>
    <w:rsid w:val="00F86AF7"/>
    <w:rsid w:val="00F96E8C"/>
    <w:rsid w:val="00F97D6D"/>
    <w:rsid w:val="00FA4A1D"/>
    <w:rsid w:val="00FA502A"/>
    <w:rsid w:val="00FB072B"/>
    <w:rsid w:val="00FB102E"/>
    <w:rsid w:val="00FB7AAF"/>
    <w:rsid w:val="00FC2A6B"/>
    <w:rsid w:val="00FC4108"/>
    <w:rsid w:val="00FC6F47"/>
    <w:rsid w:val="00FC7DCD"/>
    <w:rsid w:val="00FC7E44"/>
    <w:rsid w:val="00FD05A4"/>
    <w:rsid w:val="00FD2D8D"/>
    <w:rsid w:val="00FE36E7"/>
    <w:rsid w:val="00FE57AC"/>
    <w:rsid w:val="00FF0A9D"/>
    <w:rsid w:val="00FF0C5D"/>
    <w:rsid w:val="00FF291E"/>
    <w:rsid w:val="00FF38D4"/>
    <w:rsid w:val="00FF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1F0C"/>
  <w15:chartTrackingRefBased/>
  <w15:docId w15:val="{6EE4BB0F-8F02-4866-AE46-644A38DA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37A"/>
  </w:style>
  <w:style w:type="paragraph" w:styleId="Heading1">
    <w:name w:val="heading 1"/>
    <w:basedOn w:val="Normal"/>
    <w:next w:val="Normal"/>
    <w:link w:val="Heading1Char"/>
    <w:uiPriority w:val="9"/>
    <w:qFormat/>
    <w:rsid w:val="0054361C"/>
    <w:pPr>
      <w:spacing w:after="0"/>
      <w:outlineLvl w:val="0"/>
    </w:pPr>
    <w:rPr>
      <w:caps/>
      <w:color w:val="4472C4" w:themeColor="accent1"/>
      <w:spacing w:val="15"/>
      <w:sz w:val="52"/>
      <w:szCs w:val="22"/>
    </w:rPr>
  </w:style>
  <w:style w:type="paragraph" w:styleId="Heading2">
    <w:name w:val="heading 2"/>
    <w:basedOn w:val="Normal"/>
    <w:next w:val="Normal"/>
    <w:link w:val="Heading2Char"/>
    <w:uiPriority w:val="9"/>
    <w:unhideWhenUsed/>
    <w:qFormat/>
    <w:rsid w:val="0015337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A38ED"/>
    <w:pPr>
      <w:pBdr>
        <w:top w:val="single" w:sz="6" w:space="2" w:color="4472C4" w:themeColor="accent1"/>
      </w:pBdr>
      <w:spacing w:before="300" w:after="0"/>
      <w:outlineLvl w:val="2"/>
    </w:pPr>
    <w:rPr>
      <w:color w:val="1F3763" w:themeColor="accent1" w:themeShade="7F"/>
      <w:spacing w:val="15"/>
      <w:sz w:val="22"/>
    </w:rPr>
  </w:style>
  <w:style w:type="paragraph" w:styleId="Heading4">
    <w:name w:val="heading 4"/>
    <w:basedOn w:val="Normal"/>
    <w:next w:val="Normal"/>
    <w:link w:val="Heading4Char"/>
    <w:uiPriority w:val="9"/>
    <w:unhideWhenUsed/>
    <w:qFormat/>
    <w:rsid w:val="0015337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15337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5337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5337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533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33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1B"/>
    <w:pPr>
      <w:ind w:left="720"/>
      <w:contextualSpacing/>
    </w:pPr>
  </w:style>
  <w:style w:type="character" w:customStyle="1" w:styleId="Heading2Char">
    <w:name w:val="Heading 2 Char"/>
    <w:basedOn w:val="DefaultParagraphFont"/>
    <w:link w:val="Heading2"/>
    <w:uiPriority w:val="9"/>
    <w:rsid w:val="0015337A"/>
    <w:rPr>
      <w:caps/>
      <w:spacing w:val="15"/>
      <w:shd w:val="clear" w:color="auto" w:fill="D9E2F3" w:themeFill="accent1" w:themeFillTint="33"/>
    </w:rPr>
  </w:style>
  <w:style w:type="paragraph" w:customStyle="1" w:styleId="Default">
    <w:name w:val="Default"/>
    <w:rsid w:val="007E27B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5337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5337A"/>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54361C"/>
    <w:rPr>
      <w:caps/>
      <w:color w:val="4472C4" w:themeColor="accent1"/>
      <w:spacing w:val="15"/>
      <w:sz w:val="52"/>
      <w:szCs w:val="22"/>
    </w:rPr>
  </w:style>
  <w:style w:type="character" w:customStyle="1" w:styleId="Heading3Char">
    <w:name w:val="Heading 3 Char"/>
    <w:basedOn w:val="DefaultParagraphFont"/>
    <w:link w:val="Heading3"/>
    <w:uiPriority w:val="9"/>
    <w:rsid w:val="001A38ED"/>
    <w:rPr>
      <w:color w:val="1F3763" w:themeColor="accent1" w:themeShade="7F"/>
      <w:spacing w:val="15"/>
      <w:sz w:val="22"/>
    </w:rPr>
  </w:style>
  <w:style w:type="character" w:customStyle="1" w:styleId="Heading4Char">
    <w:name w:val="Heading 4 Char"/>
    <w:basedOn w:val="DefaultParagraphFont"/>
    <w:link w:val="Heading4"/>
    <w:uiPriority w:val="9"/>
    <w:rsid w:val="0015337A"/>
    <w:rPr>
      <w:caps/>
      <w:color w:val="2F5496" w:themeColor="accent1" w:themeShade="BF"/>
      <w:spacing w:val="10"/>
    </w:rPr>
  </w:style>
  <w:style w:type="character" w:customStyle="1" w:styleId="Heading5Char">
    <w:name w:val="Heading 5 Char"/>
    <w:basedOn w:val="DefaultParagraphFont"/>
    <w:link w:val="Heading5"/>
    <w:uiPriority w:val="9"/>
    <w:rsid w:val="0015337A"/>
    <w:rPr>
      <w:caps/>
      <w:color w:val="2F5496" w:themeColor="accent1" w:themeShade="BF"/>
      <w:spacing w:val="10"/>
    </w:rPr>
  </w:style>
  <w:style w:type="character" w:customStyle="1" w:styleId="Heading6Char">
    <w:name w:val="Heading 6 Char"/>
    <w:basedOn w:val="DefaultParagraphFont"/>
    <w:link w:val="Heading6"/>
    <w:uiPriority w:val="9"/>
    <w:semiHidden/>
    <w:rsid w:val="0015337A"/>
    <w:rPr>
      <w:caps/>
      <w:color w:val="2F5496" w:themeColor="accent1" w:themeShade="BF"/>
      <w:spacing w:val="10"/>
    </w:rPr>
  </w:style>
  <w:style w:type="character" w:customStyle="1" w:styleId="Heading7Char">
    <w:name w:val="Heading 7 Char"/>
    <w:basedOn w:val="DefaultParagraphFont"/>
    <w:link w:val="Heading7"/>
    <w:uiPriority w:val="9"/>
    <w:semiHidden/>
    <w:rsid w:val="0015337A"/>
    <w:rPr>
      <w:caps/>
      <w:color w:val="2F5496" w:themeColor="accent1" w:themeShade="BF"/>
      <w:spacing w:val="10"/>
    </w:rPr>
  </w:style>
  <w:style w:type="character" w:customStyle="1" w:styleId="Heading8Char">
    <w:name w:val="Heading 8 Char"/>
    <w:basedOn w:val="DefaultParagraphFont"/>
    <w:link w:val="Heading8"/>
    <w:uiPriority w:val="9"/>
    <w:semiHidden/>
    <w:rsid w:val="0015337A"/>
    <w:rPr>
      <w:caps/>
      <w:spacing w:val="10"/>
      <w:sz w:val="18"/>
      <w:szCs w:val="18"/>
    </w:rPr>
  </w:style>
  <w:style w:type="character" w:customStyle="1" w:styleId="Heading9Char">
    <w:name w:val="Heading 9 Char"/>
    <w:basedOn w:val="DefaultParagraphFont"/>
    <w:link w:val="Heading9"/>
    <w:uiPriority w:val="9"/>
    <w:semiHidden/>
    <w:rsid w:val="0015337A"/>
    <w:rPr>
      <w:i/>
      <w:iCs/>
      <w:caps/>
      <w:spacing w:val="10"/>
      <w:sz w:val="18"/>
      <w:szCs w:val="18"/>
    </w:rPr>
  </w:style>
  <w:style w:type="paragraph" w:styleId="Caption">
    <w:name w:val="caption"/>
    <w:basedOn w:val="Normal"/>
    <w:next w:val="Normal"/>
    <w:uiPriority w:val="35"/>
    <w:unhideWhenUsed/>
    <w:qFormat/>
    <w:rsid w:val="0015337A"/>
    <w:rPr>
      <w:b/>
      <w:bCs/>
      <w:color w:val="2F5496" w:themeColor="accent1" w:themeShade="BF"/>
      <w:sz w:val="16"/>
      <w:szCs w:val="16"/>
    </w:rPr>
  </w:style>
  <w:style w:type="paragraph" w:styleId="Subtitle">
    <w:name w:val="Subtitle"/>
    <w:basedOn w:val="Normal"/>
    <w:next w:val="Normal"/>
    <w:link w:val="SubtitleChar"/>
    <w:uiPriority w:val="11"/>
    <w:qFormat/>
    <w:rsid w:val="001533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337A"/>
    <w:rPr>
      <w:caps/>
      <w:color w:val="595959" w:themeColor="text1" w:themeTint="A6"/>
      <w:spacing w:val="10"/>
      <w:sz w:val="21"/>
      <w:szCs w:val="21"/>
    </w:rPr>
  </w:style>
  <w:style w:type="character" w:styleId="Strong">
    <w:name w:val="Strong"/>
    <w:uiPriority w:val="22"/>
    <w:qFormat/>
    <w:rsid w:val="0015337A"/>
    <w:rPr>
      <w:b/>
      <w:bCs/>
    </w:rPr>
  </w:style>
  <w:style w:type="character" w:styleId="Emphasis">
    <w:name w:val="Emphasis"/>
    <w:uiPriority w:val="20"/>
    <w:qFormat/>
    <w:rsid w:val="0015337A"/>
    <w:rPr>
      <w:caps/>
      <w:color w:val="1F3763" w:themeColor="accent1" w:themeShade="7F"/>
      <w:spacing w:val="5"/>
    </w:rPr>
  </w:style>
  <w:style w:type="paragraph" w:styleId="NoSpacing">
    <w:name w:val="No Spacing"/>
    <w:uiPriority w:val="1"/>
    <w:qFormat/>
    <w:rsid w:val="0015337A"/>
    <w:pPr>
      <w:spacing w:after="0" w:line="240" w:lineRule="auto"/>
    </w:pPr>
  </w:style>
  <w:style w:type="paragraph" w:styleId="Quote">
    <w:name w:val="Quote"/>
    <w:basedOn w:val="Normal"/>
    <w:next w:val="Normal"/>
    <w:link w:val="QuoteChar"/>
    <w:uiPriority w:val="29"/>
    <w:qFormat/>
    <w:rsid w:val="0015337A"/>
    <w:rPr>
      <w:i/>
      <w:iCs/>
      <w:sz w:val="24"/>
      <w:szCs w:val="24"/>
    </w:rPr>
  </w:style>
  <w:style w:type="character" w:customStyle="1" w:styleId="QuoteChar">
    <w:name w:val="Quote Char"/>
    <w:basedOn w:val="DefaultParagraphFont"/>
    <w:link w:val="Quote"/>
    <w:uiPriority w:val="29"/>
    <w:rsid w:val="0015337A"/>
    <w:rPr>
      <w:i/>
      <w:iCs/>
      <w:sz w:val="24"/>
      <w:szCs w:val="24"/>
    </w:rPr>
  </w:style>
  <w:style w:type="paragraph" w:styleId="IntenseQuote">
    <w:name w:val="Intense Quote"/>
    <w:basedOn w:val="Normal"/>
    <w:next w:val="Normal"/>
    <w:link w:val="IntenseQuoteChar"/>
    <w:uiPriority w:val="30"/>
    <w:qFormat/>
    <w:rsid w:val="0015337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5337A"/>
    <w:rPr>
      <w:color w:val="4472C4" w:themeColor="accent1"/>
      <w:sz w:val="24"/>
      <w:szCs w:val="24"/>
    </w:rPr>
  </w:style>
  <w:style w:type="character" w:styleId="SubtleEmphasis">
    <w:name w:val="Subtle Emphasis"/>
    <w:uiPriority w:val="19"/>
    <w:qFormat/>
    <w:rsid w:val="0015337A"/>
    <w:rPr>
      <w:i/>
      <w:iCs/>
      <w:color w:val="1F3763" w:themeColor="accent1" w:themeShade="7F"/>
    </w:rPr>
  </w:style>
  <w:style w:type="character" w:styleId="IntenseEmphasis">
    <w:name w:val="Intense Emphasis"/>
    <w:uiPriority w:val="21"/>
    <w:qFormat/>
    <w:rsid w:val="0015337A"/>
    <w:rPr>
      <w:b/>
      <w:bCs/>
      <w:caps/>
      <w:color w:val="1F3763" w:themeColor="accent1" w:themeShade="7F"/>
      <w:spacing w:val="10"/>
    </w:rPr>
  </w:style>
  <w:style w:type="character" w:styleId="SubtleReference">
    <w:name w:val="Subtle Reference"/>
    <w:uiPriority w:val="31"/>
    <w:qFormat/>
    <w:rsid w:val="0015337A"/>
    <w:rPr>
      <w:b/>
      <w:bCs/>
      <w:color w:val="4472C4" w:themeColor="accent1"/>
    </w:rPr>
  </w:style>
  <w:style w:type="character" w:styleId="IntenseReference">
    <w:name w:val="Intense Reference"/>
    <w:uiPriority w:val="32"/>
    <w:qFormat/>
    <w:rsid w:val="0015337A"/>
    <w:rPr>
      <w:b/>
      <w:bCs/>
      <w:i/>
      <w:iCs/>
      <w:caps/>
      <w:color w:val="4472C4" w:themeColor="accent1"/>
    </w:rPr>
  </w:style>
  <w:style w:type="character" w:styleId="BookTitle">
    <w:name w:val="Book Title"/>
    <w:uiPriority w:val="33"/>
    <w:qFormat/>
    <w:rsid w:val="0015337A"/>
    <w:rPr>
      <w:b/>
      <w:bCs/>
      <w:i/>
      <w:iCs/>
      <w:spacing w:val="0"/>
    </w:rPr>
  </w:style>
  <w:style w:type="paragraph" w:styleId="TOCHeading">
    <w:name w:val="TOC Heading"/>
    <w:basedOn w:val="Heading1"/>
    <w:next w:val="Normal"/>
    <w:uiPriority w:val="39"/>
    <w:semiHidden/>
    <w:unhideWhenUsed/>
    <w:qFormat/>
    <w:rsid w:val="0015337A"/>
    <w:pPr>
      <w:outlineLvl w:val="9"/>
    </w:pPr>
  </w:style>
  <w:style w:type="paragraph" w:styleId="BalloonText">
    <w:name w:val="Balloon Text"/>
    <w:basedOn w:val="Normal"/>
    <w:link w:val="BalloonTextChar"/>
    <w:uiPriority w:val="99"/>
    <w:semiHidden/>
    <w:unhideWhenUsed/>
    <w:rsid w:val="001533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7A"/>
    <w:rPr>
      <w:rFonts w:ascii="Segoe UI" w:hAnsi="Segoe UI" w:cs="Segoe UI"/>
      <w:sz w:val="18"/>
      <w:szCs w:val="18"/>
    </w:rPr>
  </w:style>
  <w:style w:type="paragraph" w:styleId="Header">
    <w:name w:val="header"/>
    <w:basedOn w:val="Normal"/>
    <w:link w:val="HeaderChar"/>
    <w:uiPriority w:val="99"/>
    <w:unhideWhenUsed/>
    <w:rsid w:val="00DC2C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2CAD"/>
  </w:style>
  <w:style w:type="paragraph" w:styleId="Footer">
    <w:name w:val="footer"/>
    <w:basedOn w:val="Normal"/>
    <w:link w:val="FooterChar"/>
    <w:uiPriority w:val="99"/>
    <w:unhideWhenUsed/>
    <w:rsid w:val="00DC2C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C2CAD"/>
  </w:style>
  <w:style w:type="character" w:styleId="CommentReference">
    <w:name w:val="annotation reference"/>
    <w:basedOn w:val="DefaultParagraphFont"/>
    <w:uiPriority w:val="99"/>
    <w:semiHidden/>
    <w:unhideWhenUsed/>
    <w:rsid w:val="00ED5D36"/>
    <w:rPr>
      <w:sz w:val="16"/>
      <w:szCs w:val="16"/>
    </w:rPr>
  </w:style>
  <w:style w:type="paragraph" w:styleId="CommentText">
    <w:name w:val="annotation text"/>
    <w:basedOn w:val="Normal"/>
    <w:link w:val="CommentTextChar"/>
    <w:uiPriority w:val="99"/>
    <w:semiHidden/>
    <w:unhideWhenUsed/>
    <w:rsid w:val="00ED5D36"/>
    <w:pPr>
      <w:spacing w:line="240" w:lineRule="auto"/>
    </w:pPr>
  </w:style>
  <w:style w:type="character" w:customStyle="1" w:styleId="CommentTextChar">
    <w:name w:val="Comment Text Char"/>
    <w:basedOn w:val="DefaultParagraphFont"/>
    <w:link w:val="CommentText"/>
    <w:uiPriority w:val="99"/>
    <w:semiHidden/>
    <w:rsid w:val="00ED5D36"/>
  </w:style>
  <w:style w:type="paragraph" w:styleId="CommentSubject">
    <w:name w:val="annotation subject"/>
    <w:basedOn w:val="CommentText"/>
    <w:next w:val="CommentText"/>
    <w:link w:val="CommentSubjectChar"/>
    <w:uiPriority w:val="99"/>
    <w:semiHidden/>
    <w:unhideWhenUsed/>
    <w:rsid w:val="00ED5D36"/>
    <w:rPr>
      <w:b/>
      <w:bCs/>
    </w:rPr>
  </w:style>
  <w:style w:type="character" w:customStyle="1" w:styleId="CommentSubjectChar">
    <w:name w:val="Comment Subject Char"/>
    <w:basedOn w:val="CommentTextChar"/>
    <w:link w:val="CommentSubject"/>
    <w:uiPriority w:val="99"/>
    <w:semiHidden/>
    <w:rsid w:val="00ED5D36"/>
    <w:rPr>
      <w:b/>
      <w:bCs/>
    </w:rPr>
  </w:style>
  <w:style w:type="paragraph" w:styleId="Revision">
    <w:name w:val="Revision"/>
    <w:hidden/>
    <w:uiPriority w:val="99"/>
    <w:semiHidden/>
    <w:rsid w:val="00ED5D36"/>
    <w:pPr>
      <w:spacing w:before="0" w:after="0" w:line="240" w:lineRule="auto"/>
    </w:pPr>
  </w:style>
  <w:style w:type="table" w:styleId="TableGrid">
    <w:name w:val="Table Grid"/>
    <w:basedOn w:val="TableNormal"/>
    <w:uiPriority w:val="59"/>
    <w:rsid w:val="00974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F40"/>
    <w:rPr>
      <w:color w:val="0563C1" w:themeColor="hyperlink"/>
      <w:u w:val="single"/>
    </w:rPr>
  </w:style>
  <w:style w:type="character" w:styleId="FollowedHyperlink">
    <w:name w:val="FollowedHyperlink"/>
    <w:basedOn w:val="DefaultParagraphFont"/>
    <w:uiPriority w:val="99"/>
    <w:semiHidden/>
    <w:unhideWhenUsed/>
    <w:rsid w:val="00AD5E24"/>
    <w:rPr>
      <w:color w:val="954F72" w:themeColor="followedHyperlink"/>
      <w:u w:val="single"/>
    </w:rPr>
  </w:style>
  <w:style w:type="character" w:customStyle="1" w:styleId="UnresolvedMention1">
    <w:name w:val="Unresolved Mention1"/>
    <w:basedOn w:val="DefaultParagraphFont"/>
    <w:uiPriority w:val="99"/>
    <w:semiHidden/>
    <w:unhideWhenUsed/>
    <w:rsid w:val="00AD5E24"/>
    <w:rPr>
      <w:color w:val="808080"/>
      <w:shd w:val="clear" w:color="auto" w:fill="E6E6E6"/>
    </w:rPr>
  </w:style>
  <w:style w:type="paragraph" w:styleId="FootnoteText">
    <w:name w:val="footnote text"/>
    <w:basedOn w:val="Normal"/>
    <w:link w:val="FootnoteTextChar"/>
    <w:uiPriority w:val="99"/>
    <w:semiHidden/>
    <w:unhideWhenUsed/>
    <w:rsid w:val="007C3F6A"/>
    <w:pPr>
      <w:spacing w:before="0" w:after="0" w:line="240" w:lineRule="auto"/>
    </w:pPr>
  </w:style>
  <w:style w:type="character" w:customStyle="1" w:styleId="FootnoteTextChar">
    <w:name w:val="Footnote Text Char"/>
    <w:basedOn w:val="DefaultParagraphFont"/>
    <w:link w:val="FootnoteText"/>
    <w:uiPriority w:val="99"/>
    <w:semiHidden/>
    <w:rsid w:val="007C3F6A"/>
  </w:style>
  <w:style w:type="character" w:styleId="FootnoteReference">
    <w:name w:val="footnote reference"/>
    <w:basedOn w:val="DefaultParagraphFont"/>
    <w:uiPriority w:val="99"/>
    <w:semiHidden/>
    <w:unhideWhenUsed/>
    <w:rsid w:val="007C3F6A"/>
    <w:rPr>
      <w:vertAlign w:val="superscript"/>
    </w:rPr>
  </w:style>
  <w:style w:type="paragraph" w:styleId="NormalWeb">
    <w:name w:val="Normal (Web)"/>
    <w:basedOn w:val="Normal"/>
    <w:uiPriority w:val="99"/>
    <w:semiHidden/>
    <w:unhideWhenUsed/>
    <w:rsid w:val="004A056F"/>
    <w:pPr>
      <w:spacing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16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5240">
      <w:bodyDiv w:val="1"/>
      <w:marLeft w:val="0"/>
      <w:marRight w:val="0"/>
      <w:marTop w:val="0"/>
      <w:marBottom w:val="0"/>
      <w:divBdr>
        <w:top w:val="none" w:sz="0" w:space="0" w:color="auto"/>
        <w:left w:val="none" w:sz="0" w:space="0" w:color="auto"/>
        <w:bottom w:val="none" w:sz="0" w:space="0" w:color="auto"/>
        <w:right w:val="none" w:sz="0" w:space="0" w:color="auto"/>
      </w:divBdr>
      <w:divsChild>
        <w:div w:id="1648822523">
          <w:marLeft w:val="288"/>
          <w:marRight w:val="0"/>
          <w:marTop w:val="0"/>
          <w:marBottom w:val="0"/>
          <w:divBdr>
            <w:top w:val="none" w:sz="0" w:space="0" w:color="auto"/>
            <w:left w:val="none" w:sz="0" w:space="0" w:color="auto"/>
            <w:bottom w:val="none" w:sz="0" w:space="0" w:color="auto"/>
            <w:right w:val="none" w:sz="0" w:space="0" w:color="auto"/>
          </w:divBdr>
        </w:div>
      </w:divsChild>
    </w:div>
    <w:div w:id="114521925">
      <w:bodyDiv w:val="1"/>
      <w:marLeft w:val="0"/>
      <w:marRight w:val="0"/>
      <w:marTop w:val="0"/>
      <w:marBottom w:val="0"/>
      <w:divBdr>
        <w:top w:val="none" w:sz="0" w:space="0" w:color="auto"/>
        <w:left w:val="none" w:sz="0" w:space="0" w:color="auto"/>
        <w:bottom w:val="none" w:sz="0" w:space="0" w:color="auto"/>
        <w:right w:val="none" w:sz="0" w:space="0" w:color="auto"/>
      </w:divBdr>
      <w:divsChild>
        <w:div w:id="379600524">
          <w:marLeft w:val="1080"/>
          <w:marRight w:val="0"/>
          <w:marTop w:val="100"/>
          <w:marBottom w:val="0"/>
          <w:divBdr>
            <w:top w:val="none" w:sz="0" w:space="0" w:color="auto"/>
            <w:left w:val="none" w:sz="0" w:space="0" w:color="auto"/>
            <w:bottom w:val="none" w:sz="0" w:space="0" w:color="auto"/>
            <w:right w:val="none" w:sz="0" w:space="0" w:color="auto"/>
          </w:divBdr>
        </w:div>
        <w:div w:id="929700881">
          <w:marLeft w:val="1080"/>
          <w:marRight w:val="0"/>
          <w:marTop w:val="100"/>
          <w:marBottom w:val="0"/>
          <w:divBdr>
            <w:top w:val="none" w:sz="0" w:space="0" w:color="auto"/>
            <w:left w:val="none" w:sz="0" w:space="0" w:color="auto"/>
            <w:bottom w:val="none" w:sz="0" w:space="0" w:color="auto"/>
            <w:right w:val="none" w:sz="0" w:space="0" w:color="auto"/>
          </w:divBdr>
        </w:div>
        <w:div w:id="1045063249">
          <w:marLeft w:val="1080"/>
          <w:marRight w:val="0"/>
          <w:marTop w:val="100"/>
          <w:marBottom w:val="0"/>
          <w:divBdr>
            <w:top w:val="none" w:sz="0" w:space="0" w:color="auto"/>
            <w:left w:val="none" w:sz="0" w:space="0" w:color="auto"/>
            <w:bottom w:val="none" w:sz="0" w:space="0" w:color="auto"/>
            <w:right w:val="none" w:sz="0" w:space="0" w:color="auto"/>
          </w:divBdr>
        </w:div>
        <w:div w:id="1294600289">
          <w:marLeft w:val="1080"/>
          <w:marRight w:val="0"/>
          <w:marTop w:val="100"/>
          <w:marBottom w:val="0"/>
          <w:divBdr>
            <w:top w:val="none" w:sz="0" w:space="0" w:color="auto"/>
            <w:left w:val="none" w:sz="0" w:space="0" w:color="auto"/>
            <w:bottom w:val="none" w:sz="0" w:space="0" w:color="auto"/>
            <w:right w:val="none" w:sz="0" w:space="0" w:color="auto"/>
          </w:divBdr>
        </w:div>
        <w:div w:id="1503281368">
          <w:marLeft w:val="360"/>
          <w:marRight w:val="0"/>
          <w:marTop w:val="200"/>
          <w:marBottom w:val="0"/>
          <w:divBdr>
            <w:top w:val="none" w:sz="0" w:space="0" w:color="auto"/>
            <w:left w:val="none" w:sz="0" w:space="0" w:color="auto"/>
            <w:bottom w:val="none" w:sz="0" w:space="0" w:color="auto"/>
            <w:right w:val="none" w:sz="0" w:space="0" w:color="auto"/>
          </w:divBdr>
        </w:div>
        <w:div w:id="1606690625">
          <w:marLeft w:val="360"/>
          <w:marRight w:val="0"/>
          <w:marTop w:val="200"/>
          <w:marBottom w:val="0"/>
          <w:divBdr>
            <w:top w:val="none" w:sz="0" w:space="0" w:color="auto"/>
            <w:left w:val="none" w:sz="0" w:space="0" w:color="auto"/>
            <w:bottom w:val="none" w:sz="0" w:space="0" w:color="auto"/>
            <w:right w:val="none" w:sz="0" w:space="0" w:color="auto"/>
          </w:divBdr>
        </w:div>
        <w:div w:id="1829176046">
          <w:marLeft w:val="1080"/>
          <w:marRight w:val="0"/>
          <w:marTop w:val="100"/>
          <w:marBottom w:val="0"/>
          <w:divBdr>
            <w:top w:val="none" w:sz="0" w:space="0" w:color="auto"/>
            <w:left w:val="none" w:sz="0" w:space="0" w:color="auto"/>
            <w:bottom w:val="none" w:sz="0" w:space="0" w:color="auto"/>
            <w:right w:val="none" w:sz="0" w:space="0" w:color="auto"/>
          </w:divBdr>
        </w:div>
        <w:div w:id="1911843366">
          <w:marLeft w:val="1080"/>
          <w:marRight w:val="0"/>
          <w:marTop w:val="100"/>
          <w:marBottom w:val="0"/>
          <w:divBdr>
            <w:top w:val="none" w:sz="0" w:space="0" w:color="auto"/>
            <w:left w:val="none" w:sz="0" w:space="0" w:color="auto"/>
            <w:bottom w:val="none" w:sz="0" w:space="0" w:color="auto"/>
            <w:right w:val="none" w:sz="0" w:space="0" w:color="auto"/>
          </w:divBdr>
        </w:div>
        <w:div w:id="1915506130">
          <w:marLeft w:val="1080"/>
          <w:marRight w:val="0"/>
          <w:marTop w:val="100"/>
          <w:marBottom w:val="0"/>
          <w:divBdr>
            <w:top w:val="none" w:sz="0" w:space="0" w:color="auto"/>
            <w:left w:val="none" w:sz="0" w:space="0" w:color="auto"/>
            <w:bottom w:val="none" w:sz="0" w:space="0" w:color="auto"/>
            <w:right w:val="none" w:sz="0" w:space="0" w:color="auto"/>
          </w:divBdr>
        </w:div>
      </w:divsChild>
    </w:div>
    <w:div w:id="151143643">
      <w:bodyDiv w:val="1"/>
      <w:marLeft w:val="0"/>
      <w:marRight w:val="0"/>
      <w:marTop w:val="0"/>
      <w:marBottom w:val="0"/>
      <w:divBdr>
        <w:top w:val="none" w:sz="0" w:space="0" w:color="auto"/>
        <w:left w:val="none" w:sz="0" w:space="0" w:color="auto"/>
        <w:bottom w:val="none" w:sz="0" w:space="0" w:color="auto"/>
        <w:right w:val="none" w:sz="0" w:space="0" w:color="auto"/>
      </w:divBdr>
      <w:divsChild>
        <w:div w:id="292102565">
          <w:marLeft w:val="1080"/>
          <w:marRight w:val="0"/>
          <w:marTop w:val="100"/>
          <w:marBottom w:val="0"/>
          <w:divBdr>
            <w:top w:val="none" w:sz="0" w:space="0" w:color="auto"/>
            <w:left w:val="none" w:sz="0" w:space="0" w:color="auto"/>
            <w:bottom w:val="none" w:sz="0" w:space="0" w:color="auto"/>
            <w:right w:val="none" w:sz="0" w:space="0" w:color="auto"/>
          </w:divBdr>
        </w:div>
        <w:div w:id="731121011">
          <w:marLeft w:val="1080"/>
          <w:marRight w:val="0"/>
          <w:marTop w:val="100"/>
          <w:marBottom w:val="0"/>
          <w:divBdr>
            <w:top w:val="none" w:sz="0" w:space="0" w:color="auto"/>
            <w:left w:val="none" w:sz="0" w:space="0" w:color="auto"/>
            <w:bottom w:val="none" w:sz="0" w:space="0" w:color="auto"/>
            <w:right w:val="none" w:sz="0" w:space="0" w:color="auto"/>
          </w:divBdr>
        </w:div>
        <w:div w:id="824321684">
          <w:marLeft w:val="360"/>
          <w:marRight w:val="0"/>
          <w:marTop w:val="200"/>
          <w:marBottom w:val="0"/>
          <w:divBdr>
            <w:top w:val="none" w:sz="0" w:space="0" w:color="auto"/>
            <w:left w:val="none" w:sz="0" w:space="0" w:color="auto"/>
            <w:bottom w:val="none" w:sz="0" w:space="0" w:color="auto"/>
            <w:right w:val="none" w:sz="0" w:space="0" w:color="auto"/>
          </w:divBdr>
        </w:div>
        <w:div w:id="1408503110">
          <w:marLeft w:val="360"/>
          <w:marRight w:val="0"/>
          <w:marTop w:val="200"/>
          <w:marBottom w:val="0"/>
          <w:divBdr>
            <w:top w:val="none" w:sz="0" w:space="0" w:color="auto"/>
            <w:left w:val="none" w:sz="0" w:space="0" w:color="auto"/>
            <w:bottom w:val="none" w:sz="0" w:space="0" w:color="auto"/>
            <w:right w:val="none" w:sz="0" w:space="0" w:color="auto"/>
          </w:divBdr>
        </w:div>
        <w:div w:id="1538423036">
          <w:marLeft w:val="1080"/>
          <w:marRight w:val="0"/>
          <w:marTop w:val="100"/>
          <w:marBottom w:val="0"/>
          <w:divBdr>
            <w:top w:val="none" w:sz="0" w:space="0" w:color="auto"/>
            <w:left w:val="none" w:sz="0" w:space="0" w:color="auto"/>
            <w:bottom w:val="none" w:sz="0" w:space="0" w:color="auto"/>
            <w:right w:val="none" w:sz="0" w:space="0" w:color="auto"/>
          </w:divBdr>
        </w:div>
        <w:div w:id="1754546907">
          <w:marLeft w:val="1080"/>
          <w:marRight w:val="0"/>
          <w:marTop w:val="100"/>
          <w:marBottom w:val="0"/>
          <w:divBdr>
            <w:top w:val="none" w:sz="0" w:space="0" w:color="auto"/>
            <w:left w:val="none" w:sz="0" w:space="0" w:color="auto"/>
            <w:bottom w:val="none" w:sz="0" w:space="0" w:color="auto"/>
            <w:right w:val="none" w:sz="0" w:space="0" w:color="auto"/>
          </w:divBdr>
        </w:div>
      </w:divsChild>
    </w:div>
    <w:div w:id="485320124">
      <w:bodyDiv w:val="1"/>
      <w:marLeft w:val="0"/>
      <w:marRight w:val="0"/>
      <w:marTop w:val="0"/>
      <w:marBottom w:val="0"/>
      <w:divBdr>
        <w:top w:val="none" w:sz="0" w:space="0" w:color="auto"/>
        <w:left w:val="none" w:sz="0" w:space="0" w:color="auto"/>
        <w:bottom w:val="none" w:sz="0" w:space="0" w:color="auto"/>
        <w:right w:val="none" w:sz="0" w:space="0" w:color="auto"/>
      </w:divBdr>
    </w:div>
    <w:div w:id="500897939">
      <w:bodyDiv w:val="1"/>
      <w:marLeft w:val="0"/>
      <w:marRight w:val="0"/>
      <w:marTop w:val="0"/>
      <w:marBottom w:val="0"/>
      <w:divBdr>
        <w:top w:val="none" w:sz="0" w:space="0" w:color="auto"/>
        <w:left w:val="none" w:sz="0" w:space="0" w:color="auto"/>
        <w:bottom w:val="none" w:sz="0" w:space="0" w:color="auto"/>
        <w:right w:val="none" w:sz="0" w:space="0" w:color="auto"/>
      </w:divBdr>
    </w:div>
    <w:div w:id="716663664">
      <w:bodyDiv w:val="1"/>
      <w:marLeft w:val="0"/>
      <w:marRight w:val="0"/>
      <w:marTop w:val="0"/>
      <w:marBottom w:val="0"/>
      <w:divBdr>
        <w:top w:val="none" w:sz="0" w:space="0" w:color="auto"/>
        <w:left w:val="none" w:sz="0" w:space="0" w:color="auto"/>
        <w:bottom w:val="none" w:sz="0" w:space="0" w:color="auto"/>
        <w:right w:val="none" w:sz="0" w:space="0" w:color="auto"/>
      </w:divBdr>
      <w:divsChild>
        <w:div w:id="503906330">
          <w:marLeft w:val="360"/>
          <w:marRight w:val="0"/>
          <w:marTop w:val="200"/>
          <w:marBottom w:val="0"/>
          <w:divBdr>
            <w:top w:val="none" w:sz="0" w:space="0" w:color="auto"/>
            <w:left w:val="none" w:sz="0" w:space="0" w:color="auto"/>
            <w:bottom w:val="none" w:sz="0" w:space="0" w:color="auto"/>
            <w:right w:val="none" w:sz="0" w:space="0" w:color="auto"/>
          </w:divBdr>
        </w:div>
        <w:div w:id="862204291">
          <w:marLeft w:val="1080"/>
          <w:marRight w:val="0"/>
          <w:marTop w:val="100"/>
          <w:marBottom w:val="0"/>
          <w:divBdr>
            <w:top w:val="none" w:sz="0" w:space="0" w:color="auto"/>
            <w:left w:val="none" w:sz="0" w:space="0" w:color="auto"/>
            <w:bottom w:val="none" w:sz="0" w:space="0" w:color="auto"/>
            <w:right w:val="none" w:sz="0" w:space="0" w:color="auto"/>
          </w:divBdr>
        </w:div>
        <w:div w:id="1939408550">
          <w:marLeft w:val="360"/>
          <w:marRight w:val="0"/>
          <w:marTop w:val="200"/>
          <w:marBottom w:val="0"/>
          <w:divBdr>
            <w:top w:val="none" w:sz="0" w:space="0" w:color="auto"/>
            <w:left w:val="none" w:sz="0" w:space="0" w:color="auto"/>
            <w:bottom w:val="none" w:sz="0" w:space="0" w:color="auto"/>
            <w:right w:val="none" w:sz="0" w:space="0" w:color="auto"/>
          </w:divBdr>
        </w:div>
      </w:divsChild>
    </w:div>
    <w:div w:id="793400408">
      <w:bodyDiv w:val="1"/>
      <w:marLeft w:val="0"/>
      <w:marRight w:val="0"/>
      <w:marTop w:val="0"/>
      <w:marBottom w:val="0"/>
      <w:divBdr>
        <w:top w:val="none" w:sz="0" w:space="0" w:color="auto"/>
        <w:left w:val="none" w:sz="0" w:space="0" w:color="auto"/>
        <w:bottom w:val="none" w:sz="0" w:space="0" w:color="auto"/>
        <w:right w:val="none" w:sz="0" w:space="0" w:color="auto"/>
      </w:divBdr>
      <w:divsChild>
        <w:div w:id="1980842353">
          <w:marLeft w:val="1080"/>
          <w:marRight w:val="0"/>
          <w:marTop w:val="100"/>
          <w:marBottom w:val="0"/>
          <w:divBdr>
            <w:top w:val="none" w:sz="0" w:space="0" w:color="auto"/>
            <w:left w:val="none" w:sz="0" w:space="0" w:color="auto"/>
            <w:bottom w:val="none" w:sz="0" w:space="0" w:color="auto"/>
            <w:right w:val="none" w:sz="0" w:space="0" w:color="auto"/>
          </w:divBdr>
        </w:div>
      </w:divsChild>
    </w:div>
    <w:div w:id="843058951">
      <w:bodyDiv w:val="1"/>
      <w:marLeft w:val="0"/>
      <w:marRight w:val="0"/>
      <w:marTop w:val="0"/>
      <w:marBottom w:val="0"/>
      <w:divBdr>
        <w:top w:val="none" w:sz="0" w:space="0" w:color="auto"/>
        <w:left w:val="none" w:sz="0" w:space="0" w:color="auto"/>
        <w:bottom w:val="none" w:sz="0" w:space="0" w:color="auto"/>
        <w:right w:val="none" w:sz="0" w:space="0" w:color="auto"/>
      </w:divBdr>
      <w:divsChild>
        <w:div w:id="1592817548">
          <w:marLeft w:val="360"/>
          <w:marRight w:val="0"/>
          <w:marTop w:val="200"/>
          <w:marBottom w:val="0"/>
          <w:divBdr>
            <w:top w:val="none" w:sz="0" w:space="0" w:color="auto"/>
            <w:left w:val="none" w:sz="0" w:space="0" w:color="auto"/>
            <w:bottom w:val="none" w:sz="0" w:space="0" w:color="auto"/>
            <w:right w:val="none" w:sz="0" w:space="0" w:color="auto"/>
          </w:divBdr>
        </w:div>
        <w:div w:id="1633976127">
          <w:marLeft w:val="360"/>
          <w:marRight w:val="0"/>
          <w:marTop w:val="200"/>
          <w:marBottom w:val="0"/>
          <w:divBdr>
            <w:top w:val="none" w:sz="0" w:space="0" w:color="auto"/>
            <w:left w:val="none" w:sz="0" w:space="0" w:color="auto"/>
            <w:bottom w:val="none" w:sz="0" w:space="0" w:color="auto"/>
            <w:right w:val="none" w:sz="0" w:space="0" w:color="auto"/>
          </w:divBdr>
        </w:div>
      </w:divsChild>
    </w:div>
    <w:div w:id="1045593727">
      <w:bodyDiv w:val="1"/>
      <w:marLeft w:val="0"/>
      <w:marRight w:val="0"/>
      <w:marTop w:val="0"/>
      <w:marBottom w:val="0"/>
      <w:divBdr>
        <w:top w:val="none" w:sz="0" w:space="0" w:color="auto"/>
        <w:left w:val="none" w:sz="0" w:space="0" w:color="auto"/>
        <w:bottom w:val="none" w:sz="0" w:space="0" w:color="auto"/>
        <w:right w:val="none" w:sz="0" w:space="0" w:color="auto"/>
      </w:divBdr>
      <w:divsChild>
        <w:div w:id="597373756">
          <w:marLeft w:val="1080"/>
          <w:marRight w:val="0"/>
          <w:marTop w:val="100"/>
          <w:marBottom w:val="0"/>
          <w:divBdr>
            <w:top w:val="none" w:sz="0" w:space="0" w:color="auto"/>
            <w:left w:val="none" w:sz="0" w:space="0" w:color="auto"/>
            <w:bottom w:val="none" w:sz="0" w:space="0" w:color="auto"/>
            <w:right w:val="none" w:sz="0" w:space="0" w:color="auto"/>
          </w:divBdr>
        </w:div>
        <w:div w:id="928461906">
          <w:marLeft w:val="360"/>
          <w:marRight w:val="0"/>
          <w:marTop w:val="200"/>
          <w:marBottom w:val="0"/>
          <w:divBdr>
            <w:top w:val="none" w:sz="0" w:space="0" w:color="auto"/>
            <w:left w:val="none" w:sz="0" w:space="0" w:color="auto"/>
            <w:bottom w:val="none" w:sz="0" w:space="0" w:color="auto"/>
            <w:right w:val="none" w:sz="0" w:space="0" w:color="auto"/>
          </w:divBdr>
        </w:div>
        <w:div w:id="1008558142">
          <w:marLeft w:val="1080"/>
          <w:marRight w:val="0"/>
          <w:marTop w:val="100"/>
          <w:marBottom w:val="0"/>
          <w:divBdr>
            <w:top w:val="none" w:sz="0" w:space="0" w:color="auto"/>
            <w:left w:val="none" w:sz="0" w:space="0" w:color="auto"/>
            <w:bottom w:val="none" w:sz="0" w:space="0" w:color="auto"/>
            <w:right w:val="none" w:sz="0" w:space="0" w:color="auto"/>
          </w:divBdr>
        </w:div>
        <w:div w:id="1096559727">
          <w:marLeft w:val="1080"/>
          <w:marRight w:val="0"/>
          <w:marTop w:val="100"/>
          <w:marBottom w:val="0"/>
          <w:divBdr>
            <w:top w:val="none" w:sz="0" w:space="0" w:color="auto"/>
            <w:left w:val="none" w:sz="0" w:space="0" w:color="auto"/>
            <w:bottom w:val="none" w:sz="0" w:space="0" w:color="auto"/>
            <w:right w:val="none" w:sz="0" w:space="0" w:color="auto"/>
          </w:divBdr>
        </w:div>
        <w:div w:id="1491478249">
          <w:marLeft w:val="1080"/>
          <w:marRight w:val="0"/>
          <w:marTop w:val="100"/>
          <w:marBottom w:val="0"/>
          <w:divBdr>
            <w:top w:val="none" w:sz="0" w:space="0" w:color="auto"/>
            <w:left w:val="none" w:sz="0" w:space="0" w:color="auto"/>
            <w:bottom w:val="none" w:sz="0" w:space="0" w:color="auto"/>
            <w:right w:val="none" w:sz="0" w:space="0" w:color="auto"/>
          </w:divBdr>
        </w:div>
        <w:div w:id="1544095458">
          <w:marLeft w:val="360"/>
          <w:marRight w:val="0"/>
          <w:marTop w:val="200"/>
          <w:marBottom w:val="0"/>
          <w:divBdr>
            <w:top w:val="none" w:sz="0" w:space="0" w:color="auto"/>
            <w:left w:val="none" w:sz="0" w:space="0" w:color="auto"/>
            <w:bottom w:val="none" w:sz="0" w:space="0" w:color="auto"/>
            <w:right w:val="none" w:sz="0" w:space="0" w:color="auto"/>
          </w:divBdr>
        </w:div>
        <w:div w:id="2079746580">
          <w:marLeft w:val="360"/>
          <w:marRight w:val="0"/>
          <w:marTop w:val="200"/>
          <w:marBottom w:val="0"/>
          <w:divBdr>
            <w:top w:val="none" w:sz="0" w:space="0" w:color="auto"/>
            <w:left w:val="none" w:sz="0" w:space="0" w:color="auto"/>
            <w:bottom w:val="none" w:sz="0" w:space="0" w:color="auto"/>
            <w:right w:val="none" w:sz="0" w:space="0" w:color="auto"/>
          </w:divBdr>
        </w:div>
      </w:divsChild>
    </w:div>
    <w:div w:id="1090738554">
      <w:bodyDiv w:val="1"/>
      <w:marLeft w:val="0"/>
      <w:marRight w:val="0"/>
      <w:marTop w:val="0"/>
      <w:marBottom w:val="0"/>
      <w:divBdr>
        <w:top w:val="none" w:sz="0" w:space="0" w:color="auto"/>
        <w:left w:val="none" w:sz="0" w:space="0" w:color="auto"/>
        <w:bottom w:val="none" w:sz="0" w:space="0" w:color="auto"/>
        <w:right w:val="none" w:sz="0" w:space="0" w:color="auto"/>
      </w:divBdr>
    </w:div>
    <w:div w:id="1284578376">
      <w:bodyDiv w:val="1"/>
      <w:marLeft w:val="0"/>
      <w:marRight w:val="0"/>
      <w:marTop w:val="0"/>
      <w:marBottom w:val="0"/>
      <w:divBdr>
        <w:top w:val="none" w:sz="0" w:space="0" w:color="auto"/>
        <w:left w:val="none" w:sz="0" w:space="0" w:color="auto"/>
        <w:bottom w:val="none" w:sz="0" w:space="0" w:color="auto"/>
        <w:right w:val="none" w:sz="0" w:space="0" w:color="auto"/>
      </w:divBdr>
    </w:div>
    <w:div w:id="1309742736">
      <w:bodyDiv w:val="1"/>
      <w:marLeft w:val="0"/>
      <w:marRight w:val="0"/>
      <w:marTop w:val="0"/>
      <w:marBottom w:val="0"/>
      <w:divBdr>
        <w:top w:val="none" w:sz="0" w:space="0" w:color="auto"/>
        <w:left w:val="none" w:sz="0" w:space="0" w:color="auto"/>
        <w:bottom w:val="none" w:sz="0" w:space="0" w:color="auto"/>
        <w:right w:val="none" w:sz="0" w:space="0" w:color="auto"/>
      </w:divBdr>
    </w:div>
    <w:div w:id="1433355080">
      <w:bodyDiv w:val="1"/>
      <w:marLeft w:val="0"/>
      <w:marRight w:val="0"/>
      <w:marTop w:val="0"/>
      <w:marBottom w:val="0"/>
      <w:divBdr>
        <w:top w:val="none" w:sz="0" w:space="0" w:color="auto"/>
        <w:left w:val="none" w:sz="0" w:space="0" w:color="auto"/>
        <w:bottom w:val="none" w:sz="0" w:space="0" w:color="auto"/>
        <w:right w:val="none" w:sz="0" w:space="0" w:color="auto"/>
      </w:divBdr>
    </w:div>
    <w:div w:id="18547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te.nj.us/education/assessment/" TargetMode="External"/><Relationship Id="rId18" Type="http://schemas.openxmlformats.org/officeDocument/2006/relationships/hyperlink" Target="http://www.state.nj.us/education/students/safety/behavior/attendance/ChronicAbsenteeismGuidanc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tate.nj.us/education/students/safety/behavior/attendance/" TargetMode="External"/><Relationship Id="rId2" Type="http://schemas.openxmlformats.org/officeDocument/2006/relationships/numbering" Target="numbering.xml"/><Relationship Id="rId16" Type="http://schemas.openxmlformats.org/officeDocument/2006/relationships/hyperlink" Target="https://homeroom.state.nj.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o.gov/fdsys/granule/FR-2007-10-19/E7-20613" TargetMode="External"/><Relationship Id="rId5" Type="http://schemas.openxmlformats.org/officeDocument/2006/relationships/webSettings" Target="webSettings.xml"/><Relationship Id="rId15" Type="http://schemas.openxmlformats.org/officeDocument/2006/relationships/hyperlink" Target="http://www.state.nj.us/education/data/grat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j.gov/education/AchieveNJ/teacher/percenti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EAAC-32AD-4EC4-B352-F202D2DD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7016</Words>
  <Characters>39994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Barrett</dc:creator>
  <cp:keywords/>
  <dc:description/>
  <cp:lastModifiedBy>Yaple, Michael</cp:lastModifiedBy>
  <cp:revision>2</cp:revision>
  <cp:lastPrinted>2018-10-25T15:03:00Z</cp:lastPrinted>
  <dcterms:created xsi:type="dcterms:W3CDTF">2018-10-30T16:40:00Z</dcterms:created>
  <dcterms:modified xsi:type="dcterms:W3CDTF">2018-10-30T16:40:00Z</dcterms:modified>
</cp:coreProperties>
</file>