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45" w:rsidRPr="000B0BD1" w:rsidRDefault="00AD0DFF" w:rsidP="000B0BD1">
      <w:pPr>
        <w:spacing w:before="240"/>
        <w:jc w:val="center"/>
        <w:rPr>
          <w:b/>
          <w:bCs/>
          <w:sz w:val="28"/>
          <w:szCs w:val="28"/>
        </w:rPr>
      </w:pPr>
      <w:r w:rsidRPr="0075582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-218259</wp:posOffset>
            </wp:positionH>
            <wp:positionV relativeFrom="paragraph">
              <wp:posOffset>-108585</wp:posOffset>
            </wp:positionV>
            <wp:extent cx="1660497" cy="261348"/>
            <wp:effectExtent l="0" t="0" r="0" b="5715"/>
            <wp:wrapNone/>
            <wp:docPr id="1" name="Picture 1" descr="http://www.wallnj.com/ImageRepository/Document?documentID=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llnj.com/ImageRepository/Document?documentID=7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497" cy="26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3FA" w:rsidRPr="00755821">
        <w:rPr>
          <w:b/>
          <w:bCs/>
          <w:sz w:val="28"/>
          <w:szCs w:val="28"/>
        </w:rPr>
        <w:t>U</w:t>
      </w:r>
      <w:r w:rsidR="00392645" w:rsidRPr="00755821">
        <w:rPr>
          <w:b/>
          <w:bCs/>
          <w:sz w:val="28"/>
          <w:szCs w:val="28"/>
        </w:rPr>
        <w:t>niversal Design for Learning -</w:t>
      </w:r>
      <w:r w:rsidR="00A603FA" w:rsidRPr="00755821">
        <w:rPr>
          <w:b/>
          <w:bCs/>
          <w:sz w:val="28"/>
          <w:szCs w:val="28"/>
        </w:rPr>
        <w:t xml:space="preserve"> Guide for </w:t>
      </w:r>
      <w:r w:rsidR="00F45EC5" w:rsidRPr="00755821">
        <w:rPr>
          <w:b/>
          <w:bCs/>
          <w:sz w:val="28"/>
          <w:szCs w:val="28"/>
        </w:rPr>
        <w:t>Lesson Design</w:t>
      </w:r>
      <w:r w:rsidR="00A603FA" w:rsidRPr="00755821">
        <w:rPr>
          <w:b/>
          <w:bCs/>
          <w:sz w:val="28"/>
          <w:szCs w:val="28"/>
        </w:rPr>
        <w:t xml:space="preserve"> with a UDL Framework</w:t>
      </w:r>
    </w:p>
    <w:tbl>
      <w:tblPr>
        <w:tblStyle w:val="TableGrid"/>
        <w:tblpPr w:leftFromText="180" w:rightFromText="180" w:vertAnchor="page" w:horzAnchor="margin" w:tblpX="-275" w:tblpY="1227"/>
        <w:tblW w:w="11543" w:type="dxa"/>
        <w:tblLayout w:type="fixed"/>
        <w:tblLook w:val="04A0"/>
      </w:tblPr>
      <w:tblGrid>
        <w:gridCol w:w="2003"/>
        <w:gridCol w:w="1800"/>
        <w:gridCol w:w="2340"/>
        <w:gridCol w:w="2970"/>
        <w:gridCol w:w="1530"/>
        <w:gridCol w:w="900"/>
      </w:tblGrid>
      <w:tr w:rsidR="00AD0DFF" w:rsidRPr="00B1581E" w:rsidTr="00755821">
        <w:trPr>
          <w:trHeight w:val="530"/>
        </w:trPr>
        <w:tc>
          <w:tcPr>
            <w:tcW w:w="11543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AD0DFF" w:rsidRDefault="00AD0DFF" w:rsidP="0044095D">
            <w:pPr>
              <w:jc w:val="center"/>
              <w:rPr>
                <w:b/>
                <w:color w:val="1F497D" w:themeColor="text2"/>
              </w:rPr>
            </w:pPr>
            <w:r w:rsidRPr="00755821">
              <w:rPr>
                <w:b/>
                <w:color w:val="1F497D" w:themeColor="text2"/>
              </w:rPr>
              <w:t>New Jersey Standard Alignment</w:t>
            </w:r>
          </w:p>
          <w:p w:rsidR="00755821" w:rsidRDefault="00755821" w:rsidP="0044095D">
            <w:pPr>
              <w:jc w:val="center"/>
              <w:rPr>
                <w:b/>
                <w:color w:val="1F497D" w:themeColor="text2"/>
              </w:rPr>
            </w:pPr>
          </w:p>
          <w:p w:rsidR="00755821" w:rsidRPr="00755821" w:rsidRDefault="00755821" w:rsidP="0044095D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392645" w:rsidRPr="00B1581E" w:rsidTr="0044095D">
        <w:trPr>
          <w:trHeight w:val="622"/>
        </w:trPr>
        <w:tc>
          <w:tcPr>
            <w:tcW w:w="6143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392645" w:rsidRPr="00755821" w:rsidRDefault="00392645" w:rsidP="0044095D">
            <w:pPr>
              <w:jc w:val="center"/>
              <w:rPr>
                <w:b/>
                <w:color w:val="1F497D" w:themeColor="text2"/>
              </w:rPr>
            </w:pPr>
            <w:r w:rsidRPr="00755821">
              <w:rPr>
                <w:b/>
                <w:color w:val="1F497D" w:themeColor="text2"/>
              </w:rPr>
              <w:t>Key Concepts: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392645" w:rsidRDefault="00392645" w:rsidP="0044095D">
            <w:pPr>
              <w:jc w:val="center"/>
              <w:rPr>
                <w:b/>
                <w:color w:val="1F497D" w:themeColor="text2"/>
              </w:rPr>
            </w:pPr>
            <w:r w:rsidRPr="00755821">
              <w:rPr>
                <w:b/>
                <w:color w:val="1F497D" w:themeColor="text2"/>
              </w:rPr>
              <w:t>NJ Student Learning Standards:</w:t>
            </w:r>
          </w:p>
          <w:p w:rsidR="00755821" w:rsidRDefault="00755821" w:rsidP="0044095D">
            <w:pPr>
              <w:jc w:val="center"/>
              <w:rPr>
                <w:b/>
                <w:color w:val="1F497D" w:themeColor="text2"/>
              </w:rPr>
            </w:pPr>
          </w:p>
          <w:p w:rsidR="00755821" w:rsidRPr="00755821" w:rsidRDefault="00755821" w:rsidP="0044095D">
            <w:pPr>
              <w:jc w:val="center"/>
              <w:rPr>
                <w:b/>
                <w:color w:val="1F497D" w:themeColor="text2"/>
              </w:rPr>
            </w:pPr>
          </w:p>
        </w:tc>
      </w:tr>
      <w:tr w:rsidR="00392645" w:rsidRPr="00B1581E" w:rsidTr="0044095D">
        <w:trPr>
          <w:trHeight w:val="311"/>
        </w:trPr>
        <w:tc>
          <w:tcPr>
            <w:tcW w:w="11543" w:type="dxa"/>
            <w:gridSpan w:val="6"/>
            <w:tcBorders>
              <w:bottom w:val="single" w:sz="4" w:space="0" w:color="auto"/>
            </w:tcBorders>
            <w:shd w:val="clear" w:color="auto" w:fill="DDDDDD"/>
          </w:tcPr>
          <w:p w:rsidR="00392645" w:rsidRDefault="00392645" w:rsidP="00755821">
            <w:pPr>
              <w:jc w:val="center"/>
              <w:rPr>
                <w:b/>
                <w:color w:val="1F497D" w:themeColor="text2"/>
              </w:rPr>
            </w:pPr>
            <w:r w:rsidRPr="00755821">
              <w:rPr>
                <w:b/>
                <w:color w:val="1F497D" w:themeColor="text2"/>
              </w:rPr>
              <w:t>Learning Objective</w:t>
            </w:r>
          </w:p>
          <w:p w:rsidR="00755821" w:rsidRPr="00755821" w:rsidRDefault="00755821" w:rsidP="00755821">
            <w:pPr>
              <w:rPr>
                <w:b/>
                <w:color w:val="1F497D" w:themeColor="text2"/>
              </w:rPr>
            </w:pPr>
          </w:p>
        </w:tc>
      </w:tr>
      <w:tr w:rsidR="00392645" w:rsidRPr="00B1581E" w:rsidTr="0044095D">
        <w:trPr>
          <w:trHeight w:val="311"/>
        </w:trPr>
        <w:tc>
          <w:tcPr>
            <w:tcW w:w="11543" w:type="dxa"/>
            <w:gridSpan w:val="6"/>
            <w:tcBorders>
              <w:bottom w:val="single" w:sz="4" w:space="0" w:color="auto"/>
            </w:tcBorders>
            <w:shd w:val="clear" w:color="auto" w:fill="DDDDDD"/>
          </w:tcPr>
          <w:p w:rsidR="00392645" w:rsidRDefault="00392645" w:rsidP="00755821">
            <w:pPr>
              <w:jc w:val="center"/>
              <w:rPr>
                <w:b/>
                <w:color w:val="1F497D" w:themeColor="text2"/>
              </w:rPr>
            </w:pPr>
            <w:r w:rsidRPr="00755821">
              <w:rPr>
                <w:b/>
                <w:color w:val="1F497D" w:themeColor="text2"/>
              </w:rPr>
              <w:t>Assessment</w:t>
            </w:r>
          </w:p>
          <w:p w:rsidR="00755821" w:rsidRPr="00755821" w:rsidRDefault="00755821" w:rsidP="00755821">
            <w:pPr>
              <w:rPr>
                <w:b/>
                <w:color w:val="1F497D" w:themeColor="text2"/>
              </w:rPr>
            </w:pPr>
          </w:p>
        </w:tc>
      </w:tr>
      <w:tr w:rsidR="00392645" w:rsidRPr="00B1581E" w:rsidTr="0044095D">
        <w:trPr>
          <w:trHeight w:val="943"/>
        </w:trPr>
        <w:tc>
          <w:tcPr>
            <w:tcW w:w="2003" w:type="dxa"/>
            <w:shd w:val="clear" w:color="auto" w:fill="FDE9D9" w:themeFill="accent6" w:themeFillTint="33"/>
            <w:vAlign w:val="center"/>
          </w:tcPr>
          <w:p w:rsidR="00392645" w:rsidRPr="00392645" w:rsidRDefault="00392645" w:rsidP="0075582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392645">
              <w:rPr>
                <w:b/>
                <w:color w:val="1F497D" w:themeColor="text2"/>
                <w:sz w:val="18"/>
                <w:szCs w:val="18"/>
              </w:rPr>
              <w:t>High Probability</w:t>
            </w:r>
          </w:p>
          <w:p w:rsidR="00392645" w:rsidRDefault="00392645" w:rsidP="0075582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392645">
              <w:rPr>
                <w:b/>
                <w:color w:val="1F497D" w:themeColor="text2"/>
                <w:sz w:val="18"/>
                <w:szCs w:val="18"/>
              </w:rPr>
              <w:t>Environmental Barriers</w:t>
            </w:r>
          </w:p>
          <w:p w:rsidR="00A86B6B" w:rsidRPr="00A86B6B" w:rsidRDefault="00A86B6B" w:rsidP="00755821">
            <w:pPr>
              <w:jc w:val="center"/>
              <w:rPr>
                <w:b/>
                <w:i/>
                <w:color w:val="1F497D" w:themeColor="text2"/>
                <w:sz w:val="12"/>
                <w:szCs w:val="12"/>
              </w:rPr>
            </w:pPr>
            <w:r w:rsidRPr="00A86B6B">
              <w:rPr>
                <w:b/>
                <w:i/>
                <w:color w:val="1F497D" w:themeColor="text2"/>
                <w:sz w:val="12"/>
                <w:szCs w:val="12"/>
              </w:rPr>
              <w:t>(Are there aspects of the learning environment that could interfere with student learning</w:t>
            </w:r>
            <w:r w:rsidR="00993E12">
              <w:rPr>
                <w:b/>
                <w:i/>
                <w:color w:val="1F497D" w:themeColor="text2"/>
                <w:sz w:val="12"/>
                <w:szCs w:val="12"/>
              </w:rPr>
              <w:t>?</w:t>
            </w:r>
            <w:r w:rsidRPr="00A86B6B">
              <w:rPr>
                <w:b/>
                <w:i/>
                <w:color w:val="1F497D" w:themeColor="text2"/>
                <w:sz w:val="12"/>
                <w:szCs w:val="12"/>
              </w:rPr>
              <w:t>)</w:t>
            </w:r>
          </w:p>
        </w:tc>
        <w:tc>
          <w:tcPr>
            <w:tcW w:w="1800" w:type="dxa"/>
            <w:shd w:val="clear" w:color="auto" w:fill="FDE9D9" w:themeFill="accent6" w:themeFillTint="33"/>
            <w:vAlign w:val="center"/>
          </w:tcPr>
          <w:p w:rsidR="00A86B6B" w:rsidRDefault="00A86B6B" w:rsidP="0075582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</w:p>
          <w:p w:rsidR="00392645" w:rsidRPr="00392645" w:rsidRDefault="00392645" w:rsidP="0075582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392645">
              <w:rPr>
                <w:b/>
                <w:color w:val="1F497D" w:themeColor="text2"/>
                <w:sz w:val="18"/>
                <w:szCs w:val="18"/>
              </w:rPr>
              <w:t>High Probability</w:t>
            </w:r>
          </w:p>
          <w:p w:rsidR="00A86B6B" w:rsidRDefault="00392645" w:rsidP="00755821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392645">
              <w:rPr>
                <w:b/>
                <w:color w:val="1F497D" w:themeColor="text2"/>
                <w:sz w:val="18"/>
                <w:szCs w:val="18"/>
              </w:rPr>
              <w:t>Curricular</w:t>
            </w:r>
            <w:r w:rsidR="00755821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392645">
              <w:rPr>
                <w:b/>
                <w:color w:val="1F497D" w:themeColor="text2"/>
                <w:sz w:val="18"/>
                <w:szCs w:val="18"/>
              </w:rPr>
              <w:t>Barriers</w:t>
            </w:r>
          </w:p>
          <w:p w:rsidR="00A86B6B" w:rsidRPr="00392645" w:rsidRDefault="00A86B6B" w:rsidP="00993E12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A86B6B">
              <w:rPr>
                <w:b/>
                <w:i/>
                <w:color w:val="1F497D" w:themeColor="text2"/>
                <w:sz w:val="12"/>
                <w:szCs w:val="12"/>
              </w:rPr>
              <w:t xml:space="preserve">(Are there aspects of the </w:t>
            </w:r>
            <w:r w:rsidR="00993E12">
              <w:rPr>
                <w:b/>
                <w:i/>
                <w:color w:val="1F497D" w:themeColor="text2"/>
                <w:sz w:val="12"/>
                <w:szCs w:val="12"/>
              </w:rPr>
              <w:t>lesson</w:t>
            </w:r>
            <w:r w:rsidRPr="00A86B6B">
              <w:rPr>
                <w:b/>
                <w:i/>
                <w:color w:val="1F497D" w:themeColor="text2"/>
                <w:sz w:val="12"/>
                <w:szCs w:val="12"/>
              </w:rPr>
              <w:t xml:space="preserve"> that could interfere with student learning</w:t>
            </w:r>
            <w:r w:rsidR="00993E12">
              <w:rPr>
                <w:b/>
                <w:i/>
                <w:color w:val="1F497D" w:themeColor="text2"/>
                <w:sz w:val="12"/>
                <w:szCs w:val="12"/>
              </w:rPr>
              <w:t>?</w:t>
            </w:r>
            <w:r w:rsidRPr="00A86B6B">
              <w:rPr>
                <w:b/>
                <w:i/>
                <w:color w:val="1F497D" w:themeColor="text2"/>
                <w:sz w:val="12"/>
                <w:szCs w:val="12"/>
              </w:rPr>
              <w:t>)</w:t>
            </w:r>
          </w:p>
        </w:tc>
        <w:tc>
          <w:tcPr>
            <w:tcW w:w="7740" w:type="dxa"/>
            <w:gridSpan w:val="4"/>
            <w:shd w:val="clear" w:color="auto" w:fill="E5DFEC" w:themeFill="accent4" w:themeFillTint="33"/>
            <w:vAlign w:val="center"/>
          </w:tcPr>
          <w:p w:rsidR="00392645" w:rsidRDefault="00392645" w:rsidP="0044095D">
            <w:pPr>
              <w:jc w:val="center"/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UDL Framework</w:t>
            </w:r>
          </w:p>
          <w:p w:rsidR="00DA7124" w:rsidRPr="00DA7124" w:rsidRDefault="00DA7124" w:rsidP="0044095D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DA7124">
              <w:rPr>
                <w:b/>
                <w:i/>
                <w:color w:val="1F497D" w:themeColor="text2"/>
                <w:sz w:val="16"/>
                <w:szCs w:val="16"/>
              </w:rPr>
              <w:t>(</w:t>
            </w:r>
            <w:r>
              <w:rPr>
                <w:b/>
                <w:i/>
                <w:color w:val="1F497D" w:themeColor="text2"/>
                <w:sz w:val="16"/>
                <w:szCs w:val="16"/>
              </w:rPr>
              <w:t xml:space="preserve">Address barriers to learning by identifying the principles of UDL </w:t>
            </w:r>
            <w:r w:rsidR="00534BE3">
              <w:rPr>
                <w:b/>
                <w:i/>
                <w:color w:val="1F497D" w:themeColor="text2"/>
                <w:sz w:val="16"/>
                <w:szCs w:val="16"/>
              </w:rPr>
              <w:t>you will utilize</w:t>
            </w:r>
            <w:bookmarkStart w:id="0" w:name="_GoBack"/>
            <w:bookmarkEnd w:id="0"/>
            <w:r>
              <w:rPr>
                <w:b/>
                <w:i/>
                <w:color w:val="1F497D" w:themeColor="text2"/>
                <w:sz w:val="16"/>
                <w:szCs w:val="16"/>
              </w:rPr>
              <w:t xml:space="preserve"> in</w:t>
            </w:r>
            <w:r w:rsidR="00993E12">
              <w:rPr>
                <w:b/>
                <w:i/>
                <w:color w:val="1F497D" w:themeColor="text2"/>
                <w:sz w:val="16"/>
                <w:szCs w:val="16"/>
              </w:rPr>
              <w:t xml:space="preserve"> this</w:t>
            </w:r>
            <w:r>
              <w:rPr>
                <w:b/>
                <w:i/>
                <w:color w:val="1F497D" w:themeColor="text2"/>
                <w:sz w:val="16"/>
                <w:szCs w:val="16"/>
              </w:rPr>
              <w:t xml:space="preserve"> lesson.</w:t>
            </w:r>
            <w:r w:rsidRPr="00DA7124">
              <w:rPr>
                <w:b/>
                <w:i/>
                <w:color w:val="1F497D" w:themeColor="text2"/>
                <w:sz w:val="16"/>
                <w:szCs w:val="16"/>
              </w:rPr>
              <w:t>)</w:t>
            </w:r>
          </w:p>
          <w:p w:rsidR="00392645" w:rsidRPr="00507D56" w:rsidRDefault="00392645" w:rsidP="0044095D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392645" w:rsidTr="0044095D">
        <w:trPr>
          <w:cantSplit/>
          <w:trHeight w:val="973"/>
        </w:trPr>
        <w:tc>
          <w:tcPr>
            <w:tcW w:w="200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92645" w:rsidRPr="0056034A" w:rsidRDefault="00392645" w:rsidP="0044095D">
            <w:pPr>
              <w:jc w:val="center"/>
              <w:rPr>
                <w:i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392645" w:rsidRPr="009807B8" w:rsidRDefault="00392645" w:rsidP="0044095D">
            <w:pPr>
              <w:pStyle w:val="ListParagraph"/>
              <w:ind w:left="453"/>
              <w:jc w:val="center"/>
              <w:rPr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color w:val="FF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</w:p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</w:p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 xml:space="preserve">Nurture Self-Regulation </w:t>
            </w:r>
          </w:p>
          <w:p w:rsidR="00392645" w:rsidRPr="00A86B6B" w:rsidRDefault="00392645" w:rsidP="0044095D">
            <w:pPr>
              <w:pStyle w:val="ListParagraph"/>
              <w:ind w:left="45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2"/>
              </w:rPr>
            </w:pPr>
            <w:r w:rsidRPr="00A12477">
              <w:rPr>
                <w:b/>
                <w:bCs/>
                <w:sz w:val="32"/>
              </w:rPr>
              <w:t>Engagement</w:t>
            </w:r>
          </w:p>
          <w:p w:rsidR="00392645" w:rsidRPr="00DF68FE" w:rsidRDefault="00392645" w:rsidP="0044095D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Purposeful, Motivated Learners</w:t>
            </w:r>
          </w:p>
        </w:tc>
      </w:tr>
      <w:tr w:rsidR="00392645" w:rsidTr="0044095D">
        <w:trPr>
          <w:cantSplit/>
          <w:trHeight w:val="1157"/>
        </w:trPr>
        <w:tc>
          <w:tcPr>
            <w:tcW w:w="200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392645" w:rsidRPr="008F247A" w:rsidRDefault="00392645" w:rsidP="0044095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310" w:type="dxa"/>
            <w:gridSpan w:val="2"/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Promote Effort</w:t>
            </w:r>
          </w:p>
        </w:tc>
        <w:tc>
          <w:tcPr>
            <w:tcW w:w="900" w:type="dxa"/>
            <w:vMerge/>
            <w:shd w:val="clear" w:color="auto" w:fill="EAF1DD" w:themeFill="accent3" w:themeFillTint="33"/>
            <w:textDirection w:val="tbRl"/>
            <w:vAlign w:val="center"/>
          </w:tcPr>
          <w:p w:rsidR="00392645" w:rsidRPr="00005466" w:rsidRDefault="00392645" w:rsidP="0044095D">
            <w:pPr>
              <w:ind w:left="113" w:right="113"/>
              <w:jc w:val="center"/>
              <w:rPr>
                <w:rFonts w:cs="Arial"/>
                <w:i/>
                <w:color w:val="000000"/>
                <w:sz w:val="16"/>
                <w:szCs w:val="18"/>
              </w:rPr>
            </w:pPr>
          </w:p>
        </w:tc>
      </w:tr>
      <w:tr w:rsidR="00392645" w:rsidTr="0044095D">
        <w:trPr>
          <w:cantSplit/>
          <w:trHeight w:val="845"/>
        </w:trPr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2645" w:rsidRPr="008F247A" w:rsidRDefault="00392645" w:rsidP="0044095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Encourage Interest</w:t>
            </w:r>
          </w:p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textDirection w:val="tbRl"/>
            <w:vAlign w:val="center"/>
          </w:tcPr>
          <w:p w:rsidR="00392645" w:rsidRPr="00005466" w:rsidRDefault="00392645" w:rsidP="0044095D">
            <w:pPr>
              <w:ind w:left="113" w:right="113"/>
              <w:jc w:val="center"/>
              <w:rPr>
                <w:rFonts w:cs="Arial"/>
                <w:i/>
                <w:color w:val="000000"/>
                <w:sz w:val="16"/>
                <w:szCs w:val="18"/>
              </w:rPr>
            </w:pPr>
          </w:p>
        </w:tc>
      </w:tr>
      <w:tr w:rsidR="00392645" w:rsidTr="0044095D">
        <w:trPr>
          <w:cantSplit/>
          <w:trHeight w:val="1004"/>
        </w:trPr>
        <w:tc>
          <w:tcPr>
            <w:tcW w:w="200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92645" w:rsidRPr="0056034A" w:rsidRDefault="00392645" w:rsidP="0044095D">
            <w:pPr>
              <w:jc w:val="center"/>
              <w:rPr>
                <w:i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392645" w:rsidRPr="00D344B5" w:rsidRDefault="00392645" w:rsidP="004409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Comprehension Strategies</w:t>
            </w:r>
          </w:p>
        </w:tc>
        <w:tc>
          <w:tcPr>
            <w:tcW w:w="900" w:type="dxa"/>
            <w:vMerge w:val="restart"/>
            <w:shd w:val="clear" w:color="auto" w:fill="F2DBDB" w:themeFill="accent2" w:themeFillTint="33"/>
            <w:textDirection w:val="tbRl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2"/>
              </w:rPr>
            </w:pPr>
            <w:r w:rsidRPr="00310C8F">
              <w:rPr>
                <w:b/>
                <w:bCs/>
                <w:sz w:val="32"/>
              </w:rPr>
              <w:t>Representation</w:t>
            </w:r>
            <w:r>
              <w:rPr>
                <w:b/>
                <w:bCs/>
                <w:sz w:val="32"/>
              </w:rPr>
              <w:t xml:space="preserve"> </w:t>
            </w:r>
          </w:p>
          <w:p w:rsidR="00392645" w:rsidRPr="008C77FB" w:rsidRDefault="00392645" w:rsidP="0044095D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Resourceful, Knowledgeable Learners</w:t>
            </w:r>
          </w:p>
        </w:tc>
      </w:tr>
      <w:tr w:rsidR="00392645" w:rsidTr="0044095D">
        <w:trPr>
          <w:cantSplit/>
          <w:trHeight w:val="1071"/>
        </w:trPr>
        <w:tc>
          <w:tcPr>
            <w:tcW w:w="200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392645" w:rsidRPr="008F247A" w:rsidRDefault="00392645" w:rsidP="0044095D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310" w:type="dxa"/>
            <w:gridSpan w:val="2"/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Clarify Language</w:t>
            </w:r>
          </w:p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FDE9D9" w:themeFill="accent6" w:themeFillTint="33"/>
            <w:textDirection w:val="tbRl"/>
            <w:vAlign w:val="center"/>
          </w:tcPr>
          <w:p w:rsidR="00392645" w:rsidRPr="00005466" w:rsidRDefault="00392645" w:rsidP="0044095D">
            <w:pPr>
              <w:ind w:left="113" w:right="113"/>
              <w:jc w:val="center"/>
              <w:rPr>
                <w:i/>
                <w:sz w:val="16"/>
                <w:szCs w:val="18"/>
              </w:rPr>
            </w:pPr>
          </w:p>
        </w:tc>
      </w:tr>
      <w:tr w:rsidR="00392645" w:rsidTr="0044095D">
        <w:trPr>
          <w:cantSplit/>
          <w:trHeight w:val="1097"/>
        </w:trPr>
        <w:tc>
          <w:tcPr>
            <w:tcW w:w="200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2645" w:rsidRPr="00D344B5" w:rsidRDefault="00392645" w:rsidP="0044095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Provide Options for Perception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</w:tcPr>
          <w:p w:rsidR="00392645" w:rsidRPr="00005466" w:rsidRDefault="00392645" w:rsidP="0044095D">
            <w:pPr>
              <w:ind w:left="113" w:right="113"/>
              <w:jc w:val="center"/>
              <w:rPr>
                <w:b/>
                <w:i/>
                <w:sz w:val="16"/>
                <w:szCs w:val="18"/>
              </w:rPr>
            </w:pPr>
          </w:p>
        </w:tc>
      </w:tr>
      <w:tr w:rsidR="00392645" w:rsidTr="0044095D">
        <w:trPr>
          <w:cantSplit/>
          <w:trHeight w:val="977"/>
        </w:trPr>
        <w:tc>
          <w:tcPr>
            <w:tcW w:w="200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392645" w:rsidRPr="0056034A" w:rsidRDefault="00392645" w:rsidP="0044095D">
            <w:pPr>
              <w:jc w:val="center"/>
              <w:rPr>
                <w:i/>
                <w:sz w:val="16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DE9D9" w:themeFill="accent6" w:themeFillTint="33"/>
            <w:vAlign w:val="center"/>
          </w:tcPr>
          <w:p w:rsidR="00392645" w:rsidRPr="001A18F2" w:rsidRDefault="00392645" w:rsidP="004409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shd w:val="clear" w:color="auto" w:fill="DBE5F1" w:themeFill="accent1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Expand Executive Functions</w:t>
            </w:r>
          </w:p>
        </w:tc>
        <w:tc>
          <w:tcPr>
            <w:tcW w:w="900" w:type="dxa"/>
            <w:vMerge w:val="restart"/>
            <w:shd w:val="clear" w:color="auto" w:fill="DBE5F1" w:themeFill="accent1" w:themeFillTint="33"/>
            <w:textDirection w:val="tbRl"/>
            <w:vAlign w:val="center"/>
          </w:tcPr>
          <w:p w:rsidR="00392645" w:rsidRPr="00A603FA" w:rsidRDefault="00392645" w:rsidP="0044095D">
            <w:pPr>
              <w:ind w:left="115" w:right="115"/>
              <w:jc w:val="center"/>
              <w:rPr>
                <w:b/>
                <w:bCs/>
                <w:sz w:val="32"/>
                <w:szCs w:val="32"/>
              </w:rPr>
            </w:pPr>
            <w:r w:rsidRPr="00A603FA">
              <w:rPr>
                <w:b/>
                <w:bCs/>
                <w:sz w:val="32"/>
                <w:szCs w:val="32"/>
              </w:rPr>
              <w:t>Action &amp; Expression</w:t>
            </w:r>
          </w:p>
          <w:p w:rsidR="00392645" w:rsidRPr="00515AAB" w:rsidRDefault="00392645" w:rsidP="0044095D">
            <w:pPr>
              <w:ind w:left="113" w:right="113"/>
              <w:jc w:val="center"/>
              <w:rPr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Strategic, Goal-directed Learners</w:t>
            </w:r>
            <w:r>
              <w:t xml:space="preserve"> </w:t>
            </w:r>
            <w:hyperlink r:id="rId7" w:history="1"/>
          </w:p>
        </w:tc>
      </w:tr>
      <w:tr w:rsidR="00392645" w:rsidTr="00AD0DFF">
        <w:trPr>
          <w:cantSplit/>
          <w:trHeight w:val="1168"/>
        </w:trPr>
        <w:tc>
          <w:tcPr>
            <w:tcW w:w="2003" w:type="dxa"/>
            <w:vMerge/>
            <w:shd w:val="clear" w:color="auto" w:fill="FDE9D9" w:themeFill="accent6" w:themeFillTint="33"/>
            <w:textDirection w:val="btL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  <w:szCs w:val="38"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392645" w:rsidRDefault="00392645" w:rsidP="004409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shd w:val="clear" w:color="auto" w:fill="DBE5F1" w:themeFill="accent1" w:themeFillTint="33"/>
            <w:vAlign w:val="center"/>
          </w:tcPr>
          <w:p w:rsidR="00392645" w:rsidRPr="00A86B6B" w:rsidRDefault="00392645" w:rsidP="0044095D">
            <w:pPr>
              <w:pStyle w:val="ListParagraph"/>
              <w:ind w:left="252"/>
              <w:rPr>
                <w:sz w:val="16"/>
                <w:szCs w:val="16"/>
              </w:rPr>
            </w:pPr>
            <w:r w:rsidRPr="00A86B6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Provide options for Expression and Communication</w:t>
            </w:r>
          </w:p>
        </w:tc>
        <w:tc>
          <w:tcPr>
            <w:tcW w:w="900" w:type="dxa"/>
            <w:vMerge/>
            <w:shd w:val="clear" w:color="auto" w:fill="DBE5F1" w:themeFill="accent1" w:themeFillTint="33"/>
            <w:textDirection w:val="tbRl"/>
          </w:tcPr>
          <w:p w:rsidR="00392645" w:rsidRPr="00005466" w:rsidRDefault="00392645" w:rsidP="0044095D">
            <w:pPr>
              <w:ind w:left="113" w:right="113"/>
              <w:rPr>
                <w:i/>
                <w:sz w:val="16"/>
                <w:szCs w:val="18"/>
              </w:rPr>
            </w:pPr>
          </w:p>
        </w:tc>
      </w:tr>
      <w:tr w:rsidR="00392645" w:rsidTr="00AD0DFF">
        <w:trPr>
          <w:cantSplit/>
          <w:trHeight w:val="1087"/>
        </w:trPr>
        <w:tc>
          <w:tcPr>
            <w:tcW w:w="2003" w:type="dxa"/>
            <w:vMerge/>
            <w:shd w:val="clear" w:color="auto" w:fill="FDE9D9" w:themeFill="accent6" w:themeFillTint="33"/>
            <w:textDirection w:val="btLr"/>
          </w:tcPr>
          <w:p w:rsidR="00392645" w:rsidRDefault="00392645" w:rsidP="0044095D">
            <w:pPr>
              <w:ind w:left="113" w:right="113"/>
              <w:jc w:val="center"/>
              <w:rPr>
                <w:b/>
                <w:bCs/>
                <w:sz w:val="36"/>
                <w:szCs w:val="38"/>
              </w:rPr>
            </w:pPr>
          </w:p>
        </w:tc>
        <w:tc>
          <w:tcPr>
            <w:tcW w:w="1800" w:type="dxa"/>
            <w:vMerge/>
            <w:shd w:val="clear" w:color="auto" w:fill="FDE9D9" w:themeFill="accent6" w:themeFillTint="33"/>
            <w:vAlign w:val="center"/>
          </w:tcPr>
          <w:p w:rsidR="00392645" w:rsidRDefault="00392645" w:rsidP="004409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shd w:val="clear" w:color="auto" w:fill="DBE5F1" w:themeFill="accent1" w:themeFillTint="33"/>
            <w:vAlign w:val="center"/>
          </w:tcPr>
          <w:p w:rsidR="00392645" w:rsidRPr="00A86B6B" w:rsidRDefault="00392645" w:rsidP="00AD0DFF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392645" w:rsidRPr="00A86B6B" w:rsidRDefault="00392645" w:rsidP="0044095D">
            <w:pPr>
              <w:jc w:val="center"/>
              <w:rPr>
                <w:b/>
                <w:sz w:val="16"/>
                <w:szCs w:val="16"/>
              </w:rPr>
            </w:pPr>
            <w:r w:rsidRPr="00A86B6B">
              <w:rPr>
                <w:b/>
                <w:sz w:val="16"/>
                <w:szCs w:val="16"/>
              </w:rPr>
              <w:t>Promote Physical Interaction</w:t>
            </w:r>
          </w:p>
        </w:tc>
        <w:tc>
          <w:tcPr>
            <w:tcW w:w="900" w:type="dxa"/>
            <w:vMerge/>
            <w:shd w:val="clear" w:color="auto" w:fill="DBE5F1" w:themeFill="accent1" w:themeFillTint="33"/>
            <w:textDirection w:val="tbRl"/>
          </w:tcPr>
          <w:p w:rsidR="00392645" w:rsidRPr="00005466" w:rsidRDefault="00392645" w:rsidP="0044095D">
            <w:pPr>
              <w:ind w:left="113" w:right="113"/>
              <w:rPr>
                <w:i/>
                <w:sz w:val="16"/>
                <w:szCs w:val="18"/>
              </w:rPr>
            </w:pPr>
          </w:p>
        </w:tc>
      </w:tr>
    </w:tbl>
    <w:p w:rsidR="00392645" w:rsidRPr="006243E3" w:rsidRDefault="00392645" w:rsidP="000B0BD1">
      <w:pPr>
        <w:rPr>
          <w:sz w:val="10"/>
          <w:szCs w:val="10"/>
        </w:rPr>
      </w:pPr>
    </w:p>
    <w:sectPr w:rsidR="00392645" w:rsidRPr="006243E3" w:rsidSect="00A86B6B">
      <w:footerReference w:type="default" r:id="rId8"/>
      <w:pgSz w:w="12240" w:h="15840" w:code="1"/>
      <w:pgMar w:top="180" w:right="720" w:bottom="288" w:left="720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50" w:rsidRDefault="00A53350" w:rsidP="00A603FA">
      <w:r>
        <w:separator/>
      </w:r>
    </w:p>
  </w:endnote>
  <w:endnote w:type="continuationSeparator" w:id="0">
    <w:p w:rsidR="00A53350" w:rsidRDefault="00A53350" w:rsidP="00A60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E3" w:rsidRDefault="006224C9" w:rsidP="006224C9">
    <w:pPr>
      <w:pStyle w:val="Footer"/>
    </w:pPr>
    <w:r>
      <w:rPr>
        <w:rFonts w:eastAsia="Times New Roman"/>
        <w:color w:val="000000"/>
        <w:sz w:val="21"/>
        <w:szCs w:val="21"/>
      </w:rPr>
      <w:t>Based on the UDL principles defined by CAST — see David H. Rose &amp; Anne Meyer, Teaching Every Student in the Digital Age: Universal Design for Learning, ASCD, 2002) and the UDL Guidelines (CAST, 2011). </w:t>
    </w:r>
  </w:p>
  <w:p w:rsidR="006243E3" w:rsidRDefault="006243E3" w:rsidP="00AD0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50" w:rsidRDefault="00A53350" w:rsidP="00A603FA">
      <w:r>
        <w:separator/>
      </w:r>
    </w:p>
  </w:footnote>
  <w:footnote w:type="continuationSeparator" w:id="0">
    <w:p w:rsidR="00A53350" w:rsidRDefault="00A53350" w:rsidP="00A60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603FA"/>
    <w:rsid w:val="000614A3"/>
    <w:rsid w:val="000B0BD1"/>
    <w:rsid w:val="000F748A"/>
    <w:rsid w:val="0015214A"/>
    <w:rsid w:val="002713DC"/>
    <w:rsid w:val="00392645"/>
    <w:rsid w:val="00475202"/>
    <w:rsid w:val="004B110C"/>
    <w:rsid w:val="005242EA"/>
    <w:rsid w:val="00534BE3"/>
    <w:rsid w:val="005C3461"/>
    <w:rsid w:val="00613C14"/>
    <w:rsid w:val="006224C9"/>
    <w:rsid w:val="006243E3"/>
    <w:rsid w:val="0067137D"/>
    <w:rsid w:val="00755821"/>
    <w:rsid w:val="007742BE"/>
    <w:rsid w:val="008267AA"/>
    <w:rsid w:val="0091455C"/>
    <w:rsid w:val="009257F3"/>
    <w:rsid w:val="00960352"/>
    <w:rsid w:val="00993E12"/>
    <w:rsid w:val="00A53350"/>
    <w:rsid w:val="00A603FA"/>
    <w:rsid w:val="00A86B6B"/>
    <w:rsid w:val="00AD0DFF"/>
    <w:rsid w:val="00BB57F5"/>
    <w:rsid w:val="00C40BAC"/>
    <w:rsid w:val="00CC0ACA"/>
    <w:rsid w:val="00CF6BC2"/>
    <w:rsid w:val="00D868A7"/>
    <w:rsid w:val="00D9209F"/>
    <w:rsid w:val="00DA7124"/>
    <w:rsid w:val="00DE6B49"/>
    <w:rsid w:val="00E12D51"/>
    <w:rsid w:val="00E8151F"/>
    <w:rsid w:val="00F45EC5"/>
    <w:rsid w:val="00F5310A"/>
    <w:rsid w:val="00F5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3FA"/>
  </w:style>
  <w:style w:type="paragraph" w:styleId="Footer">
    <w:name w:val="footer"/>
    <w:basedOn w:val="Normal"/>
    <w:link w:val="FooterChar"/>
    <w:uiPriority w:val="99"/>
    <w:unhideWhenUsed/>
    <w:rsid w:val="00A60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3FA"/>
  </w:style>
  <w:style w:type="paragraph" w:styleId="BalloonText">
    <w:name w:val="Balloon Text"/>
    <w:basedOn w:val="Normal"/>
    <w:link w:val="BalloonTextChar"/>
    <w:uiPriority w:val="99"/>
    <w:semiHidden/>
    <w:unhideWhenUsed/>
    <w:rsid w:val="00A60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42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dlcenter.org/implementation/examp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scmaj-nj</dc:creator>
  <cp:lastModifiedBy>pmcdonal</cp:lastModifiedBy>
  <cp:revision>4</cp:revision>
  <dcterms:created xsi:type="dcterms:W3CDTF">2016-09-22T16:31:00Z</dcterms:created>
  <dcterms:modified xsi:type="dcterms:W3CDTF">2016-09-22T16:42:00Z</dcterms:modified>
</cp:coreProperties>
</file>