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8A8C" w14:textId="77777777" w:rsidR="00E6759D" w:rsidRDefault="00E6759D" w:rsidP="00E6759D">
      <w:pPr>
        <w:tabs>
          <w:tab w:val="left" w:pos="10080"/>
        </w:tabs>
        <w:ind w:left="810" w:right="720"/>
        <w:jc w:val="both"/>
      </w:pPr>
    </w:p>
    <w:p w14:paraId="54B4DFB2" w14:textId="77777777" w:rsidR="00E6759D" w:rsidRDefault="00E6759D" w:rsidP="00E6759D">
      <w:pPr>
        <w:contextualSpacing/>
      </w:pPr>
      <w:r>
        <w:rPr>
          <w:b/>
        </w:rPr>
        <w:t xml:space="preserve">To: </w:t>
      </w:r>
      <w:r>
        <w:rPr>
          <w:b/>
        </w:rPr>
        <w:tab/>
      </w:r>
      <w:r>
        <w:rPr>
          <w:b/>
        </w:rPr>
        <w:tab/>
      </w:r>
      <w:r w:rsidRPr="003A37A2">
        <w:t>All Local Workforce Development Board Directors</w:t>
      </w:r>
    </w:p>
    <w:p w14:paraId="39F68A68" w14:textId="77777777" w:rsidR="00E6759D" w:rsidRDefault="00E6759D" w:rsidP="00E6759D">
      <w:pPr>
        <w:contextualSpacing/>
        <w:rPr>
          <w:b/>
        </w:rPr>
      </w:pPr>
      <w:r>
        <w:tab/>
      </w:r>
      <w:r>
        <w:tab/>
      </w:r>
      <w:r w:rsidRPr="003A37A2">
        <w:t xml:space="preserve">All Local Workforce Development Board </w:t>
      </w:r>
      <w:r>
        <w:t>Chairs</w:t>
      </w:r>
    </w:p>
    <w:p w14:paraId="4228785F" w14:textId="77777777" w:rsidR="00E6759D" w:rsidRPr="007979F8" w:rsidRDefault="00E6759D" w:rsidP="00E6759D">
      <w:pPr>
        <w:contextualSpacing/>
      </w:pPr>
      <w:r>
        <w:rPr>
          <w:b/>
        </w:rPr>
        <w:t xml:space="preserve">From: </w:t>
      </w:r>
      <w:r>
        <w:rPr>
          <w:b/>
        </w:rPr>
        <w:tab/>
      </w:r>
      <w:r>
        <w:rPr>
          <w:b/>
        </w:rPr>
        <w:tab/>
      </w:r>
      <w:r w:rsidRPr="009327E2">
        <w:t>Dr.</w:t>
      </w:r>
      <w:r>
        <w:rPr>
          <w:b/>
        </w:rPr>
        <w:t xml:space="preserve"> </w:t>
      </w:r>
      <w:r>
        <w:t>Yolanda Allen, Assistant Commissioner, Workforce Development</w:t>
      </w:r>
    </w:p>
    <w:p w14:paraId="259E9E05" w14:textId="3C9A2F74" w:rsidR="00E6759D" w:rsidRPr="005C7066" w:rsidRDefault="00E6759D" w:rsidP="00E6759D">
      <w:pPr>
        <w:contextualSpacing/>
      </w:pPr>
      <w:r>
        <w:rPr>
          <w:b/>
        </w:rPr>
        <w:t xml:space="preserve">Date: </w:t>
      </w:r>
      <w:r>
        <w:rPr>
          <w:b/>
        </w:rPr>
        <w:tab/>
      </w:r>
      <w:r>
        <w:rPr>
          <w:b/>
        </w:rPr>
        <w:tab/>
      </w:r>
      <w:r w:rsidR="00DD7B73">
        <w:t xml:space="preserve">October </w:t>
      </w:r>
      <w:r w:rsidR="007625FB">
        <w:t>19, 2023</w:t>
      </w:r>
    </w:p>
    <w:p w14:paraId="5120E08F" w14:textId="4CBAC50E" w:rsidR="00E6759D" w:rsidRDefault="00E6759D" w:rsidP="00EF581A">
      <w:pPr>
        <w:ind w:left="1440" w:hanging="1440"/>
        <w:contextualSpacing/>
      </w:pPr>
      <w:r>
        <w:rPr>
          <w:b/>
        </w:rPr>
        <w:t xml:space="preserve">Subject: </w:t>
      </w:r>
      <w:r>
        <w:t xml:space="preserve"> </w:t>
      </w:r>
      <w:r>
        <w:tab/>
        <w:t xml:space="preserve">Release of </w:t>
      </w:r>
      <w:r w:rsidR="00EF581A">
        <w:t xml:space="preserve">United Stated Department of Labor Employment and Training Administration guidance </w:t>
      </w:r>
      <w:r w:rsidR="00916AB0">
        <w:t>r</w:t>
      </w:r>
      <w:r>
        <w:t>egarding allowable outreach activities</w:t>
      </w:r>
    </w:p>
    <w:p w14:paraId="63F03971" w14:textId="04A8BE39" w:rsidR="00DD67C6" w:rsidRDefault="00DD67C6" w:rsidP="00EF581A">
      <w:pPr>
        <w:ind w:left="1440" w:hanging="1440"/>
        <w:contextualSpacing/>
      </w:pPr>
      <w:r>
        <w:rPr>
          <w:b/>
        </w:rPr>
        <w:t>Reference:</w:t>
      </w:r>
      <w:r>
        <w:tab/>
        <w:t>WD</w:t>
      </w:r>
      <w:r w:rsidR="00BE4868">
        <w:t>PS-PY23-</w:t>
      </w:r>
      <w:r w:rsidR="00B7076B">
        <w:t>1</w:t>
      </w:r>
    </w:p>
    <w:p w14:paraId="7553B75F" w14:textId="77777777" w:rsidR="00E6759D" w:rsidRDefault="00E6759D" w:rsidP="00E6759D">
      <w:pPr>
        <w:contextualSpacing/>
      </w:pPr>
      <w:r>
        <w:rPr>
          <w:b/>
          <w:noProof/>
        </w:rPr>
        <mc:AlternateContent>
          <mc:Choice Requires="wps">
            <w:drawing>
              <wp:anchor distT="0" distB="0" distL="114300" distR="114300" simplePos="0" relativeHeight="251659264" behindDoc="0" locked="0" layoutInCell="1" allowOverlap="1" wp14:anchorId="4A7932BE" wp14:editId="269C7BD1">
                <wp:simplePos x="0" y="0"/>
                <wp:positionH relativeFrom="margin">
                  <wp:align>right</wp:align>
                </wp:positionH>
                <wp:positionV relativeFrom="paragraph">
                  <wp:posOffset>123938</wp:posOffset>
                </wp:positionV>
                <wp:extent cx="5925312" cy="9144"/>
                <wp:effectExtent l="0" t="0" r="37465" b="29210"/>
                <wp:wrapNone/>
                <wp:docPr id="3" name="Straight Connector 3"/>
                <wp:cNvGraphicFramePr/>
                <a:graphic xmlns:a="http://schemas.openxmlformats.org/drawingml/2006/main">
                  <a:graphicData uri="http://schemas.microsoft.com/office/word/2010/wordprocessingShape">
                    <wps:wsp>
                      <wps:cNvCnPr/>
                      <wps:spPr>
                        <a:xfrm flipV="1">
                          <a:off x="0" y="0"/>
                          <a:ext cx="5925312" cy="9144"/>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586FB" id="Straight Connector 3"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35pt,9.75pt" to="881.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" strokecolor="#4472c4 [3204]" strokeweight="1.25pt">
                <v:stroke joinstyle="miter"/>
                <w10:wrap anchorx="margin"/>
              </v:line>
            </w:pict>
          </mc:Fallback>
        </mc:AlternateContent>
      </w:r>
    </w:p>
    <w:p w14:paraId="27AEA728" w14:textId="77777777" w:rsidR="00E6759D" w:rsidRDefault="00E6759D" w:rsidP="00E6759D">
      <w:pPr>
        <w:contextualSpacing/>
      </w:pPr>
    </w:p>
    <w:p w14:paraId="724F75E1" w14:textId="77777777" w:rsidR="00E6759D" w:rsidRPr="001B12A9" w:rsidRDefault="00E6759D" w:rsidP="00E6759D">
      <w:pPr>
        <w:contextualSpacing/>
        <w:jc w:val="both"/>
        <w:rPr>
          <w:rFonts w:cstheme="minorHAnsi"/>
          <w:sz w:val="22"/>
          <w:szCs w:val="22"/>
        </w:rPr>
      </w:pPr>
      <w:r w:rsidRPr="001B12A9">
        <w:rPr>
          <w:rFonts w:cstheme="minorHAnsi"/>
          <w:sz w:val="22"/>
          <w:szCs w:val="22"/>
        </w:rPr>
        <w:t xml:space="preserve">The United States Department of Labor </w:t>
      </w:r>
      <w:r w:rsidR="00B8191C" w:rsidRPr="001B12A9">
        <w:rPr>
          <w:rFonts w:cstheme="minorHAnsi"/>
          <w:sz w:val="22"/>
          <w:szCs w:val="22"/>
        </w:rPr>
        <w:t xml:space="preserve">Employment and Training Agency </w:t>
      </w:r>
      <w:r w:rsidRPr="001B12A9">
        <w:rPr>
          <w:rFonts w:cstheme="minorHAnsi"/>
          <w:sz w:val="22"/>
          <w:szCs w:val="22"/>
        </w:rPr>
        <w:t>(</w:t>
      </w:r>
      <w:r w:rsidR="00B8191C" w:rsidRPr="001B12A9">
        <w:rPr>
          <w:rFonts w:cstheme="minorHAnsi"/>
          <w:sz w:val="22"/>
          <w:szCs w:val="22"/>
        </w:rPr>
        <w:t>ETA</w:t>
      </w:r>
      <w:r w:rsidRPr="001B12A9">
        <w:rPr>
          <w:rFonts w:cstheme="minorHAnsi"/>
          <w:sz w:val="22"/>
          <w:szCs w:val="22"/>
        </w:rPr>
        <w:t xml:space="preserve">) released new policy guidance, </w:t>
      </w:r>
      <w:r w:rsidR="00D370E5" w:rsidRPr="001B12A9">
        <w:rPr>
          <w:rFonts w:cstheme="minorHAnsi"/>
          <w:sz w:val="22"/>
          <w:szCs w:val="22"/>
        </w:rPr>
        <w:t>Training and Employment Guidance Letter (TEGL)</w:t>
      </w:r>
      <w:r w:rsidRPr="001B12A9">
        <w:rPr>
          <w:rFonts w:cstheme="minorHAnsi"/>
          <w:sz w:val="22"/>
          <w:szCs w:val="22"/>
        </w:rPr>
        <w:t xml:space="preserve"> </w:t>
      </w:r>
      <w:r w:rsidR="00182E5E" w:rsidRPr="001B12A9">
        <w:rPr>
          <w:rFonts w:cstheme="minorHAnsi"/>
          <w:sz w:val="22"/>
          <w:szCs w:val="22"/>
        </w:rPr>
        <w:t>3-2</w:t>
      </w:r>
      <w:r w:rsidR="00ED4A10" w:rsidRPr="001B12A9">
        <w:rPr>
          <w:rFonts w:cstheme="minorHAnsi"/>
          <w:sz w:val="22"/>
          <w:szCs w:val="22"/>
        </w:rPr>
        <w:t>3</w:t>
      </w:r>
      <w:r w:rsidRPr="001B12A9">
        <w:rPr>
          <w:rFonts w:cstheme="minorHAnsi"/>
          <w:sz w:val="22"/>
          <w:szCs w:val="22"/>
        </w:rPr>
        <w:t xml:space="preserve">, on </w:t>
      </w:r>
      <w:r w:rsidR="00ED4A10" w:rsidRPr="001B12A9">
        <w:rPr>
          <w:rFonts w:cstheme="minorHAnsi"/>
          <w:sz w:val="22"/>
          <w:szCs w:val="22"/>
        </w:rPr>
        <w:t>September 6, 2023</w:t>
      </w:r>
      <w:r w:rsidRPr="001B12A9">
        <w:rPr>
          <w:rFonts w:cstheme="minorHAnsi"/>
          <w:sz w:val="22"/>
          <w:szCs w:val="22"/>
        </w:rPr>
        <w:t xml:space="preserve">, entitled </w:t>
      </w:r>
      <w:r w:rsidR="002E59EF" w:rsidRPr="001B12A9">
        <w:rPr>
          <w:rFonts w:cstheme="minorHAnsi"/>
          <w:i/>
          <w:sz w:val="22"/>
          <w:szCs w:val="22"/>
        </w:rPr>
        <w:t>Allowable Uses of Funds for Outreach Activities for Federal Formula and Competitive Grant Awards</w:t>
      </w:r>
      <w:r w:rsidR="002E59EF" w:rsidRPr="001B12A9">
        <w:rPr>
          <w:rFonts w:cstheme="minorHAnsi"/>
          <w:sz w:val="22"/>
          <w:szCs w:val="22"/>
        </w:rPr>
        <w:t>.</w:t>
      </w:r>
      <w:r w:rsidRPr="001B12A9">
        <w:rPr>
          <w:rFonts w:cstheme="minorHAnsi"/>
          <w:sz w:val="22"/>
          <w:szCs w:val="22"/>
        </w:rPr>
        <w:t xml:space="preserve"> Please see the policy summary below regarding key provisions from this guidance.</w:t>
      </w:r>
    </w:p>
    <w:p w14:paraId="6D6A3C76" w14:textId="77777777" w:rsidR="00E6759D" w:rsidRPr="001B12A9" w:rsidRDefault="00E6759D" w:rsidP="00E6759D">
      <w:pPr>
        <w:contextualSpacing/>
        <w:jc w:val="both"/>
        <w:rPr>
          <w:rFonts w:cstheme="minorHAnsi"/>
          <w:sz w:val="22"/>
          <w:szCs w:val="22"/>
        </w:rPr>
      </w:pPr>
    </w:p>
    <w:p w14:paraId="1F9E614C" w14:textId="77777777" w:rsidR="00E6759D" w:rsidRPr="001B12A9" w:rsidRDefault="00E6759D" w:rsidP="00E6759D">
      <w:pPr>
        <w:contextualSpacing/>
        <w:jc w:val="both"/>
        <w:rPr>
          <w:rFonts w:cstheme="minorHAnsi"/>
          <w:sz w:val="22"/>
          <w:szCs w:val="22"/>
        </w:rPr>
      </w:pPr>
      <w:r w:rsidRPr="001B12A9">
        <w:rPr>
          <w:rFonts w:cstheme="minorHAnsi"/>
          <w:sz w:val="22"/>
          <w:szCs w:val="22"/>
        </w:rPr>
        <w:t>The full TEGL can be found here:</w:t>
      </w:r>
      <w:r w:rsidR="00D370E5" w:rsidRPr="001B12A9">
        <w:rPr>
          <w:rFonts w:cstheme="minorHAnsi"/>
          <w:sz w:val="22"/>
          <w:szCs w:val="22"/>
        </w:rPr>
        <w:t xml:space="preserve"> </w:t>
      </w:r>
      <w:hyperlink r:id="rId10" w:history="1">
        <w:r w:rsidR="00D370E5" w:rsidRPr="001B12A9">
          <w:rPr>
            <w:rStyle w:val="Hyperlink"/>
            <w:rFonts w:cstheme="minorHAnsi"/>
            <w:sz w:val="22"/>
            <w:szCs w:val="22"/>
          </w:rPr>
          <w:t>TEGL 3-23</w:t>
        </w:r>
      </w:hyperlink>
    </w:p>
    <w:p w14:paraId="1A075FC7" w14:textId="77777777" w:rsidR="00E6759D" w:rsidRPr="001B12A9" w:rsidRDefault="00E6759D" w:rsidP="00E6759D">
      <w:pPr>
        <w:contextualSpacing/>
        <w:jc w:val="both"/>
        <w:rPr>
          <w:rFonts w:cstheme="minorHAnsi"/>
          <w:sz w:val="22"/>
          <w:szCs w:val="22"/>
        </w:rPr>
      </w:pPr>
    </w:p>
    <w:p w14:paraId="27F20D7E" w14:textId="77777777" w:rsidR="00E6759D" w:rsidRPr="001B12A9" w:rsidRDefault="00E6759D" w:rsidP="00E6759D">
      <w:pPr>
        <w:contextualSpacing/>
        <w:jc w:val="both"/>
        <w:rPr>
          <w:rFonts w:cstheme="minorHAnsi"/>
          <w:b/>
          <w:bCs/>
          <w:sz w:val="22"/>
          <w:szCs w:val="22"/>
        </w:rPr>
      </w:pPr>
    </w:p>
    <w:p w14:paraId="0BFC5718" w14:textId="77777777" w:rsidR="00E6759D" w:rsidRPr="001B12A9" w:rsidRDefault="00E6759D" w:rsidP="00E6759D">
      <w:pPr>
        <w:contextualSpacing/>
        <w:jc w:val="both"/>
        <w:rPr>
          <w:rFonts w:cstheme="minorHAnsi"/>
          <w:b/>
          <w:bCs/>
          <w:sz w:val="22"/>
          <w:szCs w:val="22"/>
        </w:rPr>
      </w:pPr>
      <w:r w:rsidRPr="001B12A9">
        <w:rPr>
          <w:rFonts w:cstheme="minorHAnsi"/>
          <w:b/>
          <w:bCs/>
          <w:sz w:val="22"/>
          <w:szCs w:val="22"/>
        </w:rPr>
        <w:t>POLICY SUMMARY</w:t>
      </w:r>
    </w:p>
    <w:p w14:paraId="6AA5EFA9" w14:textId="77777777" w:rsidR="0004308D" w:rsidRPr="001B12A9" w:rsidRDefault="00895864" w:rsidP="00EF581A">
      <w:pPr>
        <w:jc w:val="both"/>
        <w:rPr>
          <w:rFonts w:cstheme="minorHAnsi"/>
          <w:sz w:val="22"/>
          <w:szCs w:val="22"/>
        </w:rPr>
      </w:pPr>
      <w:r w:rsidRPr="001B12A9">
        <w:rPr>
          <w:rFonts w:cstheme="minorHAnsi"/>
          <w:sz w:val="22"/>
          <w:szCs w:val="22"/>
        </w:rPr>
        <w:t>TEGL 3-2</w:t>
      </w:r>
      <w:r w:rsidR="008C2933" w:rsidRPr="001B12A9">
        <w:rPr>
          <w:rFonts w:cstheme="minorHAnsi"/>
          <w:sz w:val="22"/>
          <w:szCs w:val="22"/>
        </w:rPr>
        <w:t>3</w:t>
      </w:r>
      <w:r w:rsidRPr="001B12A9">
        <w:rPr>
          <w:rFonts w:cstheme="minorHAnsi"/>
          <w:sz w:val="22"/>
          <w:szCs w:val="22"/>
        </w:rPr>
        <w:t xml:space="preserve"> provides</w:t>
      </w:r>
      <w:r w:rsidR="008B1345" w:rsidRPr="001B12A9">
        <w:rPr>
          <w:rFonts w:cstheme="minorHAnsi"/>
          <w:sz w:val="22"/>
          <w:szCs w:val="22"/>
        </w:rPr>
        <w:t xml:space="preserve"> grantees</w:t>
      </w:r>
      <w:r w:rsidRPr="001B12A9">
        <w:rPr>
          <w:rFonts w:cstheme="minorHAnsi"/>
          <w:sz w:val="22"/>
          <w:szCs w:val="22"/>
        </w:rPr>
        <w:t xml:space="preserve"> with guidance around the use of </w:t>
      </w:r>
      <w:r w:rsidR="00B616B2" w:rsidRPr="001B12A9">
        <w:rPr>
          <w:rFonts w:cstheme="minorHAnsi"/>
          <w:sz w:val="22"/>
          <w:szCs w:val="22"/>
        </w:rPr>
        <w:t>f</w:t>
      </w:r>
      <w:r w:rsidR="008B1345" w:rsidRPr="001B12A9">
        <w:rPr>
          <w:rFonts w:cstheme="minorHAnsi"/>
          <w:sz w:val="22"/>
          <w:szCs w:val="22"/>
        </w:rPr>
        <w:t xml:space="preserve">ormula and </w:t>
      </w:r>
      <w:r w:rsidR="00B616B2" w:rsidRPr="001B12A9">
        <w:rPr>
          <w:rFonts w:cstheme="minorHAnsi"/>
          <w:sz w:val="22"/>
          <w:szCs w:val="22"/>
        </w:rPr>
        <w:t>discretionary</w:t>
      </w:r>
      <w:r w:rsidR="008B1345" w:rsidRPr="001B12A9">
        <w:rPr>
          <w:rFonts w:cstheme="minorHAnsi"/>
          <w:sz w:val="22"/>
          <w:szCs w:val="22"/>
        </w:rPr>
        <w:t xml:space="preserve"> Federal</w:t>
      </w:r>
      <w:r w:rsidRPr="001B12A9">
        <w:rPr>
          <w:rFonts w:cstheme="minorHAnsi"/>
          <w:sz w:val="22"/>
          <w:szCs w:val="22"/>
        </w:rPr>
        <w:t xml:space="preserve"> funds for outreach activities</w:t>
      </w:r>
      <w:r w:rsidR="00ED4A10" w:rsidRPr="001B12A9">
        <w:rPr>
          <w:rFonts w:cstheme="minorHAnsi"/>
          <w:sz w:val="22"/>
          <w:szCs w:val="22"/>
        </w:rPr>
        <w:t xml:space="preserve"> to underserved populations</w:t>
      </w:r>
      <w:r w:rsidRPr="001B12A9">
        <w:rPr>
          <w:rFonts w:cstheme="minorHAnsi"/>
          <w:sz w:val="22"/>
          <w:szCs w:val="22"/>
        </w:rPr>
        <w:t>.  The guidance includes allowable and unallowable activities, requirements</w:t>
      </w:r>
      <w:r w:rsidR="00ED4A10" w:rsidRPr="001B12A9">
        <w:rPr>
          <w:rFonts w:cstheme="minorHAnsi"/>
          <w:sz w:val="22"/>
          <w:szCs w:val="22"/>
        </w:rPr>
        <w:t>,</w:t>
      </w:r>
      <w:r w:rsidRPr="001B12A9">
        <w:rPr>
          <w:rFonts w:cstheme="minorHAnsi"/>
          <w:sz w:val="22"/>
          <w:szCs w:val="22"/>
        </w:rPr>
        <w:t xml:space="preserve"> and suggestions for establishing </w:t>
      </w:r>
      <w:r w:rsidR="00ED4A10" w:rsidRPr="001B12A9">
        <w:rPr>
          <w:rFonts w:cstheme="minorHAnsi"/>
          <w:sz w:val="22"/>
          <w:szCs w:val="22"/>
        </w:rPr>
        <w:t>related policies</w:t>
      </w:r>
      <w:r w:rsidRPr="001B12A9">
        <w:rPr>
          <w:rFonts w:cstheme="minorHAnsi"/>
          <w:sz w:val="22"/>
          <w:szCs w:val="22"/>
        </w:rPr>
        <w:t xml:space="preserve">. </w:t>
      </w:r>
      <w:r w:rsidR="008B1345" w:rsidRPr="001B12A9">
        <w:rPr>
          <w:rFonts w:cstheme="minorHAnsi"/>
          <w:sz w:val="22"/>
          <w:szCs w:val="22"/>
        </w:rPr>
        <w:t xml:space="preserve">The guidance applies to State Workforce Agencies, State Workforce Development Boards (WDBs), Local WDBs, and </w:t>
      </w:r>
      <w:r w:rsidR="00B8191C" w:rsidRPr="001B12A9">
        <w:rPr>
          <w:rFonts w:cstheme="minorHAnsi"/>
          <w:sz w:val="22"/>
          <w:szCs w:val="22"/>
        </w:rPr>
        <w:t>competitive grantees</w:t>
      </w:r>
      <w:r w:rsidR="00874CC0" w:rsidRPr="001B12A9">
        <w:rPr>
          <w:rFonts w:cstheme="minorHAnsi"/>
          <w:sz w:val="22"/>
          <w:szCs w:val="22"/>
        </w:rPr>
        <w:t xml:space="preserve"> (such as contracted WIOA Youth providers)</w:t>
      </w:r>
      <w:r w:rsidR="00B8191C" w:rsidRPr="001B12A9">
        <w:rPr>
          <w:rFonts w:cstheme="minorHAnsi"/>
          <w:sz w:val="22"/>
          <w:szCs w:val="22"/>
        </w:rPr>
        <w:t>.</w:t>
      </w:r>
      <w:r w:rsidR="009B0208" w:rsidRPr="001B12A9">
        <w:rPr>
          <w:rFonts w:cstheme="minorHAnsi"/>
          <w:sz w:val="22"/>
          <w:szCs w:val="22"/>
        </w:rPr>
        <w:t xml:space="preserve"> </w:t>
      </w:r>
    </w:p>
    <w:p w14:paraId="7AE80C38" w14:textId="77777777" w:rsidR="00895864" w:rsidRPr="001B12A9" w:rsidRDefault="00895864" w:rsidP="00EF581A">
      <w:pPr>
        <w:jc w:val="both"/>
        <w:rPr>
          <w:rFonts w:cstheme="minorHAnsi"/>
          <w:sz w:val="22"/>
          <w:szCs w:val="22"/>
        </w:rPr>
      </w:pPr>
    </w:p>
    <w:p w14:paraId="3329BAC7" w14:textId="77777777" w:rsidR="00686277" w:rsidRPr="001B12A9" w:rsidRDefault="00686277" w:rsidP="00EF581A">
      <w:pPr>
        <w:jc w:val="both"/>
        <w:rPr>
          <w:rFonts w:cstheme="minorHAnsi"/>
          <w:b/>
          <w:sz w:val="22"/>
          <w:szCs w:val="22"/>
        </w:rPr>
      </w:pPr>
    </w:p>
    <w:p w14:paraId="62EF36A3" w14:textId="77777777" w:rsidR="00C27D23" w:rsidRPr="001B12A9" w:rsidRDefault="00C27D23" w:rsidP="00EF581A">
      <w:pPr>
        <w:jc w:val="both"/>
        <w:rPr>
          <w:rFonts w:cstheme="minorHAnsi"/>
          <w:b/>
          <w:i/>
          <w:iCs/>
          <w:sz w:val="22"/>
          <w:szCs w:val="22"/>
        </w:rPr>
      </w:pPr>
      <w:r w:rsidRPr="001B12A9">
        <w:rPr>
          <w:rFonts w:cstheme="minorHAnsi"/>
          <w:b/>
          <w:i/>
          <w:iCs/>
          <w:sz w:val="22"/>
          <w:szCs w:val="22"/>
        </w:rPr>
        <w:t>Affirmative Outreach</w:t>
      </w:r>
    </w:p>
    <w:p w14:paraId="0E0FFCF6" w14:textId="77777777" w:rsidR="00C27D23" w:rsidRDefault="00B8191C" w:rsidP="00EF581A">
      <w:pPr>
        <w:jc w:val="both"/>
        <w:rPr>
          <w:rFonts w:cstheme="minorHAnsi"/>
          <w:sz w:val="22"/>
          <w:szCs w:val="22"/>
        </w:rPr>
      </w:pPr>
      <w:r w:rsidRPr="001B12A9">
        <w:rPr>
          <w:rFonts w:cstheme="minorHAnsi"/>
          <w:sz w:val="22"/>
          <w:szCs w:val="22"/>
        </w:rPr>
        <w:t>TEGL 3-2</w:t>
      </w:r>
      <w:r w:rsidR="0018301A" w:rsidRPr="001B12A9">
        <w:rPr>
          <w:rFonts w:cstheme="minorHAnsi"/>
          <w:sz w:val="22"/>
          <w:szCs w:val="22"/>
        </w:rPr>
        <w:t>3</w:t>
      </w:r>
      <w:r w:rsidRPr="001B12A9">
        <w:rPr>
          <w:rFonts w:cstheme="minorHAnsi"/>
          <w:sz w:val="22"/>
          <w:szCs w:val="22"/>
        </w:rPr>
        <w:t xml:space="preserve"> states that </w:t>
      </w:r>
      <w:r w:rsidR="00874CC0" w:rsidRPr="001B12A9">
        <w:rPr>
          <w:rFonts w:cstheme="minorHAnsi"/>
          <w:sz w:val="22"/>
          <w:szCs w:val="22"/>
        </w:rPr>
        <w:t>Workforce Innovation and Opportunity Act (</w:t>
      </w:r>
      <w:r w:rsidRPr="001B12A9">
        <w:rPr>
          <w:rFonts w:cstheme="minorHAnsi"/>
          <w:sz w:val="22"/>
          <w:szCs w:val="22"/>
        </w:rPr>
        <w:t>WIOA</w:t>
      </w:r>
      <w:r w:rsidR="00874CC0" w:rsidRPr="001B12A9">
        <w:rPr>
          <w:rFonts w:cstheme="minorHAnsi"/>
          <w:sz w:val="22"/>
          <w:szCs w:val="22"/>
        </w:rPr>
        <w:t>)</w:t>
      </w:r>
      <w:r w:rsidRPr="001B12A9">
        <w:rPr>
          <w:rFonts w:cstheme="minorHAnsi"/>
          <w:sz w:val="22"/>
          <w:szCs w:val="22"/>
        </w:rPr>
        <w:t xml:space="preserve"> recipients are required to conduct affirmative outreach under WIOA Sec. 188 and </w:t>
      </w:r>
      <w:r w:rsidR="00FD60CA" w:rsidRPr="001B12A9">
        <w:rPr>
          <w:rFonts w:cstheme="minorHAnsi"/>
          <w:sz w:val="22"/>
          <w:szCs w:val="22"/>
        </w:rPr>
        <w:t xml:space="preserve">the </w:t>
      </w:r>
      <w:r w:rsidRPr="001B12A9">
        <w:rPr>
          <w:rFonts w:cstheme="minorHAnsi"/>
          <w:sz w:val="22"/>
          <w:szCs w:val="22"/>
        </w:rPr>
        <w:t>regulations under 29</w:t>
      </w:r>
      <w:r w:rsidR="00772D7B" w:rsidRPr="001B12A9">
        <w:rPr>
          <w:rFonts w:cstheme="minorHAnsi"/>
          <w:sz w:val="22"/>
          <w:szCs w:val="22"/>
        </w:rPr>
        <w:t xml:space="preserve"> </w:t>
      </w:r>
      <w:r w:rsidRPr="001B12A9">
        <w:rPr>
          <w:rFonts w:cstheme="minorHAnsi"/>
          <w:sz w:val="22"/>
          <w:szCs w:val="22"/>
        </w:rPr>
        <w:t xml:space="preserve">CFR 38.40. </w:t>
      </w:r>
      <w:r w:rsidR="00772D7B" w:rsidRPr="001B12A9">
        <w:rPr>
          <w:rFonts w:cstheme="minorHAnsi"/>
          <w:sz w:val="22"/>
          <w:szCs w:val="22"/>
        </w:rPr>
        <w:t>Each g</w:t>
      </w:r>
      <w:r w:rsidR="006C1F1E" w:rsidRPr="001B12A9">
        <w:rPr>
          <w:rFonts w:cstheme="minorHAnsi"/>
          <w:sz w:val="22"/>
          <w:szCs w:val="22"/>
        </w:rPr>
        <w:t xml:space="preserve">rantee must ensure that </w:t>
      </w:r>
      <w:r w:rsidR="00FD60CA" w:rsidRPr="001B12A9">
        <w:rPr>
          <w:rFonts w:cstheme="minorHAnsi"/>
          <w:sz w:val="22"/>
          <w:szCs w:val="22"/>
        </w:rPr>
        <w:t xml:space="preserve">it is </w:t>
      </w:r>
      <w:r w:rsidR="006C1F1E" w:rsidRPr="001B12A9">
        <w:rPr>
          <w:rFonts w:cstheme="minorHAnsi"/>
          <w:sz w:val="22"/>
          <w:szCs w:val="22"/>
        </w:rPr>
        <w:t>“promoting “federally-funded activities, services, and programs</w:t>
      </w:r>
      <w:r w:rsidR="00772D7B" w:rsidRPr="001B12A9">
        <w:rPr>
          <w:rFonts w:cstheme="minorHAnsi"/>
          <w:sz w:val="22"/>
          <w:szCs w:val="22"/>
        </w:rPr>
        <w:t xml:space="preserve"> and is not </w:t>
      </w:r>
      <w:r w:rsidR="004B6227" w:rsidRPr="001B12A9">
        <w:rPr>
          <w:rFonts w:cstheme="minorHAnsi"/>
          <w:sz w:val="22"/>
          <w:szCs w:val="22"/>
        </w:rPr>
        <w:t>solely</w:t>
      </w:r>
      <w:r w:rsidR="00772D7B" w:rsidRPr="001B12A9">
        <w:rPr>
          <w:rFonts w:cstheme="minorHAnsi"/>
          <w:sz w:val="22"/>
          <w:szCs w:val="22"/>
        </w:rPr>
        <w:t xml:space="preserve"> promoting the </w:t>
      </w:r>
      <w:r w:rsidR="00FD60CA" w:rsidRPr="001B12A9">
        <w:rPr>
          <w:rFonts w:cstheme="minorHAnsi"/>
          <w:sz w:val="22"/>
          <w:szCs w:val="22"/>
        </w:rPr>
        <w:t xml:space="preserve">organizations’ s </w:t>
      </w:r>
      <w:r w:rsidR="00772D7B" w:rsidRPr="001B12A9">
        <w:rPr>
          <w:rFonts w:cstheme="minorHAnsi"/>
          <w:sz w:val="22"/>
          <w:szCs w:val="22"/>
        </w:rPr>
        <w:t>name recognition or image.”</w:t>
      </w:r>
    </w:p>
    <w:p w14:paraId="0B9C7B44" w14:textId="77777777" w:rsidR="001B12A9" w:rsidRPr="001B12A9" w:rsidRDefault="001B12A9" w:rsidP="00EF581A">
      <w:pPr>
        <w:jc w:val="both"/>
        <w:rPr>
          <w:rFonts w:cstheme="minorHAnsi"/>
          <w:sz w:val="22"/>
          <w:szCs w:val="22"/>
        </w:rPr>
      </w:pPr>
    </w:p>
    <w:p w14:paraId="42E7F1DF" w14:textId="77777777" w:rsidR="001B12A9" w:rsidRDefault="00772D7B" w:rsidP="00EF581A">
      <w:pPr>
        <w:jc w:val="both"/>
        <w:rPr>
          <w:rFonts w:cstheme="minorHAnsi"/>
          <w:sz w:val="22"/>
          <w:szCs w:val="22"/>
        </w:rPr>
        <w:sectPr w:rsidR="001B12A9" w:rsidSect="00CB668F">
          <w:headerReference w:type="default" r:id="rId11"/>
          <w:footerReference w:type="default" r:id="rId12"/>
          <w:headerReference w:type="first" r:id="rId13"/>
          <w:footerReference w:type="first" r:id="rId14"/>
          <w:pgSz w:w="12240" w:h="15840"/>
          <w:pgMar w:top="3600" w:right="1440" w:bottom="2160" w:left="1440" w:header="432" w:footer="144" w:gutter="0"/>
          <w:cols w:space="720"/>
          <w:titlePg/>
          <w:docGrid w:linePitch="360"/>
        </w:sectPr>
      </w:pPr>
      <w:r w:rsidRPr="001B12A9">
        <w:rPr>
          <w:rFonts w:cstheme="minorHAnsi"/>
          <w:sz w:val="22"/>
          <w:szCs w:val="22"/>
        </w:rPr>
        <w:t>29 CFR 38.40 states</w:t>
      </w:r>
      <w:r w:rsidR="00FD60CA" w:rsidRPr="001B12A9">
        <w:rPr>
          <w:rFonts w:cstheme="minorHAnsi"/>
          <w:sz w:val="22"/>
          <w:szCs w:val="22"/>
        </w:rPr>
        <w:t xml:space="preserve"> </w:t>
      </w:r>
      <w:r w:rsidR="00874CC0" w:rsidRPr="001B12A9">
        <w:rPr>
          <w:rFonts w:cstheme="minorHAnsi"/>
          <w:sz w:val="22"/>
          <w:szCs w:val="22"/>
        </w:rPr>
        <w:t>“</w:t>
      </w:r>
      <w:r w:rsidRPr="001B12A9">
        <w:rPr>
          <w:rFonts w:cstheme="minorHAnsi"/>
          <w:sz w:val="22"/>
          <w:szCs w:val="22"/>
        </w:rPr>
        <w:t xml:space="preserve">recipients must take appropriate steps to ensure that they are providing equal access to their WIOA Title I-financially assisted programs and </w:t>
      </w:r>
      <w:r w:rsidR="00414C38" w:rsidRPr="001B12A9">
        <w:rPr>
          <w:rFonts w:cstheme="minorHAnsi"/>
          <w:sz w:val="22"/>
          <w:szCs w:val="22"/>
        </w:rPr>
        <w:t>activities</w:t>
      </w:r>
      <w:r w:rsidRPr="001B12A9">
        <w:rPr>
          <w:rFonts w:cstheme="minorHAnsi"/>
          <w:sz w:val="22"/>
          <w:szCs w:val="22"/>
        </w:rPr>
        <w:t xml:space="preserve">. These steps </w:t>
      </w:r>
      <w:r w:rsidR="00414C38" w:rsidRPr="001B12A9">
        <w:rPr>
          <w:rFonts w:cstheme="minorHAnsi"/>
          <w:sz w:val="22"/>
          <w:szCs w:val="22"/>
        </w:rPr>
        <w:t>should</w:t>
      </w:r>
      <w:r w:rsidRPr="001B12A9">
        <w:rPr>
          <w:rFonts w:cstheme="minorHAnsi"/>
          <w:sz w:val="22"/>
          <w:szCs w:val="22"/>
        </w:rPr>
        <w:t xml:space="preserve"> involv</w:t>
      </w:r>
      <w:r w:rsidR="00874CC0" w:rsidRPr="001B12A9">
        <w:rPr>
          <w:rFonts w:cstheme="minorHAnsi"/>
          <w:sz w:val="22"/>
          <w:szCs w:val="22"/>
        </w:rPr>
        <w:t xml:space="preserve">e </w:t>
      </w:r>
      <w:r w:rsidR="00414C38" w:rsidRPr="001B12A9">
        <w:rPr>
          <w:rFonts w:cstheme="minorHAnsi"/>
          <w:sz w:val="22"/>
          <w:szCs w:val="22"/>
        </w:rPr>
        <w:t>reasonable</w:t>
      </w:r>
      <w:r w:rsidRPr="001B12A9">
        <w:rPr>
          <w:rFonts w:cstheme="minorHAnsi"/>
          <w:sz w:val="22"/>
          <w:szCs w:val="22"/>
        </w:rPr>
        <w:t xml:space="preserve"> efforts to include </w:t>
      </w:r>
      <w:r w:rsidR="00414C38" w:rsidRPr="001B12A9">
        <w:rPr>
          <w:rFonts w:cstheme="minorHAnsi"/>
          <w:sz w:val="22"/>
          <w:szCs w:val="22"/>
        </w:rPr>
        <w:t>members</w:t>
      </w:r>
      <w:r w:rsidRPr="001B12A9">
        <w:rPr>
          <w:rFonts w:cstheme="minorHAnsi"/>
          <w:sz w:val="22"/>
          <w:szCs w:val="22"/>
        </w:rPr>
        <w:t xml:space="preserve"> of the various groups protected by these </w:t>
      </w:r>
      <w:r w:rsidR="00414C38" w:rsidRPr="001B12A9">
        <w:rPr>
          <w:rFonts w:cstheme="minorHAnsi"/>
          <w:sz w:val="22"/>
          <w:szCs w:val="22"/>
        </w:rPr>
        <w:t>regulations</w:t>
      </w:r>
      <w:r w:rsidRPr="001B12A9">
        <w:rPr>
          <w:rFonts w:cstheme="minorHAnsi"/>
          <w:sz w:val="22"/>
          <w:szCs w:val="22"/>
        </w:rPr>
        <w:t xml:space="preserve"> </w:t>
      </w:r>
      <w:r w:rsidR="00414C38" w:rsidRPr="001B12A9">
        <w:rPr>
          <w:rFonts w:cstheme="minorHAnsi"/>
          <w:sz w:val="22"/>
          <w:szCs w:val="22"/>
        </w:rPr>
        <w:t>including</w:t>
      </w:r>
      <w:r w:rsidR="00874CC0" w:rsidRPr="001B12A9">
        <w:rPr>
          <w:rFonts w:cstheme="minorHAnsi"/>
          <w:sz w:val="22"/>
          <w:szCs w:val="22"/>
        </w:rPr>
        <w:t xml:space="preserve"> but</w:t>
      </w:r>
      <w:r w:rsidRPr="001B12A9">
        <w:rPr>
          <w:rFonts w:cstheme="minorHAnsi"/>
          <w:sz w:val="22"/>
          <w:szCs w:val="22"/>
        </w:rPr>
        <w:t xml:space="preserve"> not limited to </w:t>
      </w:r>
      <w:r w:rsidR="00414C38" w:rsidRPr="001B12A9">
        <w:rPr>
          <w:rFonts w:cstheme="minorHAnsi"/>
          <w:sz w:val="22"/>
          <w:szCs w:val="22"/>
        </w:rPr>
        <w:t>persons</w:t>
      </w:r>
      <w:r w:rsidRPr="001B12A9">
        <w:rPr>
          <w:rFonts w:cstheme="minorHAnsi"/>
          <w:sz w:val="22"/>
          <w:szCs w:val="22"/>
        </w:rPr>
        <w:t xml:space="preserve"> </w:t>
      </w:r>
      <w:r w:rsidR="00414C38" w:rsidRPr="001B12A9">
        <w:rPr>
          <w:rFonts w:cstheme="minorHAnsi"/>
          <w:sz w:val="22"/>
          <w:szCs w:val="22"/>
        </w:rPr>
        <w:t>of</w:t>
      </w:r>
      <w:r w:rsidRPr="001B12A9">
        <w:rPr>
          <w:rFonts w:cstheme="minorHAnsi"/>
          <w:sz w:val="22"/>
          <w:szCs w:val="22"/>
        </w:rPr>
        <w:t xml:space="preserve"> different sexes, various racial and/or ethnic national </w:t>
      </w:r>
      <w:r w:rsidR="00414C38" w:rsidRPr="001B12A9">
        <w:rPr>
          <w:rFonts w:cstheme="minorHAnsi"/>
          <w:sz w:val="22"/>
          <w:szCs w:val="22"/>
        </w:rPr>
        <w:t>origin</w:t>
      </w:r>
      <w:r w:rsidRPr="001B12A9">
        <w:rPr>
          <w:rFonts w:cstheme="minorHAnsi"/>
          <w:sz w:val="22"/>
          <w:szCs w:val="22"/>
        </w:rPr>
        <w:t xml:space="preserve"> groups, various religions, </w:t>
      </w:r>
    </w:p>
    <w:p w14:paraId="16681281" w14:textId="77777777" w:rsidR="00772D7B" w:rsidRPr="001B12A9" w:rsidRDefault="00414C38" w:rsidP="00EF581A">
      <w:pPr>
        <w:jc w:val="both"/>
        <w:rPr>
          <w:rFonts w:cstheme="minorHAnsi"/>
          <w:sz w:val="22"/>
          <w:szCs w:val="22"/>
        </w:rPr>
      </w:pPr>
      <w:r w:rsidRPr="001B12A9">
        <w:rPr>
          <w:rFonts w:cstheme="minorHAnsi"/>
          <w:sz w:val="22"/>
          <w:szCs w:val="22"/>
        </w:rPr>
        <w:lastRenderedPageBreak/>
        <w:t>individuals</w:t>
      </w:r>
      <w:r w:rsidR="00772D7B" w:rsidRPr="001B12A9">
        <w:rPr>
          <w:rFonts w:cstheme="minorHAnsi"/>
          <w:sz w:val="22"/>
          <w:szCs w:val="22"/>
        </w:rPr>
        <w:t xml:space="preserve"> with limited English proficiency, </w:t>
      </w:r>
      <w:r w:rsidRPr="001B12A9">
        <w:rPr>
          <w:rFonts w:cstheme="minorHAnsi"/>
          <w:sz w:val="22"/>
          <w:szCs w:val="22"/>
        </w:rPr>
        <w:t>individuals</w:t>
      </w:r>
      <w:r w:rsidR="00772D7B" w:rsidRPr="001B12A9">
        <w:rPr>
          <w:rFonts w:cstheme="minorHAnsi"/>
          <w:sz w:val="22"/>
          <w:szCs w:val="22"/>
        </w:rPr>
        <w:t xml:space="preserve"> with </w:t>
      </w:r>
      <w:r w:rsidRPr="001B12A9">
        <w:rPr>
          <w:rFonts w:cstheme="minorHAnsi"/>
          <w:sz w:val="22"/>
          <w:szCs w:val="22"/>
        </w:rPr>
        <w:t>disabilities</w:t>
      </w:r>
      <w:r w:rsidR="00772D7B" w:rsidRPr="001B12A9">
        <w:rPr>
          <w:rFonts w:cstheme="minorHAnsi"/>
          <w:sz w:val="22"/>
          <w:szCs w:val="22"/>
        </w:rPr>
        <w:t xml:space="preserve">, and </w:t>
      </w:r>
      <w:r w:rsidRPr="001B12A9">
        <w:rPr>
          <w:rFonts w:cstheme="minorHAnsi"/>
          <w:sz w:val="22"/>
          <w:szCs w:val="22"/>
        </w:rPr>
        <w:t>individuals</w:t>
      </w:r>
      <w:r w:rsidR="00772D7B" w:rsidRPr="001B12A9">
        <w:rPr>
          <w:rFonts w:cstheme="minorHAnsi"/>
          <w:sz w:val="22"/>
          <w:szCs w:val="22"/>
        </w:rPr>
        <w:t xml:space="preserve"> in different age groups.”</w:t>
      </w:r>
    </w:p>
    <w:p w14:paraId="319AADFD" w14:textId="77777777" w:rsidR="00B8191C" w:rsidRPr="001B12A9" w:rsidRDefault="00B8191C" w:rsidP="00EF581A">
      <w:pPr>
        <w:jc w:val="both"/>
        <w:rPr>
          <w:rFonts w:cstheme="minorHAnsi"/>
          <w:sz w:val="22"/>
          <w:szCs w:val="22"/>
        </w:rPr>
      </w:pPr>
    </w:p>
    <w:p w14:paraId="1611958F" w14:textId="77777777" w:rsidR="00C27D23" w:rsidRDefault="00C27D23" w:rsidP="00EF581A">
      <w:pPr>
        <w:jc w:val="both"/>
        <w:rPr>
          <w:rFonts w:cstheme="minorHAnsi"/>
          <w:sz w:val="22"/>
          <w:szCs w:val="22"/>
        </w:rPr>
      </w:pPr>
      <w:r w:rsidRPr="001B12A9">
        <w:rPr>
          <w:rFonts w:cstheme="minorHAnsi"/>
          <w:sz w:val="22"/>
          <w:szCs w:val="22"/>
        </w:rPr>
        <w:t xml:space="preserve"> </w:t>
      </w:r>
      <w:r w:rsidR="00414C38" w:rsidRPr="001B12A9">
        <w:rPr>
          <w:rFonts w:cstheme="minorHAnsi"/>
          <w:sz w:val="22"/>
          <w:szCs w:val="22"/>
        </w:rPr>
        <w:t>S</w:t>
      </w:r>
      <w:r w:rsidRPr="001B12A9">
        <w:rPr>
          <w:rFonts w:cstheme="minorHAnsi"/>
          <w:sz w:val="22"/>
          <w:szCs w:val="22"/>
        </w:rPr>
        <w:t>uch efforts may include, but are not limited to:</w:t>
      </w:r>
    </w:p>
    <w:p w14:paraId="1B64E300" w14:textId="77777777" w:rsidR="005D65DE" w:rsidRPr="001B12A9" w:rsidRDefault="005D65DE" w:rsidP="00EF581A">
      <w:pPr>
        <w:jc w:val="both"/>
        <w:rPr>
          <w:rFonts w:cstheme="minorHAnsi"/>
          <w:b/>
          <w:sz w:val="22"/>
          <w:szCs w:val="22"/>
        </w:rPr>
      </w:pPr>
    </w:p>
    <w:p w14:paraId="3BA34FD6" w14:textId="0213CCDD" w:rsidR="00C27D23" w:rsidRPr="005D65DE" w:rsidRDefault="00C27D23" w:rsidP="005D65DE">
      <w:pPr>
        <w:pStyle w:val="ListParagraph"/>
        <w:numPr>
          <w:ilvl w:val="0"/>
          <w:numId w:val="2"/>
        </w:numPr>
        <w:jc w:val="both"/>
        <w:rPr>
          <w:rFonts w:cstheme="minorHAnsi"/>
          <w:sz w:val="22"/>
          <w:szCs w:val="22"/>
        </w:rPr>
      </w:pPr>
      <w:r w:rsidRPr="005D65DE">
        <w:rPr>
          <w:rFonts w:cstheme="minorHAnsi"/>
          <w:sz w:val="22"/>
          <w:szCs w:val="22"/>
        </w:rPr>
        <w:t xml:space="preserve">Advertising the recipient's programs and/or activities in media, such as newspapers or radio programs, that specifically target various populations; </w:t>
      </w:r>
    </w:p>
    <w:p w14:paraId="033AAA20" w14:textId="1266B080" w:rsidR="00C27D23" w:rsidRPr="005D65DE" w:rsidRDefault="00C27D23" w:rsidP="005D65DE">
      <w:pPr>
        <w:pStyle w:val="ListParagraph"/>
        <w:numPr>
          <w:ilvl w:val="0"/>
          <w:numId w:val="2"/>
        </w:numPr>
        <w:jc w:val="both"/>
        <w:rPr>
          <w:rFonts w:cstheme="minorHAnsi"/>
          <w:sz w:val="22"/>
          <w:szCs w:val="22"/>
        </w:rPr>
      </w:pPr>
      <w:r w:rsidRPr="005D65DE">
        <w:rPr>
          <w:rFonts w:cstheme="minorHAnsi"/>
          <w:sz w:val="22"/>
          <w:szCs w:val="22"/>
        </w:rPr>
        <w:t xml:space="preserve">Sending notices about openings in the recipient's programs and/or activities to schools or community service groups that serve various populations; and </w:t>
      </w:r>
    </w:p>
    <w:p w14:paraId="7C9D37E2" w14:textId="2F36CFEB" w:rsidR="00C27D23" w:rsidRPr="005D65DE" w:rsidRDefault="00C27D23" w:rsidP="005D65DE">
      <w:pPr>
        <w:pStyle w:val="ListParagraph"/>
        <w:numPr>
          <w:ilvl w:val="0"/>
          <w:numId w:val="2"/>
        </w:numPr>
        <w:jc w:val="both"/>
        <w:rPr>
          <w:rFonts w:cstheme="minorHAnsi"/>
          <w:sz w:val="22"/>
          <w:szCs w:val="22"/>
        </w:rPr>
      </w:pPr>
      <w:r w:rsidRPr="005D65DE">
        <w:rPr>
          <w:rFonts w:cstheme="minorHAnsi"/>
          <w:sz w:val="22"/>
          <w:szCs w:val="22"/>
        </w:rPr>
        <w:t>Consulting with appropriate community service groups about ways in which the recipient may improve its outreach and service to various populations.</w:t>
      </w:r>
    </w:p>
    <w:p w14:paraId="3675C407" w14:textId="77777777" w:rsidR="005B1682" w:rsidRPr="001B12A9" w:rsidRDefault="005B1682" w:rsidP="00EF581A">
      <w:pPr>
        <w:jc w:val="both"/>
        <w:rPr>
          <w:rFonts w:cstheme="minorHAnsi"/>
          <w:sz w:val="22"/>
          <w:szCs w:val="22"/>
        </w:rPr>
      </w:pPr>
    </w:p>
    <w:p w14:paraId="5EEE12BD" w14:textId="46B33F5D" w:rsidR="00D908EA" w:rsidRDefault="005D65DE" w:rsidP="00EF581A">
      <w:pPr>
        <w:jc w:val="both"/>
        <w:rPr>
          <w:rFonts w:cstheme="minorHAnsi"/>
          <w:sz w:val="22"/>
          <w:szCs w:val="22"/>
        </w:rPr>
      </w:pPr>
      <w:r>
        <w:rPr>
          <w:rFonts w:cstheme="minorHAnsi"/>
          <w:sz w:val="22"/>
          <w:szCs w:val="22"/>
        </w:rPr>
        <w:t>The outreach must b</w:t>
      </w:r>
      <w:r w:rsidR="005B1682" w:rsidRPr="001B12A9">
        <w:rPr>
          <w:rFonts w:cstheme="minorHAnsi"/>
          <w:sz w:val="22"/>
          <w:szCs w:val="22"/>
        </w:rPr>
        <w:t xml:space="preserve">e necessary and reasonable for the performance of </w:t>
      </w:r>
      <w:r w:rsidR="00916AB0">
        <w:rPr>
          <w:rFonts w:cstheme="minorHAnsi"/>
          <w:sz w:val="22"/>
          <w:szCs w:val="22"/>
        </w:rPr>
        <w:t xml:space="preserve">the </w:t>
      </w:r>
      <w:r w:rsidR="005B1682" w:rsidRPr="001B12A9">
        <w:rPr>
          <w:rFonts w:cstheme="minorHAnsi"/>
          <w:sz w:val="22"/>
          <w:szCs w:val="22"/>
        </w:rPr>
        <w:t xml:space="preserve">DOL/ETA award and be allocable to the award. </w:t>
      </w:r>
      <w:r w:rsidR="00520D3D">
        <w:rPr>
          <w:rFonts w:cstheme="minorHAnsi"/>
          <w:sz w:val="22"/>
          <w:szCs w:val="22"/>
        </w:rPr>
        <w:t xml:space="preserve"> Therefore, activities must:</w:t>
      </w:r>
    </w:p>
    <w:p w14:paraId="44BC2167" w14:textId="77777777" w:rsidR="00520D3D" w:rsidRPr="001B12A9" w:rsidRDefault="00520D3D" w:rsidP="00EF581A">
      <w:pPr>
        <w:jc w:val="both"/>
        <w:rPr>
          <w:rFonts w:cstheme="minorHAnsi"/>
          <w:sz w:val="22"/>
          <w:szCs w:val="22"/>
        </w:rPr>
      </w:pPr>
    </w:p>
    <w:p w14:paraId="6E51C076" w14:textId="201122C1" w:rsidR="00D908EA" w:rsidRPr="005D65DE" w:rsidRDefault="005B1682" w:rsidP="005D65DE">
      <w:pPr>
        <w:pStyle w:val="ListParagraph"/>
        <w:numPr>
          <w:ilvl w:val="0"/>
          <w:numId w:val="5"/>
        </w:numPr>
        <w:jc w:val="both"/>
        <w:rPr>
          <w:rFonts w:cstheme="minorHAnsi"/>
          <w:sz w:val="22"/>
          <w:szCs w:val="22"/>
        </w:rPr>
      </w:pPr>
      <w:r w:rsidRPr="005D65DE">
        <w:rPr>
          <w:rFonts w:cstheme="minorHAnsi"/>
          <w:sz w:val="22"/>
          <w:szCs w:val="22"/>
        </w:rPr>
        <w:t xml:space="preserve">Conform with Federal law, guidelines, and grant terms. </w:t>
      </w:r>
    </w:p>
    <w:p w14:paraId="51516CF9" w14:textId="1293940B" w:rsidR="00D908EA" w:rsidRPr="005D65DE" w:rsidRDefault="005B1682" w:rsidP="005D65DE">
      <w:pPr>
        <w:pStyle w:val="ListParagraph"/>
        <w:numPr>
          <w:ilvl w:val="0"/>
          <w:numId w:val="5"/>
        </w:numPr>
        <w:jc w:val="both"/>
        <w:rPr>
          <w:rFonts w:cstheme="minorHAnsi"/>
          <w:sz w:val="22"/>
          <w:szCs w:val="22"/>
        </w:rPr>
      </w:pPr>
      <w:r w:rsidRPr="005D65DE">
        <w:rPr>
          <w:rFonts w:cstheme="minorHAnsi"/>
          <w:sz w:val="22"/>
          <w:szCs w:val="22"/>
        </w:rPr>
        <w:t xml:space="preserve">Be consistent with policies and procedures. Costs must be incurred to support </w:t>
      </w:r>
      <w:r w:rsidR="00520D3D">
        <w:rPr>
          <w:rFonts w:cstheme="minorHAnsi"/>
          <w:sz w:val="22"/>
          <w:szCs w:val="22"/>
        </w:rPr>
        <w:t>the</w:t>
      </w:r>
      <w:r w:rsidRPr="005D65DE">
        <w:rPr>
          <w:rFonts w:cstheme="minorHAnsi"/>
          <w:sz w:val="22"/>
          <w:szCs w:val="22"/>
        </w:rPr>
        <w:t xml:space="preserve"> DOL/ETA award, consistent with governing statutes, regulations, and your policies and procedures that apply uniformly to both Federal and non-Federal awards. </w:t>
      </w:r>
    </w:p>
    <w:p w14:paraId="3BCE5AE8" w14:textId="1CBCFF85" w:rsidR="00D908EA" w:rsidRPr="005D65DE" w:rsidRDefault="005B1682" w:rsidP="005D65DE">
      <w:pPr>
        <w:pStyle w:val="ListParagraph"/>
        <w:numPr>
          <w:ilvl w:val="0"/>
          <w:numId w:val="5"/>
        </w:numPr>
        <w:jc w:val="both"/>
        <w:rPr>
          <w:rFonts w:cstheme="minorHAnsi"/>
          <w:sz w:val="22"/>
          <w:szCs w:val="22"/>
        </w:rPr>
      </w:pPr>
      <w:r w:rsidRPr="005D65DE">
        <w:rPr>
          <w:rFonts w:cstheme="minorHAnsi"/>
          <w:sz w:val="22"/>
          <w:szCs w:val="22"/>
        </w:rPr>
        <w:t xml:space="preserve">Receive consistent treatment. Costs must receive the same accounting treatment as costs that </w:t>
      </w:r>
      <w:r w:rsidR="00520D3D">
        <w:rPr>
          <w:rFonts w:cstheme="minorHAnsi"/>
          <w:sz w:val="22"/>
          <w:szCs w:val="22"/>
        </w:rPr>
        <w:t>the</w:t>
      </w:r>
      <w:r w:rsidRPr="005D65DE">
        <w:rPr>
          <w:rFonts w:cstheme="minorHAnsi"/>
          <w:sz w:val="22"/>
          <w:szCs w:val="22"/>
        </w:rPr>
        <w:t xml:space="preserve"> organization incurred in similar circumstances. </w:t>
      </w:r>
    </w:p>
    <w:p w14:paraId="768256F0" w14:textId="6FC5B5D4" w:rsidR="00D908EA" w:rsidRPr="005D65DE" w:rsidRDefault="00F1775B" w:rsidP="005D65DE">
      <w:pPr>
        <w:pStyle w:val="ListParagraph"/>
        <w:numPr>
          <w:ilvl w:val="0"/>
          <w:numId w:val="5"/>
        </w:numPr>
        <w:jc w:val="both"/>
        <w:rPr>
          <w:rFonts w:cstheme="minorHAnsi"/>
          <w:sz w:val="22"/>
          <w:szCs w:val="22"/>
        </w:rPr>
      </w:pPr>
      <w:r>
        <w:rPr>
          <w:rFonts w:cstheme="minorHAnsi"/>
          <w:sz w:val="22"/>
          <w:szCs w:val="22"/>
        </w:rPr>
        <w:t>Be</w:t>
      </w:r>
      <w:r w:rsidR="005B1682" w:rsidRPr="005D65DE">
        <w:rPr>
          <w:rFonts w:cstheme="minorHAnsi"/>
          <w:sz w:val="22"/>
          <w:szCs w:val="22"/>
        </w:rPr>
        <w:t xml:space="preserve"> in accordance with Generally Accepted Accounting Principles (GAAP). </w:t>
      </w:r>
    </w:p>
    <w:p w14:paraId="014E1B2B" w14:textId="269A79DC" w:rsidR="005B1EFB" w:rsidRPr="005D65DE" w:rsidRDefault="005B1682" w:rsidP="005D65DE">
      <w:pPr>
        <w:pStyle w:val="ListParagraph"/>
        <w:numPr>
          <w:ilvl w:val="0"/>
          <w:numId w:val="5"/>
        </w:numPr>
        <w:jc w:val="both"/>
        <w:rPr>
          <w:rFonts w:cstheme="minorHAnsi"/>
          <w:sz w:val="22"/>
          <w:szCs w:val="22"/>
        </w:rPr>
      </w:pPr>
      <w:r w:rsidRPr="005D65DE">
        <w:rPr>
          <w:rFonts w:cstheme="minorHAnsi"/>
          <w:sz w:val="22"/>
          <w:szCs w:val="22"/>
        </w:rPr>
        <w:t>Cannot be included as a cost or used to meet cost-sharing or matching requirements of any other Federal award except as specifically provided by federal law or regulation.</w:t>
      </w:r>
    </w:p>
    <w:p w14:paraId="2C74FC57" w14:textId="1089D6CA" w:rsidR="00037DB6" w:rsidRPr="005D65DE" w:rsidRDefault="005B1682" w:rsidP="005D65DE">
      <w:pPr>
        <w:pStyle w:val="ListParagraph"/>
        <w:numPr>
          <w:ilvl w:val="0"/>
          <w:numId w:val="5"/>
        </w:numPr>
        <w:jc w:val="both"/>
        <w:rPr>
          <w:rFonts w:cstheme="minorHAnsi"/>
          <w:sz w:val="22"/>
          <w:szCs w:val="22"/>
        </w:rPr>
      </w:pPr>
      <w:r w:rsidRPr="005D65DE">
        <w:rPr>
          <w:rFonts w:cstheme="minorHAnsi"/>
          <w:sz w:val="22"/>
          <w:szCs w:val="22"/>
        </w:rPr>
        <w:t xml:space="preserve">Be properly and adequately documented. </w:t>
      </w:r>
    </w:p>
    <w:p w14:paraId="1F016688" w14:textId="56D9E8C2" w:rsidR="005B1682" w:rsidRPr="005D65DE" w:rsidRDefault="0072799E" w:rsidP="005D65DE">
      <w:pPr>
        <w:pStyle w:val="ListParagraph"/>
        <w:numPr>
          <w:ilvl w:val="0"/>
          <w:numId w:val="5"/>
        </w:numPr>
        <w:jc w:val="both"/>
        <w:rPr>
          <w:rFonts w:cstheme="minorHAnsi"/>
          <w:sz w:val="22"/>
          <w:szCs w:val="22"/>
        </w:rPr>
      </w:pPr>
      <w:r>
        <w:rPr>
          <w:rFonts w:cstheme="minorHAnsi"/>
          <w:sz w:val="22"/>
          <w:szCs w:val="22"/>
        </w:rPr>
        <w:t>Be</w:t>
      </w:r>
      <w:r w:rsidR="005B1682" w:rsidRPr="005D65DE">
        <w:rPr>
          <w:rFonts w:cstheme="minorHAnsi"/>
          <w:sz w:val="22"/>
          <w:szCs w:val="22"/>
        </w:rPr>
        <w:t xml:space="preserve"> incurred during the approved budget period. The Federal awarding agency is authorized, at its discretion, to waive prior written approvals to carry forward unobligated balances to subsequent budget periods pursuant to </w:t>
      </w:r>
      <w:r w:rsidR="00874CC0" w:rsidRPr="005D65DE">
        <w:rPr>
          <w:rFonts w:cstheme="minorHAnsi"/>
          <w:sz w:val="22"/>
          <w:szCs w:val="22"/>
        </w:rPr>
        <w:t>2 CFR</w:t>
      </w:r>
      <w:r w:rsidR="005B1682" w:rsidRPr="005D65DE">
        <w:rPr>
          <w:rFonts w:cstheme="minorHAnsi"/>
          <w:sz w:val="22"/>
          <w:szCs w:val="22"/>
        </w:rPr>
        <w:t xml:space="preserve"> 200.308(e)(3).</w:t>
      </w:r>
    </w:p>
    <w:p w14:paraId="13C734FB" w14:textId="77777777" w:rsidR="00895864" w:rsidRPr="001B12A9" w:rsidRDefault="00895864" w:rsidP="00EF581A">
      <w:pPr>
        <w:jc w:val="both"/>
        <w:rPr>
          <w:rFonts w:cstheme="minorHAnsi"/>
          <w:sz w:val="22"/>
          <w:szCs w:val="22"/>
        </w:rPr>
      </w:pPr>
    </w:p>
    <w:p w14:paraId="5C483A8A" w14:textId="77777777" w:rsidR="00895864" w:rsidRPr="001B12A9" w:rsidRDefault="00895864" w:rsidP="00EF581A">
      <w:pPr>
        <w:jc w:val="both"/>
        <w:rPr>
          <w:rFonts w:cstheme="minorHAnsi"/>
          <w:sz w:val="22"/>
          <w:szCs w:val="22"/>
        </w:rPr>
      </w:pPr>
      <w:r w:rsidRPr="001B12A9">
        <w:rPr>
          <w:rFonts w:cstheme="minorHAnsi"/>
          <w:sz w:val="22"/>
          <w:szCs w:val="22"/>
        </w:rPr>
        <w:t xml:space="preserve">Unallowable advertising and public relations costs include the following: </w:t>
      </w:r>
    </w:p>
    <w:p w14:paraId="29255F50" w14:textId="77777777" w:rsidR="00520D3D" w:rsidRDefault="00520D3D" w:rsidP="00EF581A">
      <w:pPr>
        <w:jc w:val="both"/>
        <w:rPr>
          <w:rFonts w:cstheme="minorHAnsi"/>
          <w:sz w:val="22"/>
          <w:szCs w:val="22"/>
        </w:rPr>
      </w:pPr>
    </w:p>
    <w:p w14:paraId="01152306" w14:textId="5EBC179F" w:rsidR="00895864" w:rsidRPr="00520D3D" w:rsidRDefault="00895864" w:rsidP="00520D3D">
      <w:pPr>
        <w:pStyle w:val="ListParagraph"/>
        <w:numPr>
          <w:ilvl w:val="0"/>
          <w:numId w:val="6"/>
        </w:numPr>
        <w:jc w:val="both"/>
        <w:rPr>
          <w:rFonts w:cstheme="minorHAnsi"/>
          <w:sz w:val="22"/>
          <w:szCs w:val="22"/>
        </w:rPr>
      </w:pPr>
      <w:r w:rsidRPr="00520D3D">
        <w:rPr>
          <w:rFonts w:cstheme="minorHAnsi"/>
          <w:sz w:val="22"/>
          <w:szCs w:val="22"/>
        </w:rPr>
        <w:t xml:space="preserve">Costs of meetings, conventions, convocations, or other events related to other activities of the entity (see also </w:t>
      </w:r>
      <w:r w:rsidR="00874CC0" w:rsidRPr="00520D3D">
        <w:rPr>
          <w:rFonts w:cstheme="minorHAnsi"/>
          <w:sz w:val="22"/>
          <w:szCs w:val="22"/>
        </w:rPr>
        <w:t>2 CFR</w:t>
      </w:r>
      <w:r w:rsidRPr="00520D3D">
        <w:rPr>
          <w:rFonts w:cstheme="minorHAnsi"/>
          <w:sz w:val="22"/>
          <w:szCs w:val="22"/>
        </w:rPr>
        <w:t xml:space="preserve"> 200.432), including: (i) Costs of displays, demonstrations, and exhibits; (ii) Costs of meeting rooms, hospitality suites, and other special facilities used in conjunction with shows and other special events; and (iii) Salaries and wages of employees engaged in setting up and displaying exhibits, making demonstrations, and providing briefings; </w:t>
      </w:r>
    </w:p>
    <w:p w14:paraId="107C73AC" w14:textId="77777777" w:rsidR="009A4C03" w:rsidRDefault="00895864" w:rsidP="00520D3D">
      <w:pPr>
        <w:pStyle w:val="ListParagraph"/>
        <w:numPr>
          <w:ilvl w:val="0"/>
          <w:numId w:val="6"/>
        </w:numPr>
        <w:jc w:val="both"/>
        <w:rPr>
          <w:rFonts w:cstheme="minorHAnsi"/>
          <w:sz w:val="22"/>
          <w:szCs w:val="22"/>
        </w:rPr>
      </w:pPr>
      <w:r w:rsidRPr="00520D3D">
        <w:rPr>
          <w:rFonts w:cstheme="minorHAnsi"/>
          <w:sz w:val="22"/>
          <w:szCs w:val="22"/>
        </w:rPr>
        <w:t xml:space="preserve">Costs of promotional items and memorabilia, including models, gifts, and souvenirs; </w:t>
      </w:r>
    </w:p>
    <w:p w14:paraId="22ED52C1" w14:textId="07E99336" w:rsidR="00895864" w:rsidRPr="00520D3D" w:rsidRDefault="00895864" w:rsidP="00520D3D">
      <w:pPr>
        <w:pStyle w:val="ListParagraph"/>
        <w:numPr>
          <w:ilvl w:val="0"/>
          <w:numId w:val="6"/>
        </w:numPr>
        <w:jc w:val="both"/>
        <w:rPr>
          <w:rFonts w:cstheme="minorHAnsi"/>
          <w:sz w:val="22"/>
          <w:szCs w:val="22"/>
        </w:rPr>
      </w:pPr>
      <w:r w:rsidRPr="00520D3D">
        <w:rPr>
          <w:rFonts w:cstheme="minorHAnsi"/>
          <w:sz w:val="22"/>
          <w:szCs w:val="22"/>
        </w:rPr>
        <w:t>Costs of advertising and public relations designed solely to promote the non-Federal entity.”</w:t>
      </w:r>
    </w:p>
    <w:p w14:paraId="058C8B16" w14:textId="77777777" w:rsidR="00895864" w:rsidRPr="001B12A9" w:rsidRDefault="00895864" w:rsidP="00EF581A">
      <w:pPr>
        <w:jc w:val="both"/>
        <w:rPr>
          <w:rFonts w:cstheme="minorHAnsi"/>
          <w:sz w:val="22"/>
          <w:szCs w:val="22"/>
        </w:rPr>
      </w:pPr>
    </w:p>
    <w:p w14:paraId="7BC08938" w14:textId="77777777" w:rsidR="00686277" w:rsidRPr="001B12A9" w:rsidRDefault="00686277" w:rsidP="00EF581A">
      <w:pPr>
        <w:jc w:val="both"/>
        <w:rPr>
          <w:rFonts w:cstheme="minorHAnsi"/>
          <w:sz w:val="22"/>
          <w:szCs w:val="22"/>
        </w:rPr>
      </w:pPr>
    </w:p>
    <w:p w14:paraId="245D10B6" w14:textId="77777777" w:rsidR="00895864" w:rsidRPr="001B12A9" w:rsidRDefault="00895864" w:rsidP="00EF581A">
      <w:pPr>
        <w:jc w:val="both"/>
        <w:rPr>
          <w:rFonts w:cstheme="minorHAnsi"/>
          <w:b/>
          <w:i/>
          <w:iCs/>
          <w:sz w:val="22"/>
          <w:szCs w:val="22"/>
        </w:rPr>
      </w:pPr>
      <w:r w:rsidRPr="001B12A9">
        <w:rPr>
          <w:rFonts w:cstheme="minorHAnsi"/>
          <w:b/>
          <w:i/>
          <w:iCs/>
          <w:sz w:val="22"/>
          <w:szCs w:val="22"/>
        </w:rPr>
        <w:t xml:space="preserve">Stevens </w:t>
      </w:r>
      <w:r w:rsidR="00DC291E" w:rsidRPr="001B12A9">
        <w:rPr>
          <w:rFonts w:cstheme="minorHAnsi"/>
          <w:b/>
          <w:i/>
          <w:iCs/>
          <w:sz w:val="22"/>
          <w:szCs w:val="22"/>
        </w:rPr>
        <w:t>Amendment</w:t>
      </w:r>
    </w:p>
    <w:p w14:paraId="533E252B" w14:textId="3089FDE8" w:rsidR="00B27881" w:rsidRDefault="006D0DF9" w:rsidP="00EF581A">
      <w:pPr>
        <w:jc w:val="both"/>
        <w:rPr>
          <w:rFonts w:cstheme="minorHAnsi"/>
          <w:sz w:val="22"/>
          <w:szCs w:val="22"/>
        </w:rPr>
      </w:pPr>
      <w:r w:rsidRPr="001B12A9">
        <w:rPr>
          <w:rFonts w:cstheme="minorHAnsi"/>
          <w:sz w:val="22"/>
          <w:szCs w:val="22"/>
        </w:rPr>
        <w:t xml:space="preserve">To comply with the Stevens Amendment, which addresses transparency in federal spending, TEGL 3-23 state </w:t>
      </w:r>
      <w:r w:rsidR="00385E42" w:rsidRPr="001B12A9">
        <w:rPr>
          <w:rFonts w:cstheme="minorHAnsi"/>
          <w:sz w:val="22"/>
          <w:szCs w:val="22"/>
        </w:rPr>
        <w:t>“</w:t>
      </w:r>
      <w:r w:rsidR="008C0FE6" w:rsidRPr="001B12A9">
        <w:rPr>
          <w:rFonts w:cstheme="minorHAnsi"/>
          <w:sz w:val="22"/>
          <w:szCs w:val="22"/>
        </w:rPr>
        <w:t>“When issuing statements, press releases, requests for proposals, bid solicitations and other documents describing projects or programs funded in whole or in part with Federal money, all recipients receiving Federal funds included in WIOA, shall clearly state</w:t>
      </w:r>
      <w:r w:rsidR="00001A71">
        <w:rPr>
          <w:rFonts w:cstheme="minorHAnsi"/>
          <w:sz w:val="22"/>
          <w:szCs w:val="22"/>
        </w:rPr>
        <w:t>:</w:t>
      </w:r>
    </w:p>
    <w:p w14:paraId="4BC5F3F0" w14:textId="77777777" w:rsidR="00001A71" w:rsidRPr="001B12A9" w:rsidRDefault="00001A71" w:rsidP="00EF581A">
      <w:pPr>
        <w:jc w:val="both"/>
        <w:rPr>
          <w:rFonts w:cstheme="minorHAnsi"/>
          <w:sz w:val="22"/>
          <w:szCs w:val="22"/>
        </w:rPr>
      </w:pPr>
    </w:p>
    <w:p w14:paraId="1224BDF6" w14:textId="22190D05" w:rsidR="00B27881" w:rsidRPr="000D3465" w:rsidRDefault="008C0FE6" w:rsidP="000D3465">
      <w:pPr>
        <w:pStyle w:val="ListParagraph"/>
        <w:numPr>
          <w:ilvl w:val="0"/>
          <w:numId w:val="8"/>
        </w:numPr>
        <w:jc w:val="both"/>
        <w:rPr>
          <w:rFonts w:cstheme="minorHAnsi"/>
          <w:sz w:val="22"/>
          <w:szCs w:val="22"/>
        </w:rPr>
      </w:pPr>
      <w:r w:rsidRPr="000D3465">
        <w:rPr>
          <w:rFonts w:cstheme="minorHAnsi"/>
          <w:sz w:val="22"/>
          <w:szCs w:val="22"/>
        </w:rPr>
        <w:t xml:space="preserve">the percentage of the total costs of the program or project which will be financed with Federal money; </w:t>
      </w:r>
    </w:p>
    <w:p w14:paraId="269849F4" w14:textId="2F39CFF3" w:rsidR="00B27881" w:rsidRPr="000D3465" w:rsidRDefault="008C0FE6" w:rsidP="000D3465">
      <w:pPr>
        <w:pStyle w:val="ListParagraph"/>
        <w:numPr>
          <w:ilvl w:val="0"/>
          <w:numId w:val="8"/>
        </w:numPr>
        <w:jc w:val="both"/>
        <w:rPr>
          <w:rFonts w:cstheme="minorHAnsi"/>
          <w:sz w:val="22"/>
          <w:szCs w:val="22"/>
        </w:rPr>
      </w:pPr>
      <w:r w:rsidRPr="000D3465">
        <w:rPr>
          <w:rFonts w:cstheme="minorHAnsi"/>
          <w:sz w:val="22"/>
          <w:szCs w:val="22"/>
        </w:rPr>
        <w:t xml:space="preserve">the dollar amount of Federal funds for the project or program; and </w:t>
      </w:r>
    </w:p>
    <w:p w14:paraId="3B59E956" w14:textId="08ACD17C" w:rsidR="00041173" w:rsidRPr="000D3465" w:rsidRDefault="008C0FE6" w:rsidP="000D3465">
      <w:pPr>
        <w:pStyle w:val="ListParagraph"/>
        <w:numPr>
          <w:ilvl w:val="0"/>
          <w:numId w:val="8"/>
        </w:numPr>
        <w:jc w:val="both"/>
        <w:rPr>
          <w:rFonts w:cstheme="minorHAnsi"/>
          <w:sz w:val="22"/>
          <w:szCs w:val="22"/>
        </w:rPr>
      </w:pPr>
      <w:r w:rsidRPr="000D3465">
        <w:rPr>
          <w:rFonts w:cstheme="minorHAnsi"/>
          <w:sz w:val="22"/>
          <w:szCs w:val="22"/>
        </w:rPr>
        <w:t>percentage and dollar amount of the total costs of the project or program that will be financed by non-governmental sources.”</w:t>
      </w:r>
    </w:p>
    <w:p w14:paraId="03595DF7" w14:textId="77777777" w:rsidR="00C15C5E" w:rsidRPr="001B12A9" w:rsidRDefault="00C15C5E" w:rsidP="00EF581A">
      <w:pPr>
        <w:jc w:val="both"/>
        <w:rPr>
          <w:rFonts w:cstheme="minorHAnsi"/>
          <w:b/>
          <w:sz w:val="22"/>
          <w:szCs w:val="22"/>
        </w:rPr>
      </w:pPr>
    </w:p>
    <w:p w14:paraId="1676786B" w14:textId="77777777" w:rsidR="00C15C5E" w:rsidRPr="001B12A9" w:rsidRDefault="00CE24D6" w:rsidP="00EF581A">
      <w:pPr>
        <w:jc w:val="both"/>
        <w:rPr>
          <w:rFonts w:cstheme="minorHAnsi"/>
          <w:b/>
          <w:sz w:val="22"/>
          <w:szCs w:val="22"/>
        </w:rPr>
      </w:pPr>
      <w:r w:rsidRPr="001B12A9">
        <w:rPr>
          <w:rFonts w:cstheme="minorHAnsi"/>
          <w:b/>
          <w:sz w:val="22"/>
          <w:szCs w:val="22"/>
        </w:rPr>
        <w:t>Possible</w:t>
      </w:r>
      <w:r w:rsidR="00C15C5E" w:rsidRPr="001B12A9">
        <w:rPr>
          <w:rFonts w:cstheme="minorHAnsi"/>
          <w:b/>
          <w:sz w:val="22"/>
          <w:szCs w:val="22"/>
        </w:rPr>
        <w:t xml:space="preserve"> Ways to Conduct </w:t>
      </w:r>
      <w:r w:rsidRPr="001B12A9">
        <w:rPr>
          <w:rFonts w:cstheme="minorHAnsi"/>
          <w:b/>
          <w:sz w:val="22"/>
          <w:szCs w:val="22"/>
        </w:rPr>
        <w:t>Outreach</w:t>
      </w:r>
    </w:p>
    <w:p w14:paraId="59F65060" w14:textId="77777777" w:rsidR="0012188C" w:rsidRDefault="0012188C" w:rsidP="00EF581A">
      <w:pPr>
        <w:jc w:val="both"/>
        <w:rPr>
          <w:rFonts w:cstheme="minorHAnsi"/>
          <w:sz w:val="22"/>
          <w:szCs w:val="22"/>
        </w:rPr>
      </w:pPr>
      <w:r w:rsidRPr="001B12A9">
        <w:rPr>
          <w:rFonts w:cstheme="minorHAnsi"/>
          <w:sz w:val="22"/>
          <w:szCs w:val="22"/>
        </w:rPr>
        <w:t>Below are summaries of the outreach methods discussed in TEGL 3-23. See the TEGL for full descriptions.</w:t>
      </w:r>
    </w:p>
    <w:p w14:paraId="54658B11" w14:textId="77777777" w:rsidR="000D3465" w:rsidRPr="001B12A9" w:rsidRDefault="000D3465" w:rsidP="00EF581A">
      <w:pPr>
        <w:jc w:val="both"/>
        <w:rPr>
          <w:rFonts w:cstheme="minorHAnsi"/>
          <w:sz w:val="22"/>
          <w:szCs w:val="22"/>
        </w:rPr>
      </w:pPr>
    </w:p>
    <w:p w14:paraId="597652DB" w14:textId="77777777" w:rsidR="00CE24D6" w:rsidRDefault="00CE24D6" w:rsidP="00CE24D6">
      <w:pPr>
        <w:pStyle w:val="ListParagraph"/>
        <w:numPr>
          <w:ilvl w:val="0"/>
          <w:numId w:val="1"/>
        </w:numPr>
        <w:jc w:val="both"/>
        <w:rPr>
          <w:rFonts w:cstheme="minorHAnsi"/>
          <w:sz w:val="22"/>
          <w:szCs w:val="22"/>
        </w:rPr>
      </w:pPr>
      <w:r w:rsidRPr="001B12A9">
        <w:rPr>
          <w:rFonts w:cstheme="minorHAnsi"/>
          <w:sz w:val="22"/>
          <w:szCs w:val="22"/>
        </w:rPr>
        <w:t xml:space="preserve">In-Person </w:t>
      </w:r>
      <w:r w:rsidR="00D951FC" w:rsidRPr="001B12A9">
        <w:rPr>
          <w:rFonts w:cstheme="minorHAnsi"/>
          <w:sz w:val="22"/>
          <w:szCs w:val="22"/>
        </w:rPr>
        <w:t xml:space="preserve">Outreach: </w:t>
      </w:r>
      <w:r w:rsidR="0012188C" w:rsidRPr="001B12A9">
        <w:rPr>
          <w:rFonts w:cstheme="minorHAnsi"/>
          <w:sz w:val="22"/>
          <w:szCs w:val="22"/>
        </w:rPr>
        <w:t xml:space="preserve">This can include staff </w:t>
      </w:r>
      <w:r w:rsidR="00D951FC" w:rsidRPr="001B12A9">
        <w:rPr>
          <w:rFonts w:cstheme="minorHAnsi"/>
          <w:sz w:val="22"/>
          <w:szCs w:val="22"/>
        </w:rPr>
        <w:t xml:space="preserve">attending a local </w:t>
      </w:r>
      <w:r w:rsidR="0012188C" w:rsidRPr="001B12A9">
        <w:rPr>
          <w:rFonts w:cstheme="minorHAnsi"/>
          <w:sz w:val="22"/>
          <w:szCs w:val="22"/>
        </w:rPr>
        <w:t>event</w:t>
      </w:r>
      <w:r w:rsidR="00D951FC" w:rsidRPr="001B12A9">
        <w:rPr>
          <w:rFonts w:cstheme="minorHAnsi"/>
          <w:sz w:val="22"/>
          <w:szCs w:val="22"/>
        </w:rPr>
        <w:t xml:space="preserve"> with </w:t>
      </w:r>
      <w:r w:rsidR="0012188C" w:rsidRPr="001B12A9">
        <w:rPr>
          <w:rFonts w:cstheme="minorHAnsi"/>
          <w:sz w:val="22"/>
          <w:szCs w:val="22"/>
        </w:rPr>
        <w:t>materials</w:t>
      </w:r>
      <w:r w:rsidR="00D951FC" w:rsidRPr="001B12A9">
        <w:rPr>
          <w:rFonts w:cstheme="minorHAnsi"/>
          <w:sz w:val="22"/>
          <w:szCs w:val="22"/>
        </w:rPr>
        <w:t xml:space="preserve"> about where to go to </w:t>
      </w:r>
      <w:r w:rsidR="0012188C" w:rsidRPr="001B12A9">
        <w:rPr>
          <w:rFonts w:cstheme="minorHAnsi"/>
          <w:sz w:val="22"/>
          <w:szCs w:val="22"/>
        </w:rPr>
        <w:t>access workforce development services.</w:t>
      </w:r>
      <w:r w:rsidR="00D951FC" w:rsidRPr="001B12A9">
        <w:rPr>
          <w:rFonts w:cstheme="minorHAnsi"/>
          <w:sz w:val="22"/>
          <w:szCs w:val="22"/>
        </w:rPr>
        <w:t xml:space="preserve"> The strategy may vary for each special or targeted population.</w:t>
      </w:r>
    </w:p>
    <w:p w14:paraId="27D80B00" w14:textId="77777777" w:rsidR="000D3465" w:rsidRPr="001B12A9" w:rsidRDefault="000D3465" w:rsidP="000D3465">
      <w:pPr>
        <w:pStyle w:val="ListParagraph"/>
        <w:jc w:val="both"/>
        <w:rPr>
          <w:rFonts w:cstheme="minorHAnsi"/>
          <w:sz w:val="22"/>
          <w:szCs w:val="22"/>
        </w:rPr>
      </w:pPr>
    </w:p>
    <w:p w14:paraId="2B558F8D" w14:textId="77777777" w:rsidR="00CE24D6" w:rsidRPr="001B12A9" w:rsidRDefault="00CE24D6" w:rsidP="00CE24D6">
      <w:pPr>
        <w:pStyle w:val="ListParagraph"/>
        <w:numPr>
          <w:ilvl w:val="0"/>
          <w:numId w:val="1"/>
        </w:numPr>
        <w:jc w:val="both"/>
        <w:rPr>
          <w:rFonts w:cstheme="minorHAnsi"/>
          <w:sz w:val="22"/>
          <w:szCs w:val="22"/>
        </w:rPr>
      </w:pPr>
      <w:r w:rsidRPr="001B12A9">
        <w:rPr>
          <w:rFonts w:cstheme="minorHAnsi"/>
          <w:sz w:val="22"/>
          <w:szCs w:val="22"/>
        </w:rPr>
        <w:t>Print</w:t>
      </w:r>
      <w:r w:rsidR="00D951FC" w:rsidRPr="001B12A9">
        <w:rPr>
          <w:rFonts w:cstheme="minorHAnsi"/>
          <w:sz w:val="22"/>
          <w:szCs w:val="22"/>
        </w:rPr>
        <w:t xml:space="preserve">: Can include advertising, </w:t>
      </w:r>
      <w:r w:rsidR="0012188C" w:rsidRPr="001B12A9">
        <w:rPr>
          <w:rFonts w:cstheme="minorHAnsi"/>
          <w:sz w:val="22"/>
          <w:szCs w:val="22"/>
        </w:rPr>
        <w:t>newspaper articles</w:t>
      </w:r>
      <w:r w:rsidR="00D951FC" w:rsidRPr="001B12A9">
        <w:rPr>
          <w:rFonts w:cstheme="minorHAnsi"/>
          <w:sz w:val="22"/>
          <w:szCs w:val="22"/>
        </w:rPr>
        <w:t>,</w:t>
      </w:r>
      <w:r w:rsidR="0012188C" w:rsidRPr="001B12A9">
        <w:rPr>
          <w:rFonts w:cstheme="minorHAnsi"/>
          <w:sz w:val="22"/>
          <w:szCs w:val="22"/>
        </w:rPr>
        <w:t xml:space="preserve"> </w:t>
      </w:r>
      <w:r w:rsidR="00D951FC" w:rsidRPr="001B12A9">
        <w:rPr>
          <w:rFonts w:cstheme="minorHAnsi"/>
          <w:sz w:val="22"/>
          <w:szCs w:val="22"/>
        </w:rPr>
        <w:t>postcards, brochures and flyers,</w:t>
      </w:r>
      <w:r w:rsidR="00534750" w:rsidRPr="001B12A9">
        <w:rPr>
          <w:rFonts w:cstheme="minorHAnsi"/>
          <w:sz w:val="22"/>
          <w:szCs w:val="22"/>
        </w:rPr>
        <w:t xml:space="preserve"> QR codes may als</w:t>
      </w:r>
      <w:r w:rsidR="0012188C" w:rsidRPr="001B12A9">
        <w:rPr>
          <w:rFonts w:cstheme="minorHAnsi"/>
          <w:sz w:val="22"/>
          <w:szCs w:val="22"/>
        </w:rPr>
        <w:t>o</w:t>
      </w:r>
      <w:r w:rsidR="00534750" w:rsidRPr="001B12A9">
        <w:rPr>
          <w:rFonts w:cstheme="minorHAnsi"/>
          <w:sz w:val="22"/>
          <w:szCs w:val="22"/>
        </w:rPr>
        <w:t xml:space="preserve"> be used in print media to direct potential </w:t>
      </w:r>
      <w:r w:rsidR="000A7919" w:rsidRPr="001B12A9">
        <w:rPr>
          <w:rFonts w:cstheme="minorHAnsi"/>
          <w:sz w:val="22"/>
          <w:szCs w:val="22"/>
        </w:rPr>
        <w:t>participants</w:t>
      </w:r>
      <w:r w:rsidR="00534750" w:rsidRPr="001B12A9">
        <w:rPr>
          <w:rFonts w:cstheme="minorHAnsi"/>
          <w:sz w:val="22"/>
          <w:szCs w:val="22"/>
        </w:rPr>
        <w:t xml:space="preserve"> to online </w:t>
      </w:r>
      <w:r w:rsidR="000A7919" w:rsidRPr="001B12A9">
        <w:rPr>
          <w:rFonts w:cstheme="minorHAnsi"/>
          <w:sz w:val="22"/>
          <w:szCs w:val="22"/>
        </w:rPr>
        <w:t>information</w:t>
      </w:r>
      <w:r w:rsidR="00534750" w:rsidRPr="001B12A9">
        <w:rPr>
          <w:rFonts w:cstheme="minorHAnsi"/>
          <w:sz w:val="22"/>
          <w:szCs w:val="22"/>
        </w:rPr>
        <w:t>.</w:t>
      </w:r>
    </w:p>
    <w:p w14:paraId="0C70CE98" w14:textId="77777777" w:rsidR="000407B4" w:rsidRPr="001B12A9" w:rsidRDefault="000407B4" w:rsidP="000407B4">
      <w:pPr>
        <w:jc w:val="both"/>
        <w:rPr>
          <w:rFonts w:cstheme="minorHAnsi"/>
          <w:sz w:val="22"/>
          <w:szCs w:val="22"/>
        </w:rPr>
      </w:pPr>
    </w:p>
    <w:p w14:paraId="5EB263CD" w14:textId="77777777" w:rsidR="00CE24D6" w:rsidRPr="001B12A9" w:rsidRDefault="00CE24D6" w:rsidP="00CE24D6">
      <w:pPr>
        <w:pStyle w:val="ListParagraph"/>
        <w:numPr>
          <w:ilvl w:val="0"/>
          <w:numId w:val="1"/>
        </w:numPr>
        <w:jc w:val="both"/>
        <w:rPr>
          <w:rFonts w:cstheme="minorHAnsi"/>
          <w:sz w:val="22"/>
          <w:szCs w:val="22"/>
        </w:rPr>
      </w:pPr>
      <w:r w:rsidRPr="001B12A9">
        <w:rPr>
          <w:rFonts w:cstheme="minorHAnsi"/>
          <w:sz w:val="22"/>
          <w:szCs w:val="22"/>
        </w:rPr>
        <w:t>Radio and TV</w:t>
      </w:r>
      <w:r w:rsidR="00534750" w:rsidRPr="001B12A9">
        <w:rPr>
          <w:rFonts w:cstheme="minorHAnsi"/>
          <w:sz w:val="22"/>
          <w:szCs w:val="22"/>
        </w:rPr>
        <w:t xml:space="preserve">: </w:t>
      </w:r>
      <w:r w:rsidR="000407B4" w:rsidRPr="001B12A9">
        <w:rPr>
          <w:rFonts w:cstheme="minorHAnsi"/>
          <w:sz w:val="22"/>
          <w:szCs w:val="22"/>
        </w:rPr>
        <w:t>F</w:t>
      </w:r>
      <w:r w:rsidR="00FC5A3E" w:rsidRPr="001B12A9">
        <w:rPr>
          <w:rFonts w:cstheme="minorHAnsi"/>
          <w:sz w:val="22"/>
          <w:szCs w:val="22"/>
        </w:rPr>
        <w:t>or boards without an</w:t>
      </w:r>
      <w:r w:rsidR="005954BD" w:rsidRPr="001B12A9">
        <w:rPr>
          <w:rFonts w:cstheme="minorHAnsi"/>
          <w:sz w:val="22"/>
          <w:szCs w:val="22"/>
        </w:rPr>
        <w:t xml:space="preserve"> </w:t>
      </w:r>
      <w:r w:rsidR="00FC5A3E" w:rsidRPr="001B12A9">
        <w:rPr>
          <w:rFonts w:cstheme="minorHAnsi"/>
          <w:sz w:val="22"/>
          <w:szCs w:val="22"/>
        </w:rPr>
        <w:t>advertising</w:t>
      </w:r>
      <w:r w:rsidR="00A62B48" w:rsidRPr="001B12A9">
        <w:rPr>
          <w:rFonts w:cstheme="minorHAnsi"/>
          <w:sz w:val="22"/>
          <w:szCs w:val="22"/>
        </w:rPr>
        <w:t xml:space="preserve"> budget, sharing radio Public Service </w:t>
      </w:r>
      <w:r w:rsidR="000407B4" w:rsidRPr="001B12A9">
        <w:rPr>
          <w:rFonts w:cstheme="minorHAnsi"/>
          <w:sz w:val="22"/>
          <w:szCs w:val="22"/>
        </w:rPr>
        <w:t>Announcements</w:t>
      </w:r>
      <w:r w:rsidR="00A62B48" w:rsidRPr="001B12A9">
        <w:rPr>
          <w:rFonts w:cstheme="minorHAnsi"/>
          <w:sz w:val="22"/>
          <w:szCs w:val="22"/>
        </w:rPr>
        <w:t xml:space="preserve"> o</w:t>
      </w:r>
      <w:r w:rsidR="000407B4" w:rsidRPr="001B12A9">
        <w:rPr>
          <w:rFonts w:cstheme="minorHAnsi"/>
          <w:sz w:val="22"/>
          <w:szCs w:val="22"/>
        </w:rPr>
        <w:t>r</w:t>
      </w:r>
      <w:r w:rsidR="00A62B48" w:rsidRPr="001B12A9">
        <w:rPr>
          <w:rFonts w:cstheme="minorHAnsi"/>
          <w:sz w:val="22"/>
          <w:szCs w:val="22"/>
        </w:rPr>
        <w:t xml:space="preserve"> coordinating on air-</w:t>
      </w:r>
      <w:r w:rsidR="000407B4" w:rsidRPr="001B12A9">
        <w:rPr>
          <w:rFonts w:cstheme="minorHAnsi"/>
          <w:sz w:val="22"/>
          <w:szCs w:val="22"/>
        </w:rPr>
        <w:t>interviews</w:t>
      </w:r>
      <w:r w:rsidR="00A62B48" w:rsidRPr="001B12A9">
        <w:rPr>
          <w:rFonts w:cstheme="minorHAnsi"/>
          <w:sz w:val="22"/>
          <w:szCs w:val="22"/>
        </w:rPr>
        <w:t xml:space="preserve"> with local radio stations is a way to build awareness of the services.</w:t>
      </w:r>
    </w:p>
    <w:p w14:paraId="7CAB8D5B" w14:textId="77777777" w:rsidR="000407B4" w:rsidRPr="001B12A9" w:rsidRDefault="000407B4" w:rsidP="000407B4">
      <w:pPr>
        <w:pStyle w:val="ListParagraph"/>
        <w:rPr>
          <w:rFonts w:cstheme="minorHAnsi"/>
          <w:sz w:val="22"/>
          <w:szCs w:val="22"/>
        </w:rPr>
      </w:pPr>
    </w:p>
    <w:p w14:paraId="5C5ACCC0" w14:textId="77777777" w:rsidR="00CE24D6" w:rsidRPr="001B12A9" w:rsidRDefault="00CE24D6" w:rsidP="00CE24D6">
      <w:pPr>
        <w:pStyle w:val="ListParagraph"/>
        <w:numPr>
          <w:ilvl w:val="0"/>
          <w:numId w:val="1"/>
        </w:numPr>
        <w:jc w:val="both"/>
        <w:rPr>
          <w:rFonts w:cstheme="minorHAnsi"/>
          <w:sz w:val="22"/>
          <w:szCs w:val="22"/>
        </w:rPr>
      </w:pPr>
      <w:r w:rsidRPr="001B12A9">
        <w:rPr>
          <w:rFonts w:cstheme="minorHAnsi"/>
          <w:sz w:val="22"/>
          <w:szCs w:val="22"/>
        </w:rPr>
        <w:t>Websites</w:t>
      </w:r>
      <w:r w:rsidR="00A62B48" w:rsidRPr="001B12A9">
        <w:rPr>
          <w:rFonts w:cstheme="minorHAnsi"/>
          <w:sz w:val="22"/>
          <w:szCs w:val="22"/>
        </w:rPr>
        <w:t>:</w:t>
      </w:r>
      <w:r w:rsidR="000407B4" w:rsidRPr="001B12A9">
        <w:rPr>
          <w:rFonts w:cstheme="minorHAnsi"/>
          <w:sz w:val="22"/>
          <w:szCs w:val="22"/>
        </w:rPr>
        <w:t xml:space="preserve"> </w:t>
      </w:r>
      <w:r w:rsidR="00A62B48" w:rsidRPr="001B12A9">
        <w:rPr>
          <w:rFonts w:cstheme="minorHAnsi"/>
          <w:sz w:val="22"/>
          <w:szCs w:val="22"/>
        </w:rPr>
        <w:t>The organization website is an excellent way to provide practical info</w:t>
      </w:r>
      <w:r w:rsidR="000407B4" w:rsidRPr="001B12A9">
        <w:rPr>
          <w:rFonts w:cstheme="minorHAnsi"/>
          <w:sz w:val="22"/>
          <w:szCs w:val="22"/>
        </w:rPr>
        <w:t>rm</w:t>
      </w:r>
      <w:r w:rsidR="00A62B48" w:rsidRPr="001B12A9">
        <w:rPr>
          <w:rFonts w:cstheme="minorHAnsi"/>
          <w:sz w:val="22"/>
          <w:szCs w:val="22"/>
        </w:rPr>
        <w:t xml:space="preserve">ation about how to obtain services. </w:t>
      </w:r>
      <w:r w:rsidR="000407B4" w:rsidRPr="001B12A9">
        <w:rPr>
          <w:rFonts w:cstheme="minorHAnsi"/>
          <w:sz w:val="22"/>
          <w:szCs w:val="22"/>
        </w:rPr>
        <w:t>Keeping the site current and easy to navigate is important, especially if</w:t>
      </w:r>
      <w:r w:rsidR="00A93FEC" w:rsidRPr="001B12A9">
        <w:rPr>
          <w:rFonts w:cstheme="minorHAnsi"/>
          <w:sz w:val="22"/>
          <w:szCs w:val="22"/>
        </w:rPr>
        <w:t xml:space="preserve"> using QR codes that direct to the site to </w:t>
      </w:r>
      <w:r w:rsidR="000407B4" w:rsidRPr="001B12A9">
        <w:rPr>
          <w:rFonts w:cstheme="minorHAnsi"/>
          <w:sz w:val="22"/>
          <w:szCs w:val="22"/>
        </w:rPr>
        <w:t>remind</w:t>
      </w:r>
      <w:r w:rsidR="00A93FEC" w:rsidRPr="001B12A9">
        <w:rPr>
          <w:rFonts w:cstheme="minorHAnsi"/>
          <w:sz w:val="22"/>
          <w:szCs w:val="22"/>
        </w:rPr>
        <w:t xml:space="preserve"> </w:t>
      </w:r>
      <w:r w:rsidR="000407B4" w:rsidRPr="001B12A9">
        <w:rPr>
          <w:rFonts w:cstheme="minorHAnsi"/>
          <w:sz w:val="22"/>
          <w:szCs w:val="22"/>
        </w:rPr>
        <w:t>people</w:t>
      </w:r>
      <w:r w:rsidR="00A93FEC" w:rsidRPr="001B12A9">
        <w:rPr>
          <w:rFonts w:cstheme="minorHAnsi"/>
          <w:sz w:val="22"/>
          <w:szCs w:val="22"/>
        </w:rPr>
        <w:t xml:space="preserve">  of the activities, services, and programs of a specific event.</w:t>
      </w:r>
    </w:p>
    <w:p w14:paraId="226DC2C9" w14:textId="77777777" w:rsidR="00CE24D6" w:rsidRPr="001B12A9" w:rsidRDefault="000407B4" w:rsidP="00A93FEC">
      <w:pPr>
        <w:pStyle w:val="ListParagraph"/>
        <w:jc w:val="both"/>
        <w:rPr>
          <w:rFonts w:cstheme="minorHAnsi"/>
          <w:sz w:val="22"/>
          <w:szCs w:val="22"/>
        </w:rPr>
      </w:pPr>
      <w:r w:rsidRPr="001B12A9">
        <w:rPr>
          <w:rFonts w:cstheme="minorHAnsi"/>
          <w:sz w:val="22"/>
          <w:szCs w:val="22"/>
        </w:rPr>
        <w:t>A</w:t>
      </w:r>
      <w:r w:rsidR="00A93FEC" w:rsidRPr="001B12A9">
        <w:rPr>
          <w:rFonts w:cstheme="minorHAnsi"/>
          <w:sz w:val="22"/>
          <w:szCs w:val="22"/>
        </w:rPr>
        <w:t xml:space="preserve">ll </w:t>
      </w:r>
      <w:r w:rsidRPr="001B12A9">
        <w:rPr>
          <w:rFonts w:cstheme="minorHAnsi"/>
          <w:sz w:val="22"/>
          <w:szCs w:val="22"/>
        </w:rPr>
        <w:t>websites</w:t>
      </w:r>
      <w:r w:rsidR="00A93FEC" w:rsidRPr="001B12A9">
        <w:rPr>
          <w:rFonts w:cstheme="minorHAnsi"/>
          <w:sz w:val="22"/>
          <w:szCs w:val="22"/>
        </w:rPr>
        <w:t xml:space="preserve"> funded with federal funds must meet the accessibility </w:t>
      </w:r>
      <w:r w:rsidR="00690355" w:rsidRPr="001B12A9">
        <w:rPr>
          <w:rFonts w:cstheme="minorHAnsi"/>
          <w:sz w:val="22"/>
          <w:szCs w:val="22"/>
        </w:rPr>
        <w:t>requirements</w:t>
      </w:r>
      <w:r w:rsidR="00A93FEC" w:rsidRPr="001B12A9">
        <w:rPr>
          <w:rFonts w:cstheme="minorHAnsi"/>
          <w:sz w:val="22"/>
          <w:szCs w:val="22"/>
        </w:rPr>
        <w:t xml:space="preserve"> established by section 508 of the </w:t>
      </w:r>
      <w:r w:rsidR="00690355" w:rsidRPr="001B12A9">
        <w:rPr>
          <w:rFonts w:cstheme="minorHAnsi"/>
          <w:sz w:val="22"/>
          <w:szCs w:val="22"/>
        </w:rPr>
        <w:t>Rehabilitation</w:t>
      </w:r>
      <w:r w:rsidR="00A93FEC" w:rsidRPr="001B12A9">
        <w:rPr>
          <w:rFonts w:cstheme="minorHAnsi"/>
          <w:sz w:val="22"/>
          <w:szCs w:val="22"/>
        </w:rPr>
        <w:t xml:space="preserve"> Act of 1973.</w:t>
      </w:r>
      <w:r w:rsidR="00690355" w:rsidRPr="001B12A9">
        <w:rPr>
          <w:rFonts w:cstheme="minorHAnsi"/>
          <w:sz w:val="22"/>
          <w:szCs w:val="22"/>
        </w:rPr>
        <w:t xml:space="preserve"> For more information see </w:t>
      </w:r>
      <w:hyperlink r:id="rId15" w:history="1">
        <w:r w:rsidR="00690355" w:rsidRPr="001B12A9">
          <w:rPr>
            <w:rStyle w:val="Hyperlink"/>
            <w:rFonts w:cstheme="minorHAnsi"/>
            <w:sz w:val="22"/>
            <w:szCs w:val="22"/>
          </w:rPr>
          <w:t>http://www.section508.gov/</w:t>
        </w:r>
      </w:hyperlink>
      <w:r w:rsidR="00690355" w:rsidRPr="001B12A9">
        <w:rPr>
          <w:rFonts w:cstheme="minorHAnsi"/>
          <w:sz w:val="22"/>
          <w:szCs w:val="22"/>
        </w:rPr>
        <w:t xml:space="preserve"> </w:t>
      </w:r>
    </w:p>
    <w:p w14:paraId="67D6551C" w14:textId="77777777" w:rsidR="00690355" w:rsidRPr="001B12A9" w:rsidRDefault="00690355" w:rsidP="00A93FEC">
      <w:pPr>
        <w:pStyle w:val="ListParagraph"/>
        <w:jc w:val="both"/>
        <w:rPr>
          <w:rFonts w:cstheme="minorHAnsi"/>
          <w:sz w:val="22"/>
          <w:szCs w:val="22"/>
        </w:rPr>
      </w:pPr>
    </w:p>
    <w:p w14:paraId="248C06F0" w14:textId="77777777" w:rsidR="00CE24D6" w:rsidRPr="001B12A9" w:rsidRDefault="00B74039" w:rsidP="00CE24D6">
      <w:pPr>
        <w:pStyle w:val="ListParagraph"/>
        <w:numPr>
          <w:ilvl w:val="0"/>
          <w:numId w:val="1"/>
        </w:numPr>
        <w:jc w:val="both"/>
        <w:rPr>
          <w:rFonts w:cstheme="minorHAnsi"/>
          <w:sz w:val="22"/>
          <w:szCs w:val="22"/>
        </w:rPr>
      </w:pPr>
      <w:r w:rsidRPr="001B12A9">
        <w:rPr>
          <w:rFonts w:cstheme="minorHAnsi"/>
          <w:sz w:val="22"/>
          <w:szCs w:val="22"/>
        </w:rPr>
        <w:t>Email Communications</w:t>
      </w:r>
      <w:r w:rsidR="00A93FEC" w:rsidRPr="001B12A9">
        <w:rPr>
          <w:rFonts w:cstheme="minorHAnsi"/>
          <w:sz w:val="22"/>
          <w:szCs w:val="22"/>
        </w:rPr>
        <w:t xml:space="preserve">: </w:t>
      </w:r>
      <w:r w:rsidR="009E374D" w:rsidRPr="001B12A9">
        <w:rPr>
          <w:rFonts w:cstheme="minorHAnsi"/>
          <w:sz w:val="22"/>
          <w:szCs w:val="22"/>
        </w:rPr>
        <w:t>Signature lines can include an additional website link, QR code, or description of an upcoming event or workforce activities, services, and/or program offerings. Use plain language wherever possible.</w:t>
      </w:r>
    </w:p>
    <w:p w14:paraId="2AF2F104" w14:textId="77777777" w:rsidR="00690355" w:rsidRPr="001B12A9" w:rsidRDefault="00690355" w:rsidP="00690355">
      <w:pPr>
        <w:jc w:val="both"/>
        <w:rPr>
          <w:rFonts w:cstheme="minorHAnsi"/>
          <w:sz w:val="22"/>
          <w:szCs w:val="22"/>
        </w:rPr>
      </w:pPr>
    </w:p>
    <w:p w14:paraId="4514F966" w14:textId="77777777" w:rsidR="00B74039" w:rsidRPr="001B12A9" w:rsidRDefault="00B74039" w:rsidP="00CE24D6">
      <w:pPr>
        <w:pStyle w:val="ListParagraph"/>
        <w:numPr>
          <w:ilvl w:val="0"/>
          <w:numId w:val="1"/>
        </w:numPr>
        <w:jc w:val="both"/>
        <w:rPr>
          <w:rFonts w:cstheme="minorHAnsi"/>
          <w:sz w:val="22"/>
          <w:szCs w:val="22"/>
        </w:rPr>
      </w:pPr>
      <w:r w:rsidRPr="001B12A9">
        <w:rPr>
          <w:rFonts w:cstheme="minorHAnsi"/>
          <w:sz w:val="22"/>
          <w:szCs w:val="22"/>
        </w:rPr>
        <w:t>Text Messages</w:t>
      </w:r>
      <w:r w:rsidR="00690355" w:rsidRPr="001B12A9">
        <w:rPr>
          <w:rFonts w:cstheme="minorHAnsi"/>
          <w:sz w:val="22"/>
          <w:szCs w:val="22"/>
        </w:rPr>
        <w:t xml:space="preserve"> (SMS Applications)</w:t>
      </w:r>
      <w:r w:rsidRPr="001B12A9">
        <w:rPr>
          <w:rFonts w:cstheme="minorHAnsi"/>
          <w:sz w:val="22"/>
          <w:szCs w:val="22"/>
        </w:rPr>
        <w:t>:</w:t>
      </w:r>
      <w:r w:rsidR="003D05F0" w:rsidRPr="001B12A9">
        <w:rPr>
          <w:rFonts w:cstheme="minorHAnsi"/>
          <w:sz w:val="22"/>
          <w:szCs w:val="22"/>
        </w:rPr>
        <w:t xml:space="preserve"> </w:t>
      </w:r>
      <w:r w:rsidR="00690355" w:rsidRPr="001B12A9">
        <w:rPr>
          <w:rFonts w:cstheme="minorHAnsi"/>
          <w:sz w:val="22"/>
          <w:szCs w:val="22"/>
        </w:rPr>
        <w:t>T</w:t>
      </w:r>
      <w:r w:rsidR="00C0797C" w:rsidRPr="001B12A9">
        <w:rPr>
          <w:rFonts w:cstheme="minorHAnsi"/>
          <w:sz w:val="22"/>
          <w:szCs w:val="22"/>
        </w:rPr>
        <w:t>ext messages may be used</w:t>
      </w:r>
      <w:r w:rsidR="003D05F0" w:rsidRPr="001B12A9">
        <w:rPr>
          <w:rFonts w:cstheme="minorHAnsi"/>
          <w:sz w:val="22"/>
          <w:szCs w:val="22"/>
        </w:rPr>
        <w:t xml:space="preserve"> to communicate with participants in real time to remind participants of upcoming appointments or outstanding documents, to promote a new program/service offering, or to blast out employment opportunities. </w:t>
      </w:r>
      <w:r w:rsidR="004065FB" w:rsidRPr="001B12A9">
        <w:rPr>
          <w:rFonts w:cstheme="minorHAnsi"/>
          <w:sz w:val="22"/>
          <w:szCs w:val="22"/>
        </w:rPr>
        <w:t>They can also be used to</w:t>
      </w:r>
      <w:r w:rsidR="003D05F0" w:rsidRPr="001B12A9">
        <w:rPr>
          <w:rFonts w:cstheme="minorHAnsi"/>
          <w:sz w:val="22"/>
          <w:szCs w:val="22"/>
        </w:rPr>
        <w:t xml:space="preserve"> bolster traditional and effective word-of</w:t>
      </w:r>
      <w:r w:rsidR="00690355" w:rsidRPr="001B12A9">
        <w:rPr>
          <w:rFonts w:cstheme="minorHAnsi"/>
          <w:sz w:val="22"/>
          <w:szCs w:val="22"/>
        </w:rPr>
        <w:t>-</w:t>
      </w:r>
      <w:r w:rsidR="003D05F0" w:rsidRPr="001B12A9">
        <w:rPr>
          <w:rFonts w:cstheme="minorHAnsi"/>
          <w:sz w:val="22"/>
          <w:szCs w:val="22"/>
        </w:rPr>
        <w:t xml:space="preserve">mouth outreach by prompting participants who may be in the company of other potential eligible candidates to speak about the opportunity, to put it on their social media accounts, or to forward the text to others who may benefit. </w:t>
      </w:r>
      <w:r w:rsidR="004065FB" w:rsidRPr="001B12A9">
        <w:rPr>
          <w:rFonts w:cstheme="minorHAnsi"/>
          <w:sz w:val="22"/>
          <w:szCs w:val="22"/>
        </w:rPr>
        <w:t>I</w:t>
      </w:r>
      <w:r w:rsidR="003D05F0" w:rsidRPr="001B12A9">
        <w:rPr>
          <w:rFonts w:cstheme="minorHAnsi"/>
          <w:sz w:val="22"/>
          <w:szCs w:val="22"/>
        </w:rPr>
        <w:t>t is important to review the data privacy policies of these text messaging applications and other social media platforms.</w:t>
      </w:r>
    </w:p>
    <w:p w14:paraId="50B09AD1" w14:textId="77777777" w:rsidR="004065FB" w:rsidRPr="001B12A9" w:rsidRDefault="004065FB" w:rsidP="004065FB">
      <w:pPr>
        <w:pStyle w:val="ListParagraph"/>
        <w:rPr>
          <w:rFonts w:cstheme="minorHAnsi"/>
          <w:sz w:val="22"/>
          <w:szCs w:val="22"/>
        </w:rPr>
      </w:pPr>
    </w:p>
    <w:p w14:paraId="223018D2" w14:textId="77777777" w:rsidR="00CE24D6" w:rsidRPr="001B12A9" w:rsidRDefault="00CE24D6" w:rsidP="00CE24D6">
      <w:pPr>
        <w:pStyle w:val="ListParagraph"/>
        <w:numPr>
          <w:ilvl w:val="0"/>
          <w:numId w:val="1"/>
        </w:numPr>
        <w:jc w:val="both"/>
        <w:rPr>
          <w:rFonts w:cstheme="minorHAnsi"/>
          <w:sz w:val="22"/>
          <w:szCs w:val="22"/>
        </w:rPr>
      </w:pPr>
      <w:r w:rsidRPr="001B12A9">
        <w:rPr>
          <w:rFonts w:cstheme="minorHAnsi"/>
          <w:sz w:val="22"/>
          <w:szCs w:val="22"/>
        </w:rPr>
        <w:t>Social Media</w:t>
      </w:r>
      <w:r w:rsidR="003D05F0" w:rsidRPr="001B12A9">
        <w:rPr>
          <w:rFonts w:cstheme="minorHAnsi"/>
          <w:sz w:val="22"/>
          <w:szCs w:val="22"/>
        </w:rPr>
        <w:t xml:space="preserve">: The use of grant funds to create social media accounts, such as Instagram, Facebook, LinkedIn, and other platform accounts to promote the grant services offered, raise awareness of the program, and strengthen relations with the community is an effective way to virtually connect </w:t>
      </w:r>
      <w:r w:rsidR="003D05F0" w:rsidRPr="001B12A9">
        <w:rPr>
          <w:rFonts w:cstheme="minorHAnsi"/>
          <w:sz w:val="22"/>
          <w:szCs w:val="22"/>
        </w:rPr>
        <w:lastRenderedPageBreak/>
        <w:t>with customers regardless of distance. This is not an exhaustive list; however, grantees must comply with the grant award terms, especially those for prohibited platforms/vendors. For instance, the grantee can follow other local community-based organizations on social media, like their Facebook stories, congratulate their progress on LinkedIn, and share photos and short clips of them on its Instagram (and do not forget to tag them!). These are all cost-effective ways to create a social media presence online. Please note there may be Federal or state laws that prohibit the use of certain platforms, so grantees should be aware of any restrictions before use. In addition, grant award terms may prohibit certain activities, such as lobbying. These restrictions apply to social media activity as well. For more ideas on how to develop social media strategies, view the webinar: Yes, WIOA Can! Post, Like, Follow, Share! Using Social Media as an Outreach and Marketing</w:t>
      </w:r>
    </w:p>
    <w:p w14:paraId="2A35026A" w14:textId="77777777" w:rsidR="00B40296" w:rsidRPr="001B12A9" w:rsidRDefault="00B40296" w:rsidP="00B40296">
      <w:pPr>
        <w:jc w:val="both"/>
        <w:rPr>
          <w:rFonts w:cstheme="minorHAnsi"/>
          <w:sz w:val="22"/>
          <w:szCs w:val="22"/>
        </w:rPr>
      </w:pPr>
    </w:p>
    <w:p w14:paraId="4EAA52FB" w14:textId="77777777" w:rsidR="00CE24D6" w:rsidRPr="001B12A9" w:rsidRDefault="00CE24D6" w:rsidP="00CE24D6">
      <w:pPr>
        <w:pStyle w:val="ListParagraph"/>
        <w:numPr>
          <w:ilvl w:val="0"/>
          <w:numId w:val="1"/>
        </w:numPr>
        <w:jc w:val="both"/>
        <w:rPr>
          <w:rFonts w:cstheme="minorHAnsi"/>
          <w:sz w:val="22"/>
          <w:szCs w:val="22"/>
        </w:rPr>
      </w:pPr>
      <w:r w:rsidRPr="001B12A9">
        <w:rPr>
          <w:rFonts w:cstheme="minorHAnsi"/>
          <w:sz w:val="22"/>
          <w:szCs w:val="22"/>
        </w:rPr>
        <w:t>Quick Response (QR) Codes</w:t>
      </w:r>
      <w:r w:rsidR="003D05F0" w:rsidRPr="001B12A9">
        <w:rPr>
          <w:rFonts w:cstheme="minorHAnsi"/>
          <w:sz w:val="22"/>
          <w:szCs w:val="22"/>
        </w:rPr>
        <w:t>:</w:t>
      </w:r>
      <w:r w:rsidR="00923FC5" w:rsidRPr="001B12A9">
        <w:rPr>
          <w:rFonts w:cstheme="minorHAnsi"/>
          <w:sz w:val="22"/>
          <w:szCs w:val="22"/>
        </w:rPr>
        <w:t xml:space="preserve"> QR codes are a barcode-like graphic, comprised of machine-readable information. When someone uses a cell phone to take a picture of the QR code, the phone recognizes the machine-readable information, and can then go to a specific website. QR codes are a quick way to disseminate information can provide information about </w:t>
      </w:r>
      <w:r w:rsidR="001F7FE1" w:rsidRPr="001B12A9">
        <w:rPr>
          <w:rFonts w:cstheme="minorHAnsi"/>
          <w:sz w:val="22"/>
          <w:szCs w:val="22"/>
        </w:rPr>
        <w:t>workforce services</w:t>
      </w:r>
      <w:r w:rsidR="00923FC5" w:rsidRPr="001B12A9">
        <w:rPr>
          <w:rFonts w:cstheme="minorHAnsi"/>
          <w:sz w:val="22"/>
          <w:szCs w:val="22"/>
        </w:rPr>
        <w:t xml:space="preserve">. </w:t>
      </w:r>
      <w:r w:rsidR="00E8415D" w:rsidRPr="001B12A9">
        <w:rPr>
          <w:rFonts w:cstheme="minorHAnsi"/>
          <w:sz w:val="22"/>
          <w:szCs w:val="22"/>
        </w:rPr>
        <w:t>Note that accessibility standards apply to QR codes.</w:t>
      </w:r>
    </w:p>
    <w:p w14:paraId="773E430B" w14:textId="77777777" w:rsidR="001F7FE1" w:rsidRPr="001B12A9" w:rsidRDefault="001F7FE1" w:rsidP="001F7FE1">
      <w:pPr>
        <w:pStyle w:val="ListParagraph"/>
        <w:rPr>
          <w:rFonts w:cstheme="minorHAnsi"/>
          <w:sz w:val="22"/>
          <w:szCs w:val="22"/>
        </w:rPr>
      </w:pPr>
    </w:p>
    <w:p w14:paraId="2A9EF15D" w14:textId="77777777" w:rsidR="007030B8" w:rsidRPr="001B12A9" w:rsidRDefault="00CE24D6" w:rsidP="00CE24D6">
      <w:pPr>
        <w:pStyle w:val="ListParagraph"/>
        <w:numPr>
          <w:ilvl w:val="0"/>
          <w:numId w:val="1"/>
        </w:numPr>
        <w:jc w:val="both"/>
        <w:rPr>
          <w:rFonts w:cstheme="minorHAnsi"/>
          <w:sz w:val="22"/>
          <w:szCs w:val="22"/>
        </w:rPr>
      </w:pPr>
      <w:r w:rsidRPr="001B12A9">
        <w:rPr>
          <w:rFonts w:cstheme="minorHAnsi"/>
          <w:sz w:val="22"/>
          <w:szCs w:val="22"/>
        </w:rPr>
        <w:t>Influencers</w:t>
      </w:r>
      <w:r w:rsidR="00923FC5" w:rsidRPr="001B12A9">
        <w:rPr>
          <w:rFonts w:cstheme="minorHAnsi"/>
          <w:sz w:val="22"/>
          <w:szCs w:val="22"/>
        </w:rPr>
        <w:t xml:space="preserve">: Influencers are people that have often amassed large followings via different types of media platforms and use their power of influence to communicate information. Influencers may be able to assist grantees in outreach activities to potential participants </w:t>
      </w:r>
      <w:r w:rsidR="007030B8" w:rsidRPr="001B12A9">
        <w:rPr>
          <w:rFonts w:cstheme="minorHAnsi"/>
          <w:sz w:val="22"/>
          <w:szCs w:val="22"/>
        </w:rPr>
        <w:t>regarding programs and services. Grantees should consider the Uniform Guidance’s Cost Principles, as well as the influencer’s reputation, follower base, any state or local vetting requirements, the receptivity of potential participants, the technology access of participants, and the cost/benefit compared to a more traditional outreach modality</w:t>
      </w:r>
    </w:p>
    <w:p w14:paraId="2E9E33B6" w14:textId="77777777" w:rsidR="001F7FE1" w:rsidRPr="001B12A9" w:rsidRDefault="001F7FE1" w:rsidP="001F7FE1">
      <w:pPr>
        <w:pStyle w:val="ListParagraph"/>
        <w:rPr>
          <w:rFonts w:cstheme="minorHAnsi"/>
          <w:sz w:val="22"/>
          <w:szCs w:val="22"/>
        </w:rPr>
      </w:pPr>
    </w:p>
    <w:p w14:paraId="06328611" w14:textId="77777777" w:rsidR="00CE24D6" w:rsidRPr="001B12A9" w:rsidRDefault="00CE24D6" w:rsidP="00CE24D6">
      <w:pPr>
        <w:pStyle w:val="ListParagraph"/>
        <w:numPr>
          <w:ilvl w:val="0"/>
          <w:numId w:val="1"/>
        </w:numPr>
        <w:jc w:val="both"/>
        <w:rPr>
          <w:rFonts w:cstheme="minorHAnsi"/>
          <w:sz w:val="22"/>
          <w:szCs w:val="22"/>
        </w:rPr>
      </w:pPr>
      <w:r w:rsidRPr="001B12A9">
        <w:rPr>
          <w:rFonts w:cstheme="minorHAnsi"/>
          <w:sz w:val="22"/>
          <w:szCs w:val="22"/>
        </w:rPr>
        <w:t>Blog and Podcast Interviews</w:t>
      </w:r>
      <w:r w:rsidR="00923FC5" w:rsidRPr="001B12A9">
        <w:rPr>
          <w:rFonts w:cstheme="minorHAnsi"/>
          <w:sz w:val="22"/>
          <w:szCs w:val="22"/>
        </w:rPr>
        <w:t xml:space="preserve">: These platforms are usually interactive content that may be individually or serially posted and can discuss a Federally-funded activity, service, or program offering to a specifically targeted audience. </w:t>
      </w:r>
    </w:p>
    <w:p w14:paraId="5B4DEF73" w14:textId="77777777" w:rsidR="007D324F" w:rsidRPr="001B12A9" w:rsidRDefault="007D324F" w:rsidP="007D324F">
      <w:pPr>
        <w:pStyle w:val="ListParagraph"/>
        <w:rPr>
          <w:rFonts w:cstheme="minorHAnsi"/>
          <w:sz w:val="22"/>
          <w:szCs w:val="22"/>
        </w:rPr>
      </w:pPr>
    </w:p>
    <w:p w14:paraId="57E7EE3C" w14:textId="77777777" w:rsidR="00923FC5" w:rsidRPr="001B12A9" w:rsidRDefault="00CE24D6" w:rsidP="00923FC5">
      <w:pPr>
        <w:pStyle w:val="ListParagraph"/>
        <w:numPr>
          <w:ilvl w:val="0"/>
          <w:numId w:val="1"/>
        </w:numPr>
        <w:jc w:val="both"/>
        <w:rPr>
          <w:rFonts w:cstheme="minorHAnsi"/>
          <w:sz w:val="22"/>
          <w:szCs w:val="22"/>
        </w:rPr>
      </w:pPr>
      <w:r w:rsidRPr="001B12A9">
        <w:rPr>
          <w:rFonts w:cstheme="minorHAnsi"/>
          <w:sz w:val="22"/>
          <w:szCs w:val="22"/>
        </w:rPr>
        <w:t>Mobile American Job Centers</w:t>
      </w:r>
      <w:r w:rsidR="00923FC5" w:rsidRPr="001B12A9">
        <w:rPr>
          <w:rFonts w:cstheme="minorHAnsi"/>
          <w:sz w:val="22"/>
          <w:szCs w:val="22"/>
        </w:rPr>
        <w:t>: To reach people where they live</w:t>
      </w:r>
      <w:r w:rsidR="007D324F" w:rsidRPr="001B12A9">
        <w:rPr>
          <w:rFonts w:cstheme="minorHAnsi"/>
          <w:sz w:val="22"/>
          <w:szCs w:val="22"/>
        </w:rPr>
        <w:t>,</w:t>
      </w:r>
      <w:r w:rsidR="00923FC5" w:rsidRPr="001B12A9">
        <w:rPr>
          <w:rFonts w:cstheme="minorHAnsi"/>
          <w:sz w:val="22"/>
          <w:szCs w:val="22"/>
        </w:rPr>
        <w:t xml:space="preserve"> grantees may consider purchasing a vehicle to conduct outreach as well as provide services. The Uniform Guidance considers motor vehicles </w:t>
      </w:r>
      <w:r w:rsidR="004074C5" w:rsidRPr="001B12A9">
        <w:rPr>
          <w:rFonts w:cstheme="minorHAnsi"/>
          <w:sz w:val="22"/>
          <w:szCs w:val="22"/>
        </w:rPr>
        <w:t xml:space="preserve">and their maintenance </w:t>
      </w:r>
      <w:r w:rsidR="00923FC5" w:rsidRPr="001B12A9">
        <w:rPr>
          <w:rFonts w:cstheme="minorHAnsi"/>
          <w:sz w:val="22"/>
          <w:szCs w:val="22"/>
        </w:rPr>
        <w:t xml:space="preserve">as </w:t>
      </w:r>
      <w:r w:rsidR="004074C5" w:rsidRPr="001B12A9">
        <w:rPr>
          <w:rFonts w:cstheme="minorHAnsi"/>
          <w:sz w:val="22"/>
          <w:szCs w:val="22"/>
        </w:rPr>
        <w:t>allowable costs under the Cost Principles. I</w:t>
      </w:r>
      <w:r w:rsidR="00923FC5" w:rsidRPr="001B12A9">
        <w:rPr>
          <w:rFonts w:cstheme="minorHAnsi"/>
          <w:sz w:val="22"/>
          <w:szCs w:val="22"/>
        </w:rPr>
        <w:t>n some circumstances, prior written approval from DOL-ETA may be required. If the motor vehicle benefits two or more programs, the cost of the mobile AJC and the costs to maintain the vehicle must be allocated to the other programs based on the relative benefit received (2 CFR 200.405(d)).</w:t>
      </w:r>
      <w:r w:rsidR="004074C5" w:rsidRPr="001B12A9">
        <w:rPr>
          <w:rFonts w:cstheme="minorHAnsi"/>
          <w:sz w:val="22"/>
          <w:szCs w:val="22"/>
        </w:rPr>
        <w:t xml:space="preserve"> </w:t>
      </w:r>
      <w:r w:rsidR="00923FC5" w:rsidRPr="001B12A9">
        <w:rPr>
          <w:rFonts w:cstheme="minorHAnsi"/>
          <w:sz w:val="22"/>
          <w:szCs w:val="22"/>
        </w:rPr>
        <w:t xml:space="preserve">Grantees are encouraged to leverage </w:t>
      </w:r>
      <w:r w:rsidR="007D324F" w:rsidRPr="001B12A9">
        <w:rPr>
          <w:rFonts w:cstheme="minorHAnsi"/>
          <w:sz w:val="22"/>
          <w:szCs w:val="22"/>
        </w:rPr>
        <w:t>partnerships</w:t>
      </w:r>
      <w:r w:rsidR="00923FC5" w:rsidRPr="001B12A9">
        <w:rPr>
          <w:rFonts w:cstheme="minorHAnsi"/>
          <w:sz w:val="22"/>
          <w:szCs w:val="22"/>
        </w:rPr>
        <w:t xml:space="preserve">, as appropriate, when </w:t>
      </w:r>
      <w:r w:rsidR="007D324F" w:rsidRPr="001B12A9">
        <w:rPr>
          <w:rFonts w:cstheme="minorHAnsi"/>
          <w:sz w:val="22"/>
          <w:szCs w:val="22"/>
        </w:rPr>
        <w:t>utilizing</w:t>
      </w:r>
      <w:r w:rsidR="00923FC5" w:rsidRPr="001B12A9">
        <w:rPr>
          <w:rFonts w:cstheme="minorHAnsi"/>
          <w:sz w:val="22"/>
          <w:szCs w:val="22"/>
        </w:rPr>
        <w:t xml:space="preserve"> a mobile AJC unit.</w:t>
      </w:r>
    </w:p>
    <w:p w14:paraId="77AB5D5E" w14:textId="77777777" w:rsidR="00923FC5" w:rsidRPr="001B12A9" w:rsidRDefault="00923FC5" w:rsidP="00923FC5">
      <w:pPr>
        <w:ind w:left="720"/>
        <w:jc w:val="both"/>
        <w:rPr>
          <w:rFonts w:cstheme="minorHAnsi"/>
          <w:sz w:val="22"/>
          <w:szCs w:val="22"/>
        </w:rPr>
      </w:pPr>
    </w:p>
    <w:p w14:paraId="0429DCBB" w14:textId="77777777" w:rsidR="00923FC5" w:rsidRPr="001B12A9" w:rsidRDefault="00923FC5" w:rsidP="00923FC5">
      <w:pPr>
        <w:ind w:left="720"/>
        <w:jc w:val="both"/>
        <w:rPr>
          <w:rFonts w:cstheme="minorHAnsi"/>
          <w:sz w:val="22"/>
          <w:szCs w:val="22"/>
        </w:rPr>
      </w:pPr>
      <w:r w:rsidRPr="001B12A9">
        <w:rPr>
          <w:rFonts w:cstheme="minorHAnsi"/>
          <w:b/>
          <w:sz w:val="22"/>
          <w:szCs w:val="22"/>
        </w:rPr>
        <w:t>Outreach in Multiple Languages</w:t>
      </w:r>
      <w:r w:rsidR="0012188C" w:rsidRPr="001B12A9">
        <w:rPr>
          <w:rFonts w:cstheme="minorHAnsi"/>
          <w:sz w:val="22"/>
          <w:szCs w:val="22"/>
        </w:rPr>
        <w:t>: Grantees can use funds to create materials in multiple languages or to procure translation and interpretation services. It is important when developing outreach strategies to make sure all potential participants, including those that speak languages other than English, are aware of services available.</w:t>
      </w:r>
    </w:p>
    <w:p w14:paraId="5505B5E5" w14:textId="77777777" w:rsidR="004065FB" w:rsidRPr="001B12A9" w:rsidRDefault="004065FB" w:rsidP="00923FC5">
      <w:pPr>
        <w:ind w:left="720"/>
        <w:jc w:val="both"/>
        <w:rPr>
          <w:rFonts w:cstheme="minorHAnsi"/>
          <w:sz w:val="22"/>
          <w:szCs w:val="22"/>
        </w:rPr>
      </w:pPr>
    </w:p>
    <w:p w14:paraId="571FE25D" w14:textId="77777777" w:rsidR="00D91A4F" w:rsidRPr="001B12A9" w:rsidRDefault="007D324F" w:rsidP="00923FC5">
      <w:pPr>
        <w:ind w:left="720"/>
        <w:jc w:val="both"/>
        <w:rPr>
          <w:rFonts w:cstheme="minorHAnsi"/>
          <w:sz w:val="22"/>
          <w:szCs w:val="22"/>
        </w:rPr>
      </w:pPr>
      <w:r w:rsidRPr="001B12A9">
        <w:rPr>
          <w:rFonts w:cstheme="minorHAnsi"/>
          <w:b/>
          <w:sz w:val="22"/>
          <w:szCs w:val="22"/>
        </w:rPr>
        <w:lastRenderedPageBreak/>
        <w:t>Accessibility</w:t>
      </w:r>
      <w:r w:rsidR="004065FB" w:rsidRPr="001B12A9">
        <w:rPr>
          <w:rFonts w:cstheme="minorHAnsi"/>
          <w:sz w:val="22"/>
          <w:szCs w:val="22"/>
        </w:rPr>
        <w:t xml:space="preserve">: </w:t>
      </w:r>
      <w:r w:rsidR="00E54EFF" w:rsidRPr="001B12A9">
        <w:rPr>
          <w:rFonts w:cstheme="minorHAnsi"/>
          <w:sz w:val="22"/>
          <w:szCs w:val="22"/>
        </w:rPr>
        <w:t>Grantees must make information about their services accessible to individuals with disabilities by providing auxiliary aids and services, including information in alternative formats, and can use funds to ensure outreach materials are accessible.</w:t>
      </w:r>
      <w:r w:rsidR="000C2E39" w:rsidRPr="001B12A9">
        <w:rPr>
          <w:rFonts w:cstheme="minorHAnsi"/>
          <w:sz w:val="22"/>
          <w:szCs w:val="22"/>
        </w:rPr>
        <w:t xml:space="preserve"> </w:t>
      </w:r>
    </w:p>
    <w:p w14:paraId="7D3BF142" w14:textId="77777777" w:rsidR="00D91A4F" w:rsidRPr="001B12A9" w:rsidRDefault="00D91A4F" w:rsidP="00923FC5">
      <w:pPr>
        <w:ind w:left="720"/>
        <w:jc w:val="both"/>
        <w:rPr>
          <w:rFonts w:cstheme="minorHAnsi"/>
          <w:sz w:val="22"/>
          <w:szCs w:val="22"/>
        </w:rPr>
      </w:pPr>
    </w:p>
    <w:p w14:paraId="7FA36B42" w14:textId="77777777" w:rsidR="00D91A4F" w:rsidRPr="001B12A9" w:rsidRDefault="00D91A4F" w:rsidP="00923FC5">
      <w:pPr>
        <w:ind w:left="720"/>
        <w:jc w:val="both"/>
        <w:rPr>
          <w:rFonts w:cstheme="minorHAnsi"/>
          <w:sz w:val="22"/>
          <w:szCs w:val="22"/>
        </w:rPr>
      </w:pPr>
      <w:r w:rsidRPr="001B12A9">
        <w:rPr>
          <w:rFonts w:cstheme="minorHAnsi"/>
          <w:sz w:val="22"/>
          <w:szCs w:val="22"/>
        </w:rPr>
        <w:t xml:space="preserve">For more information see </w:t>
      </w:r>
      <w:r w:rsidR="000C2E39" w:rsidRPr="001B12A9">
        <w:rPr>
          <w:rFonts w:cstheme="minorHAnsi"/>
          <w:sz w:val="22"/>
          <w:szCs w:val="22"/>
        </w:rPr>
        <w:t xml:space="preserve">Government Services Administration’s (GSA) website on electronic and information technology accessibility </w:t>
      </w:r>
      <w:hyperlink r:id="rId16" w:history="1">
        <w:r w:rsidRPr="001B12A9">
          <w:rPr>
            <w:rStyle w:val="Hyperlink"/>
            <w:rFonts w:cstheme="minorHAnsi"/>
            <w:sz w:val="22"/>
            <w:szCs w:val="22"/>
          </w:rPr>
          <w:t>Section 508</w:t>
        </w:r>
      </w:hyperlink>
      <w:r w:rsidR="00E8415D" w:rsidRPr="001B12A9">
        <w:rPr>
          <w:rFonts w:cstheme="minorHAnsi"/>
          <w:sz w:val="22"/>
          <w:szCs w:val="22"/>
        </w:rPr>
        <w:t>.</w:t>
      </w:r>
    </w:p>
    <w:p w14:paraId="3B56AD9A" w14:textId="77777777" w:rsidR="008030A5" w:rsidRPr="001B12A9" w:rsidRDefault="008030A5" w:rsidP="00923FC5">
      <w:pPr>
        <w:ind w:left="720"/>
        <w:jc w:val="both"/>
        <w:rPr>
          <w:rFonts w:cstheme="minorHAnsi"/>
          <w:sz w:val="22"/>
          <w:szCs w:val="22"/>
        </w:rPr>
      </w:pPr>
    </w:p>
    <w:p w14:paraId="074EB2B5" w14:textId="77777777" w:rsidR="00923FC5" w:rsidRPr="001B12A9" w:rsidRDefault="008030A5" w:rsidP="00923FC5">
      <w:pPr>
        <w:ind w:left="720"/>
        <w:jc w:val="both"/>
        <w:rPr>
          <w:rFonts w:cstheme="minorHAnsi"/>
          <w:sz w:val="22"/>
          <w:szCs w:val="22"/>
        </w:rPr>
      </w:pPr>
      <w:r w:rsidRPr="001B12A9">
        <w:rPr>
          <w:rFonts w:cstheme="minorHAnsi"/>
          <w:sz w:val="22"/>
          <w:szCs w:val="22"/>
        </w:rPr>
        <w:t xml:space="preserve">USDOL’s </w:t>
      </w:r>
      <w:r w:rsidR="000C2E39" w:rsidRPr="001B12A9">
        <w:rPr>
          <w:rFonts w:cstheme="minorHAnsi"/>
          <w:sz w:val="22"/>
          <w:szCs w:val="22"/>
        </w:rPr>
        <w:t xml:space="preserve">Office of Disability Employment Policy, </w:t>
      </w:r>
      <w:r w:rsidRPr="001B12A9">
        <w:rPr>
          <w:rFonts w:cstheme="minorHAnsi"/>
          <w:sz w:val="22"/>
          <w:szCs w:val="22"/>
        </w:rPr>
        <w:t>US</w:t>
      </w:r>
      <w:r w:rsidR="000C2E39" w:rsidRPr="001B12A9">
        <w:rPr>
          <w:rFonts w:cstheme="minorHAnsi"/>
          <w:sz w:val="22"/>
          <w:szCs w:val="22"/>
        </w:rPr>
        <w:t xml:space="preserve"> Civil Rights Center, and ETA have created a WIOA 188 guide to nondiscrimination for individuals with disabilities, available </w:t>
      </w:r>
      <w:r w:rsidR="00425CA8" w:rsidRPr="001B12A9">
        <w:rPr>
          <w:rFonts w:cstheme="minorHAnsi"/>
          <w:sz w:val="22"/>
          <w:szCs w:val="22"/>
        </w:rPr>
        <w:t>at</w:t>
      </w:r>
      <w:r w:rsidR="003410B6" w:rsidRPr="001B12A9">
        <w:rPr>
          <w:rFonts w:cstheme="minorHAnsi"/>
          <w:sz w:val="22"/>
          <w:szCs w:val="22"/>
        </w:rPr>
        <w:t xml:space="preserve"> </w:t>
      </w:r>
      <w:hyperlink r:id="rId17" w:history="1">
        <w:r w:rsidR="00425CA8" w:rsidRPr="001B12A9">
          <w:rPr>
            <w:rFonts w:cstheme="minorHAnsi"/>
            <w:color w:val="0000FF"/>
            <w:sz w:val="22"/>
            <w:szCs w:val="22"/>
            <w:u w:val="single"/>
          </w:rPr>
          <w:t>Promising Practices In Achieving Nondiscrimination and Equal Opportunity: A Section 188 Disability Reference Guide | U.S. Department of Labor (dol.gov)</w:t>
        </w:r>
      </w:hyperlink>
    </w:p>
    <w:p w14:paraId="712A8159" w14:textId="77777777" w:rsidR="00923FC5" w:rsidRPr="001B12A9" w:rsidRDefault="00923FC5" w:rsidP="00923FC5">
      <w:pPr>
        <w:ind w:left="720"/>
        <w:jc w:val="both"/>
        <w:rPr>
          <w:rFonts w:cstheme="minorHAnsi"/>
          <w:sz w:val="22"/>
          <w:szCs w:val="22"/>
        </w:rPr>
      </w:pPr>
    </w:p>
    <w:p w14:paraId="06B12AFF" w14:textId="77777777" w:rsidR="00923FC5" w:rsidRDefault="00923FC5" w:rsidP="00923FC5">
      <w:pPr>
        <w:ind w:left="720"/>
        <w:jc w:val="both"/>
      </w:pPr>
    </w:p>
    <w:p w14:paraId="55CB2F42" w14:textId="77777777" w:rsidR="00CE24D6" w:rsidRDefault="00CE24D6" w:rsidP="00D951FC">
      <w:pPr>
        <w:jc w:val="both"/>
      </w:pPr>
    </w:p>
    <w:p w14:paraId="6EE0E0C6" w14:textId="77777777" w:rsidR="00A93FEC" w:rsidRDefault="00A93FEC" w:rsidP="00D951FC">
      <w:pPr>
        <w:jc w:val="both"/>
      </w:pPr>
    </w:p>
    <w:p w14:paraId="441BF80D" w14:textId="77777777" w:rsidR="00D951FC" w:rsidRPr="00CE24D6" w:rsidRDefault="00D951FC" w:rsidP="00D951FC">
      <w:pPr>
        <w:jc w:val="both"/>
      </w:pPr>
    </w:p>
    <w:p w14:paraId="0007E8C3" w14:textId="77777777" w:rsidR="00041173" w:rsidRPr="003910AA" w:rsidRDefault="00041173" w:rsidP="00EF581A">
      <w:pPr>
        <w:jc w:val="both"/>
      </w:pPr>
    </w:p>
    <w:sectPr w:rsidR="00041173" w:rsidRPr="003910AA" w:rsidSect="001B12A9">
      <w:headerReference w:type="first" r:id="rId18"/>
      <w:pgSz w:w="12240" w:h="15840"/>
      <w:pgMar w:top="1440" w:right="1440" w:bottom="216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4E12" w14:textId="77777777" w:rsidR="00F32C00" w:rsidRDefault="00F32C00" w:rsidP="00E001AA">
      <w:r>
        <w:separator/>
      </w:r>
    </w:p>
  </w:endnote>
  <w:endnote w:type="continuationSeparator" w:id="0">
    <w:p w14:paraId="08B3C5BA" w14:textId="77777777" w:rsidR="00F32C00" w:rsidRDefault="00F32C00" w:rsidP="00E0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402702"/>
      <w:docPartObj>
        <w:docPartGallery w:val="Page Numbers (Bottom of Page)"/>
        <w:docPartUnique/>
      </w:docPartObj>
    </w:sdtPr>
    <w:sdtEndPr>
      <w:rPr>
        <w:noProof/>
      </w:rPr>
    </w:sdtEndPr>
    <w:sdtContent>
      <w:p w14:paraId="5DB0336B" w14:textId="3633DE4C" w:rsidR="00CB668F" w:rsidRDefault="00FF127E">
        <w:pPr>
          <w:pStyle w:val="Footer"/>
          <w:jc w:val="right"/>
        </w:pPr>
        <w:r>
          <w:rPr>
            <w:noProof/>
          </w:rPr>
          <w:drawing>
            <wp:inline distT="0" distB="0" distL="0" distR="0" wp14:anchorId="7EE3E205" wp14:editId="62FB9955">
              <wp:extent cx="5943600" cy="873760"/>
              <wp:effectExtent l="0" t="0" r="0" b="2540"/>
              <wp:docPr id="1073741826" name="officeArt object"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6" name="officeArt object" descr="Background pattern&#10;&#10;Description automatically generated with low confidence"/>
                      <pic:cNvPicPr>
                        <a:picLocks noChangeAspect="1"/>
                      </pic:cNvPicPr>
                    </pic:nvPicPr>
                    <pic:blipFill>
                      <a:blip r:embed="rId1"/>
                      <a:srcRect/>
                      <a:stretch>
                        <a:fillRect/>
                      </a:stretch>
                    </pic:blipFill>
                    <pic:spPr>
                      <a:xfrm>
                        <a:off x="0" y="0"/>
                        <a:ext cx="5943600" cy="873760"/>
                      </a:xfrm>
                      <a:prstGeom prst="rect">
                        <a:avLst/>
                      </a:prstGeom>
                      <a:ln w="12700" cap="flat">
                        <a:noFill/>
                        <a:miter lim="400000"/>
                      </a:ln>
                      <a:effectLst/>
                    </pic:spPr>
                  </pic:pic>
                </a:graphicData>
              </a:graphic>
            </wp:inline>
          </w:drawing>
        </w:r>
        <w:r w:rsidR="00CB668F">
          <w:fldChar w:fldCharType="begin"/>
        </w:r>
        <w:r w:rsidR="00CB668F">
          <w:instrText xml:space="preserve"> PAGE   \* MERGEFORMAT </w:instrText>
        </w:r>
        <w:r w:rsidR="00CB668F">
          <w:fldChar w:fldCharType="separate"/>
        </w:r>
        <w:r w:rsidR="00CB668F">
          <w:rPr>
            <w:noProof/>
          </w:rPr>
          <w:t>2</w:t>
        </w:r>
        <w:r w:rsidR="00CB668F">
          <w:rPr>
            <w:noProof/>
          </w:rPr>
          <w:fldChar w:fldCharType="end"/>
        </w:r>
      </w:p>
    </w:sdtContent>
  </w:sdt>
  <w:p w14:paraId="4BB17EC4" w14:textId="77777777" w:rsidR="00E001AA" w:rsidRPr="00E001AA" w:rsidRDefault="00E001AA" w:rsidP="00E00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4A16" w14:textId="68040D4D" w:rsidR="00FF127E" w:rsidRDefault="00FF127E">
    <w:pPr>
      <w:pStyle w:val="Footer"/>
    </w:pPr>
    <w:r>
      <w:rPr>
        <w:noProof/>
      </w:rPr>
      <w:drawing>
        <wp:inline distT="0" distB="0" distL="0" distR="0" wp14:anchorId="7E7F1E9B" wp14:editId="38F64A10">
          <wp:extent cx="5943600" cy="873760"/>
          <wp:effectExtent l="0" t="0" r="0" b="2540"/>
          <wp:docPr id="1489342364" name="Picture 1489342364"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6" name="officeArt object" descr="Background pattern&#10;&#10;Description automatically generated with low confidence"/>
                  <pic:cNvPicPr>
                    <a:picLocks noChangeAspect="1"/>
                  </pic:cNvPicPr>
                </pic:nvPicPr>
                <pic:blipFill>
                  <a:blip r:embed="rId1"/>
                  <a:srcRect/>
                  <a:stretch>
                    <a:fillRect/>
                  </a:stretch>
                </pic:blipFill>
                <pic:spPr>
                  <a:xfrm>
                    <a:off x="0" y="0"/>
                    <a:ext cx="5943600" cy="87376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CB67" w14:textId="77777777" w:rsidR="00F32C00" w:rsidRDefault="00F32C00" w:rsidP="00E001AA">
      <w:r>
        <w:separator/>
      </w:r>
    </w:p>
  </w:footnote>
  <w:footnote w:type="continuationSeparator" w:id="0">
    <w:p w14:paraId="56D2392D" w14:textId="77777777" w:rsidR="00F32C00" w:rsidRDefault="00F32C00" w:rsidP="00E0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FB524" w14:textId="2CDCDDA6" w:rsidR="00E001AA" w:rsidRDefault="00E001AA" w:rsidP="00E001AA">
    <w:pPr>
      <w:pStyle w:val="Header"/>
      <w:ind w:left="360" w:right="360" w:hanging="360"/>
    </w:pPr>
  </w:p>
  <w:p w14:paraId="3504C912" w14:textId="77777777" w:rsidR="00E001AA" w:rsidRDefault="00E00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4CD7" w14:textId="57078FA9" w:rsidR="001B12A9" w:rsidRDefault="001B12A9">
    <w:pPr>
      <w:pStyle w:val="Header"/>
    </w:pPr>
    <w:r>
      <w:rPr>
        <w:noProof/>
      </w:rPr>
      <w:drawing>
        <wp:anchor distT="0" distB="0" distL="114300" distR="114300" simplePos="0" relativeHeight="251659264" behindDoc="1" locked="0" layoutInCell="1" allowOverlap="1" wp14:anchorId="581F3583" wp14:editId="52C77DC5">
          <wp:simplePos x="914400" y="276225"/>
          <wp:positionH relativeFrom="page">
            <wp:align>center</wp:align>
          </wp:positionH>
          <wp:positionV relativeFrom="paragraph">
            <wp:posOffset>0</wp:posOffset>
          </wp:positionV>
          <wp:extent cx="6766560" cy="1865376"/>
          <wp:effectExtent l="0" t="0" r="0" b="1905"/>
          <wp:wrapNone/>
          <wp:docPr id="1073741825" name="officeArt object"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Text, letter&#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6766560" cy="1865376"/>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0FA0" w14:textId="23A0D0D2" w:rsidR="001B12A9" w:rsidRDefault="001B1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0CE7"/>
    <w:multiLevelType w:val="hybridMultilevel"/>
    <w:tmpl w:val="50EA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95A36"/>
    <w:multiLevelType w:val="hybridMultilevel"/>
    <w:tmpl w:val="72186C3A"/>
    <w:lvl w:ilvl="0" w:tplc="F384D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84C8C"/>
    <w:multiLevelType w:val="hybridMultilevel"/>
    <w:tmpl w:val="6D32948E"/>
    <w:lvl w:ilvl="0" w:tplc="342E3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C0C32"/>
    <w:multiLevelType w:val="hybridMultilevel"/>
    <w:tmpl w:val="FAE6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87015"/>
    <w:multiLevelType w:val="hybridMultilevel"/>
    <w:tmpl w:val="570860D4"/>
    <w:lvl w:ilvl="0" w:tplc="9A461E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240A87"/>
    <w:multiLevelType w:val="hybridMultilevel"/>
    <w:tmpl w:val="1220BCE2"/>
    <w:lvl w:ilvl="0" w:tplc="EA0200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D1887"/>
    <w:multiLevelType w:val="hybridMultilevel"/>
    <w:tmpl w:val="3FD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A429F"/>
    <w:multiLevelType w:val="hybridMultilevel"/>
    <w:tmpl w:val="1F3C9ECA"/>
    <w:lvl w:ilvl="0" w:tplc="9A461EA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08631D"/>
    <w:multiLevelType w:val="hybridMultilevel"/>
    <w:tmpl w:val="510C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610220">
    <w:abstractNumId w:val="0"/>
  </w:num>
  <w:num w:numId="2" w16cid:durableId="31421207">
    <w:abstractNumId w:val="8"/>
  </w:num>
  <w:num w:numId="3" w16cid:durableId="390423921">
    <w:abstractNumId w:val="5"/>
  </w:num>
  <w:num w:numId="4" w16cid:durableId="1299074172">
    <w:abstractNumId w:val="6"/>
  </w:num>
  <w:num w:numId="5" w16cid:durableId="1534339272">
    <w:abstractNumId w:val="4"/>
  </w:num>
  <w:num w:numId="6" w16cid:durableId="1028069526">
    <w:abstractNumId w:val="7"/>
  </w:num>
  <w:num w:numId="7" w16cid:durableId="228075736">
    <w:abstractNumId w:val="2"/>
  </w:num>
  <w:num w:numId="8" w16cid:durableId="1972787961">
    <w:abstractNumId w:val="3"/>
  </w:num>
  <w:num w:numId="9" w16cid:durableId="99348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1AA"/>
    <w:rsid w:val="00001A71"/>
    <w:rsid w:val="00037DB6"/>
    <w:rsid w:val="000407B4"/>
    <w:rsid w:val="00041173"/>
    <w:rsid w:val="0004308D"/>
    <w:rsid w:val="000A7919"/>
    <w:rsid w:val="000C2E39"/>
    <w:rsid w:val="000D3465"/>
    <w:rsid w:val="000D49E8"/>
    <w:rsid w:val="0012188C"/>
    <w:rsid w:val="001642E8"/>
    <w:rsid w:val="00182E5E"/>
    <w:rsid w:val="0018301A"/>
    <w:rsid w:val="001A376B"/>
    <w:rsid w:val="001B12A9"/>
    <w:rsid w:val="001C6BC0"/>
    <w:rsid w:val="001F487A"/>
    <w:rsid w:val="001F7FE1"/>
    <w:rsid w:val="00290691"/>
    <w:rsid w:val="002A772F"/>
    <w:rsid w:val="002D6964"/>
    <w:rsid w:val="002D7DB1"/>
    <w:rsid w:val="002E59EF"/>
    <w:rsid w:val="003410B6"/>
    <w:rsid w:val="00385245"/>
    <w:rsid w:val="00385E42"/>
    <w:rsid w:val="003910AA"/>
    <w:rsid w:val="003D05F0"/>
    <w:rsid w:val="003D3FFA"/>
    <w:rsid w:val="004065FB"/>
    <w:rsid w:val="004074C5"/>
    <w:rsid w:val="00414C38"/>
    <w:rsid w:val="00425CA8"/>
    <w:rsid w:val="0043689C"/>
    <w:rsid w:val="00451841"/>
    <w:rsid w:val="00472E80"/>
    <w:rsid w:val="004A7338"/>
    <w:rsid w:val="004B6227"/>
    <w:rsid w:val="004C42F0"/>
    <w:rsid w:val="004D2550"/>
    <w:rsid w:val="004F5A10"/>
    <w:rsid w:val="00520D3D"/>
    <w:rsid w:val="00523A18"/>
    <w:rsid w:val="00532309"/>
    <w:rsid w:val="00534750"/>
    <w:rsid w:val="005954BD"/>
    <w:rsid w:val="005B1682"/>
    <w:rsid w:val="005B1EFB"/>
    <w:rsid w:val="005D65DE"/>
    <w:rsid w:val="00662E2A"/>
    <w:rsid w:val="00686277"/>
    <w:rsid w:val="00686355"/>
    <w:rsid w:val="00690355"/>
    <w:rsid w:val="006C1F1E"/>
    <w:rsid w:val="006D0DF9"/>
    <w:rsid w:val="007030B8"/>
    <w:rsid w:val="007052A7"/>
    <w:rsid w:val="0072799E"/>
    <w:rsid w:val="007625FB"/>
    <w:rsid w:val="00772D7B"/>
    <w:rsid w:val="007B567C"/>
    <w:rsid w:val="007D324F"/>
    <w:rsid w:val="008030A5"/>
    <w:rsid w:val="00874CC0"/>
    <w:rsid w:val="00895864"/>
    <w:rsid w:val="008A22E5"/>
    <w:rsid w:val="008B1345"/>
    <w:rsid w:val="008C0FE6"/>
    <w:rsid w:val="008C2933"/>
    <w:rsid w:val="00916AB0"/>
    <w:rsid w:val="00923FC5"/>
    <w:rsid w:val="009A4C03"/>
    <w:rsid w:val="009B0208"/>
    <w:rsid w:val="009E374D"/>
    <w:rsid w:val="00A42F9F"/>
    <w:rsid w:val="00A62B48"/>
    <w:rsid w:val="00A87C8A"/>
    <w:rsid w:val="00A93FEC"/>
    <w:rsid w:val="00AD1911"/>
    <w:rsid w:val="00AF673C"/>
    <w:rsid w:val="00B27881"/>
    <w:rsid w:val="00B40296"/>
    <w:rsid w:val="00B616B2"/>
    <w:rsid w:val="00B65540"/>
    <w:rsid w:val="00B7076B"/>
    <w:rsid w:val="00B74039"/>
    <w:rsid w:val="00B8191C"/>
    <w:rsid w:val="00BE4868"/>
    <w:rsid w:val="00C0797C"/>
    <w:rsid w:val="00C15C5E"/>
    <w:rsid w:val="00C27D23"/>
    <w:rsid w:val="00C83ABB"/>
    <w:rsid w:val="00C90A0A"/>
    <w:rsid w:val="00CB668F"/>
    <w:rsid w:val="00CC4478"/>
    <w:rsid w:val="00CE24D6"/>
    <w:rsid w:val="00D370E5"/>
    <w:rsid w:val="00D908EA"/>
    <w:rsid w:val="00D91A4F"/>
    <w:rsid w:val="00D951FC"/>
    <w:rsid w:val="00DC291E"/>
    <w:rsid w:val="00DD67C6"/>
    <w:rsid w:val="00DD7B73"/>
    <w:rsid w:val="00E001AA"/>
    <w:rsid w:val="00E33536"/>
    <w:rsid w:val="00E45233"/>
    <w:rsid w:val="00E54EFF"/>
    <w:rsid w:val="00E6759D"/>
    <w:rsid w:val="00E80045"/>
    <w:rsid w:val="00E8415D"/>
    <w:rsid w:val="00EA5638"/>
    <w:rsid w:val="00ED4A10"/>
    <w:rsid w:val="00EF581A"/>
    <w:rsid w:val="00F1775B"/>
    <w:rsid w:val="00F276CF"/>
    <w:rsid w:val="00F32C00"/>
    <w:rsid w:val="00FC5A3E"/>
    <w:rsid w:val="00FD60CA"/>
    <w:rsid w:val="00FF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7C6D4"/>
  <w15:chartTrackingRefBased/>
  <w15:docId w15:val="{7FE350C9-A346-D847-8B20-B902D6E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1AA"/>
    <w:pPr>
      <w:tabs>
        <w:tab w:val="center" w:pos="4680"/>
        <w:tab w:val="right" w:pos="9360"/>
      </w:tabs>
    </w:pPr>
  </w:style>
  <w:style w:type="character" w:customStyle="1" w:styleId="HeaderChar">
    <w:name w:val="Header Char"/>
    <w:basedOn w:val="DefaultParagraphFont"/>
    <w:link w:val="Header"/>
    <w:uiPriority w:val="99"/>
    <w:rsid w:val="00E001AA"/>
  </w:style>
  <w:style w:type="paragraph" w:styleId="Footer">
    <w:name w:val="footer"/>
    <w:basedOn w:val="Normal"/>
    <w:link w:val="FooterChar"/>
    <w:uiPriority w:val="99"/>
    <w:unhideWhenUsed/>
    <w:rsid w:val="00E001AA"/>
    <w:pPr>
      <w:tabs>
        <w:tab w:val="center" w:pos="4680"/>
        <w:tab w:val="right" w:pos="9360"/>
      </w:tabs>
    </w:pPr>
  </w:style>
  <w:style w:type="character" w:customStyle="1" w:styleId="FooterChar">
    <w:name w:val="Footer Char"/>
    <w:basedOn w:val="DefaultParagraphFont"/>
    <w:link w:val="Footer"/>
    <w:uiPriority w:val="99"/>
    <w:rsid w:val="00E001AA"/>
  </w:style>
  <w:style w:type="table" w:styleId="TableGrid">
    <w:name w:val="Table Grid"/>
    <w:basedOn w:val="TableNormal"/>
    <w:uiPriority w:val="39"/>
    <w:rsid w:val="00662E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1EFB"/>
    <w:pPr>
      <w:ind w:left="720"/>
      <w:contextualSpacing/>
    </w:pPr>
  </w:style>
  <w:style w:type="character" w:styleId="Hyperlink">
    <w:name w:val="Hyperlink"/>
    <w:basedOn w:val="DefaultParagraphFont"/>
    <w:uiPriority w:val="99"/>
    <w:unhideWhenUsed/>
    <w:rsid w:val="00D370E5"/>
    <w:rPr>
      <w:color w:val="0563C1" w:themeColor="hyperlink"/>
      <w:u w:val="single"/>
    </w:rPr>
  </w:style>
  <w:style w:type="character" w:styleId="UnresolvedMention">
    <w:name w:val="Unresolved Mention"/>
    <w:basedOn w:val="DefaultParagraphFont"/>
    <w:uiPriority w:val="99"/>
    <w:semiHidden/>
    <w:unhideWhenUsed/>
    <w:rsid w:val="00D370E5"/>
    <w:rPr>
      <w:color w:val="605E5C"/>
      <w:shd w:val="clear" w:color="auto" w:fill="E1DFDD"/>
    </w:rPr>
  </w:style>
  <w:style w:type="character" w:styleId="FollowedHyperlink">
    <w:name w:val="FollowedHyperlink"/>
    <w:basedOn w:val="DefaultParagraphFont"/>
    <w:uiPriority w:val="99"/>
    <w:semiHidden/>
    <w:unhideWhenUsed/>
    <w:rsid w:val="00D91A4F"/>
    <w:rPr>
      <w:color w:val="954F72" w:themeColor="followedHyperlink"/>
      <w:u w:val="single"/>
    </w:rPr>
  </w:style>
  <w:style w:type="character" w:styleId="CommentReference">
    <w:name w:val="annotation reference"/>
    <w:basedOn w:val="DefaultParagraphFont"/>
    <w:uiPriority w:val="99"/>
    <w:semiHidden/>
    <w:unhideWhenUsed/>
    <w:rsid w:val="00E33536"/>
    <w:rPr>
      <w:sz w:val="16"/>
      <w:szCs w:val="16"/>
    </w:rPr>
  </w:style>
  <w:style w:type="paragraph" w:styleId="CommentText">
    <w:name w:val="annotation text"/>
    <w:basedOn w:val="Normal"/>
    <w:link w:val="CommentTextChar"/>
    <w:uiPriority w:val="99"/>
    <w:unhideWhenUsed/>
    <w:rsid w:val="00E33536"/>
    <w:rPr>
      <w:sz w:val="20"/>
      <w:szCs w:val="20"/>
    </w:rPr>
  </w:style>
  <w:style w:type="character" w:customStyle="1" w:styleId="CommentTextChar">
    <w:name w:val="Comment Text Char"/>
    <w:basedOn w:val="DefaultParagraphFont"/>
    <w:link w:val="CommentText"/>
    <w:uiPriority w:val="99"/>
    <w:rsid w:val="00E33536"/>
    <w:rPr>
      <w:sz w:val="20"/>
      <w:szCs w:val="20"/>
    </w:rPr>
  </w:style>
  <w:style w:type="paragraph" w:styleId="CommentSubject">
    <w:name w:val="annotation subject"/>
    <w:basedOn w:val="CommentText"/>
    <w:next w:val="CommentText"/>
    <w:link w:val="CommentSubjectChar"/>
    <w:uiPriority w:val="99"/>
    <w:semiHidden/>
    <w:unhideWhenUsed/>
    <w:rsid w:val="00E33536"/>
    <w:rPr>
      <w:b/>
      <w:bCs/>
    </w:rPr>
  </w:style>
  <w:style w:type="character" w:customStyle="1" w:styleId="CommentSubjectChar">
    <w:name w:val="Comment Subject Char"/>
    <w:basedOn w:val="CommentTextChar"/>
    <w:link w:val="CommentSubject"/>
    <w:uiPriority w:val="99"/>
    <w:semiHidden/>
    <w:rsid w:val="00E335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l.gov/agencies/oasam/centers-offices/civil-rights-center/statutes/section-188-workforce-innovation-opportunity-act/guide" TargetMode="External"/><Relationship Id="rId2" Type="http://schemas.openxmlformats.org/officeDocument/2006/relationships/customXml" Target="../customXml/item2.xml"/><Relationship Id="rId16" Type="http://schemas.openxmlformats.org/officeDocument/2006/relationships/hyperlink" Target="https://www.section508.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section508.gov/" TargetMode="External"/><Relationship Id="rId10" Type="http://schemas.openxmlformats.org/officeDocument/2006/relationships/hyperlink" Target="https://www.dol.gov/sites/dolgov/files/ETA/advisories/TEGL/2023/TEGL%2003-23/TEGL%2003-23-A/TEGL%2003-23.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b00d7-78a2-47d2-8634-bc61e5899158" xsi:nil="true"/>
    <lcf76f155ced4ddcb4097134ff3c332f xmlns="d1906cbe-0b6a-413c-921f-c87b674416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2C7B07ED3DFB419C925058122E749E" ma:contentTypeVersion="14" ma:contentTypeDescription="Create a new document." ma:contentTypeScope="" ma:versionID="6923019897ef504f8cacc8cc4c111d78">
  <xsd:schema xmlns:xsd="http://www.w3.org/2001/XMLSchema" xmlns:xs="http://www.w3.org/2001/XMLSchema" xmlns:p="http://schemas.microsoft.com/office/2006/metadata/properties" xmlns:ns2="d1906cbe-0b6a-413c-921f-c87b674416ef" xmlns:ns3="a9db00d7-78a2-47d2-8634-bc61e5899158" targetNamespace="http://schemas.microsoft.com/office/2006/metadata/properties" ma:root="true" ma:fieldsID="9e54cd5a68781593d5f648a52b583054" ns2:_="" ns3:_="">
    <xsd:import namespace="d1906cbe-0b6a-413c-921f-c87b674416ef"/>
    <xsd:import namespace="a9db00d7-78a2-47d2-8634-bc61e58991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06cbe-0b6a-413c-921f-c87b67441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b00d7-78a2-47d2-8634-bc61e58991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7329b372-02ab-4e5f-bfa0-518206342a34}" ma:internalName="TaxCatchAll" ma:showField="CatchAllData" ma:web="a9db00d7-78a2-47d2-8634-bc61e5899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3FB4D-B300-491F-A5DB-31EF624D7AD9}">
  <ds:schemaRefs>
    <ds:schemaRef ds:uri="http://schemas.microsoft.com/sharepoint/v3/contenttype/forms"/>
  </ds:schemaRefs>
</ds:datastoreItem>
</file>

<file path=customXml/itemProps2.xml><?xml version="1.0" encoding="utf-8"?>
<ds:datastoreItem xmlns:ds="http://schemas.openxmlformats.org/officeDocument/2006/customXml" ds:itemID="{4A993331-7CDF-445D-9468-57200E4764EF}">
  <ds:schemaRefs>
    <ds:schemaRef ds:uri="http://schemas.microsoft.com/office/2006/metadata/properties"/>
    <ds:schemaRef ds:uri="http://schemas.microsoft.com/office/infopath/2007/PartnerControls"/>
    <ds:schemaRef ds:uri="a9db00d7-78a2-47d2-8634-bc61e5899158"/>
    <ds:schemaRef ds:uri="d1906cbe-0b6a-413c-921f-c87b674416ef"/>
  </ds:schemaRefs>
</ds:datastoreItem>
</file>

<file path=customXml/itemProps3.xml><?xml version="1.0" encoding="utf-8"?>
<ds:datastoreItem xmlns:ds="http://schemas.openxmlformats.org/officeDocument/2006/customXml" ds:itemID="{C1A73FCE-8FA9-4614-BF8B-45A031DE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06cbe-0b6a-413c-921f-c87b674416ef"/>
    <ds:schemaRef ds:uri="a9db00d7-78a2-47d2-8634-bc61e5899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 Norine</dc:creator>
  <cp:keywords/>
  <dc:description/>
  <cp:lastModifiedBy>Neas, Cheryl [DOL]</cp:lastModifiedBy>
  <cp:revision>18</cp:revision>
  <cp:lastPrinted>2019-12-18T17:16:00Z</cp:lastPrinted>
  <dcterms:created xsi:type="dcterms:W3CDTF">2023-10-13T19:52:00Z</dcterms:created>
  <dcterms:modified xsi:type="dcterms:W3CDTF">2023-10-25T18:52:00Z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0x010100F12C7B07ED3DFB419C925058122E749E</vt:lpwstr>
  </property>
  <property fmtid="{D5CDD505-2E9C-101B-9397-08002B2CF9AE}" pid="3" name="MediaServiceImageTags">
    <vt:lpwstr/>
  </property>
</Properties>
</file>